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46" w:rsidRPr="00A21066" w:rsidRDefault="00586712" w:rsidP="00586712">
      <w:pPr>
        <w:pStyle w:val="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center"/>
        <w:rPr>
          <w:i/>
          <w:sz w:val="48"/>
        </w:rPr>
      </w:pPr>
      <w:bookmarkStart w:id="0" w:name="_GoBack"/>
      <w:bookmarkEnd w:id="0"/>
      <w:r w:rsidRPr="00A21066">
        <w:rPr>
          <w:i/>
          <w:noProof/>
          <w:snapToGrid/>
          <w:sz w:val="48"/>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-590550</wp:posOffset>
            </wp:positionV>
            <wp:extent cx="1714500" cy="1000125"/>
            <wp:effectExtent l="19050" t="0" r="0" b="0"/>
            <wp:wrapSquare wrapText="bothSides"/>
            <wp:docPr id="1" name="Picture 0" descr="PN_Sty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_Styles.jpg"/>
                    <pic:cNvPicPr/>
                  </pic:nvPicPr>
                  <pic:blipFill>
                    <a:blip r:embed="rId8" cstate="print"/>
                    <a:stretch>
                      <a:fillRect/>
                    </a:stretch>
                  </pic:blipFill>
                  <pic:spPr>
                    <a:xfrm>
                      <a:off x="0" y="0"/>
                      <a:ext cx="1714500" cy="1000125"/>
                    </a:xfrm>
                    <a:prstGeom prst="rect">
                      <a:avLst/>
                    </a:prstGeom>
                  </pic:spPr>
                </pic:pic>
              </a:graphicData>
            </a:graphic>
          </wp:anchor>
        </w:drawing>
      </w:r>
      <w:r w:rsidR="00032946" w:rsidRPr="00A21066">
        <w:rPr>
          <w:i/>
          <w:sz w:val="48"/>
        </w:rPr>
        <w:t>Styles 201</w:t>
      </w:r>
      <w:r w:rsidR="003D4F1C">
        <w:rPr>
          <w:i/>
          <w:sz w:val="48"/>
        </w:rPr>
        <w:t>5</w:t>
      </w:r>
    </w:p>
    <w:p w:rsidR="00032946" w:rsidRPr="00A21066" w:rsidRDefault="00586712" w:rsidP="00032946">
      <w:pPr>
        <w:pStyle w:val="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8"/>
        </w:rPr>
      </w:pPr>
      <w:r w:rsidRPr="00A21066">
        <w:rPr>
          <w:sz w:val="48"/>
        </w:rPr>
        <w:tab/>
      </w:r>
      <w:r w:rsidRPr="00A21066">
        <w:rPr>
          <w:sz w:val="48"/>
        </w:rPr>
        <w:tab/>
      </w:r>
      <w:r w:rsidRPr="00A21066">
        <w:rPr>
          <w:sz w:val="48"/>
        </w:rPr>
        <w:tab/>
      </w:r>
      <w:r w:rsidR="00032946" w:rsidRPr="00A21066">
        <w:rPr>
          <w:sz w:val="48"/>
        </w:rPr>
        <w:t>Methodology</w:t>
      </w:r>
    </w:p>
    <w:p w:rsidR="00032946" w:rsidRPr="00A21066" w:rsidRDefault="00032946" w:rsidP="00032946"/>
    <w:p w:rsidR="003D4F1C" w:rsidRPr="00A21066" w:rsidRDefault="003D4F1C" w:rsidP="003D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1066">
        <w:t xml:space="preserve">In </w:t>
      </w:r>
      <w:r>
        <w:t>2015</w:t>
      </w:r>
      <w:r w:rsidRPr="00A21066">
        <w:t xml:space="preserve">, Porter Novelli Public Services conducted all of </w:t>
      </w:r>
      <w:r>
        <w:t xml:space="preserve">our </w:t>
      </w:r>
      <w:r w:rsidRPr="00A21066">
        <w:t>consumer surveys via GfK’s KnowledgePanel</w:t>
      </w:r>
      <w:r w:rsidRPr="00A21066">
        <w:rPr>
          <w:vertAlign w:val="superscript"/>
        </w:rPr>
        <w:t>®</w:t>
      </w:r>
      <w:r w:rsidRPr="00A21066">
        <w:t xml:space="preserve">.  </w:t>
      </w:r>
    </w:p>
    <w:p w:rsidR="00B174AA" w:rsidRPr="00A21066" w:rsidRDefault="00B174AA" w:rsidP="00791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D4F1C" w:rsidRPr="00A21066" w:rsidRDefault="003D4F1C" w:rsidP="003D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1066">
        <w:t>KnowledgePanel</w:t>
      </w:r>
      <w:r w:rsidRPr="00A21066">
        <w:rPr>
          <w:vertAlign w:val="superscript"/>
        </w:rPr>
        <w:t>®</w:t>
      </w:r>
      <w:r w:rsidRPr="00A21066">
        <w:t xml:space="preserve"> is the only online panel that is representative of the entire U.S. population. Panel members are randomly recruited </w:t>
      </w:r>
      <w:r>
        <w:t xml:space="preserve">using </w:t>
      </w:r>
      <w:r w:rsidRPr="00A21066">
        <w:t>probability-based sampling</w:t>
      </w:r>
      <w:r>
        <w:t xml:space="preserve"> by address</w:t>
      </w:r>
      <w:r w:rsidRPr="00A21066">
        <w:t xml:space="preserve"> to reach respondents regardless of whether or not they have landline phones or Internet access.  If needed, households are provided with a laptop computer and access to the Internet.  The panel is continuously replenished and maintains approximately 55,000 panelists.</w:t>
      </w:r>
    </w:p>
    <w:p w:rsidR="002C6E53" w:rsidRPr="00A21066" w:rsidRDefault="002C6E53" w:rsidP="00791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D4F1C" w:rsidRPr="00A21066" w:rsidRDefault="003D4F1C" w:rsidP="003D4F1C">
      <w:r w:rsidRPr="00A21066">
        <w:t xml:space="preserve">The initial wave – </w:t>
      </w:r>
      <w:r w:rsidRPr="00A21066">
        <w:rPr>
          <w:i/>
          <w:iCs/>
        </w:rPr>
        <w:t>SpringStyles</w:t>
      </w:r>
      <w:r w:rsidRPr="00A21066">
        <w:t xml:space="preserve"> – was fielded from </w:t>
      </w:r>
      <w:r>
        <w:t>April 2</w:t>
      </w:r>
      <w:r w:rsidRPr="00A21066">
        <w:t xml:space="preserve"> to April 21, </w:t>
      </w:r>
      <w:r>
        <w:t xml:space="preserve">2015.  The survey was sent to 11,028 panelists (a </w:t>
      </w:r>
      <w:r w:rsidRPr="00A21066">
        <w:t>random sample of 7,</w:t>
      </w:r>
      <w:r>
        <w:t>876</w:t>
      </w:r>
      <w:r w:rsidRPr="00A21066">
        <w:t xml:space="preserve"> panelists ages 18 or older and a supplemental sample of 3,</w:t>
      </w:r>
      <w:r>
        <w:t>152</w:t>
      </w:r>
      <w:r w:rsidRPr="00A21066">
        <w:t xml:space="preserve"> </w:t>
      </w:r>
      <w:r w:rsidRPr="00D211C9">
        <w:t>panelists with children ages 12-17 to ensure sufficient dyad cases for the summer survey</w:t>
      </w:r>
      <w:r>
        <w:t>)</w:t>
      </w:r>
      <w:r w:rsidRPr="00D211C9">
        <w:t>.  Email reminders were sent to all non-responders on the 3</w:t>
      </w:r>
      <w:r w:rsidRPr="00D211C9">
        <w:rPr>
          <w:vertAlign w:val="superscript"/>
        </w:rPr>
        <w:t>rd</w:t>
      </w:r>
      <w:r w:rsidRPr="00D211C9">
        <w:t>, the 13</w:t>
      </w:r>
      <w:r w:rsidRPr="00D211C9">
        <w:rPr>
          <w:vertAlign w:val="superscript"/>
        </w:rPr>
        <w:t>th</w:t>
      </w:r>
      <w:r w:rsidRPr="00D211C9">
        <w:t xml:space="preserve"> and the 16</w:t>
      </w:r>
      <w:r w:rsidRPr="00D211C9">
        <w:rPr>
          <w:vertAlign w:val="superscript"/>
        </w:rPr>
        <w:t>th</w:t>
      </w:r>
      <w:r w:rsidRPr="00D211C9">
        <w:t xml:space="preserve"> day of the field period.   The</w:t>
      </w:r>
      <w:r w:rsidRPr="00A21066">
        <w:t xml:space="preserve"> survey took approximately </w:t>
      </w:r>
      <w:r>
        <w:t>47</w:t>
      </w:r>
      <w:r w:rsidRPr="00A21066">
        <w:t xml:space="preserve"> minutes (median) to complete.  Respondents were not required to answer any of the questions and could exit the survey at any time.  Those who completed the survey received 10,000 cash-equivalent reward points (worth approximately $10) and were eligible to win an in-kind prize through a monthly sweepstakes.</w:t>
      </w:r>
      <w:r w:rsidRPr="00A21066">
        <w:rPr>
          <w:rStyle w:val="FootnoteReference"/>
          <w:vertAlign w:val="superscript"/>
        </w:rPr>
        <w:footnoteReference w:customMarkFollows="1" w:id="1"/>
        <w:t>[1]</w:t>
      </w:r>
      <w:r w:rsidRPr="00A21066">
        <w:rPr>
          <w:vertAlign w:val="superscript"/>
        </w:rPr>
        <w:t xml:space="preserve">  </w:t>
      </w:r>
      <w:r w:rsidRPr="00A21066">
        <w:t>Respondents who did not answer at least half of the questions were removed from the data as incomplete (n=</w:t>
      </w:r>
      <w:r>
        <w:t>36</w:t>
      </w:r>
      <w:r w:rsidRPr="00A21066">
        <w:t xml:space="preserve">).  In addition, respondents who completed the survey in 7 minutes or less </w:t>
      </w:r>
      <w:r>
        <w:t xml:space="preserve">(“speeders”) </w:t>
      </w:r>
      <w:r w:rsidRPr="00A21066">
        <w:t>were also removed from the data set (</w:t>
      </w:r>
      <w:r>
        <w:t>n=3</w:t>
      </w:r>
      <w:r w:rsidRPr="00A21066">
        <w:t>). A total of 6,</w:t>
      </w:r>
      <w:r>
        <w:t xml:space="preserve">836 adults </w:t>
      </w:r>
      <w:r w:rsidRPr="00A21066">
        <w:t>completed the survey for a response rate of 6</w:t>
      </w:r>
      <w:r>
        <w:t>2</w:t>
      </w:r>
      <w:r w:rsidRPr="00A21066">
        <w:t xml:space="preserve">%.     </w:t>
      </w:r>
    </w:p>
    <w:p w:rsidR="00BB3ABF" w:rsidRDefault="00C96182" w:rsidP="00135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1066">
        <w:t xml:space="preserve"> </w:t>
      </w:r>
    </w:p>
    <w:p w:rsidR="003D4F1C" w:rsidRDefault="003D4F1C" w:rsidP="003D4F1C">
      <w:r w:rsidRPr="00B85709">
        <w:t>The summer wave</w:t>
      </w:r>
      <w:r>
        <w:t xml:space="preserve">, </w:t>
      </w:r>
      <w:r w:rsidRPr="00686CC7">
        <w:rPr>
          <w:i/>
        </w:rPr>
        <w:t>SummerStyles</w:t>
      </w:r>
      <w:r>
        <w:t xml:space="preserve"> and </w:t>
      </w:r>
      <w:r w:rsidRPr="00686CC7">
        <w:rPr>
          <w:i/>
        </w:rPr>
        <w:t>Y</w:t>
      </w:r>
      <w:r w:rsidRPr="00B85709">
        <w:rPr>
          <w:i/>
          <w:iCs/>
        </w:rPr>
        <w:t>outhStyles</w:t>
      </w:r>
      <w:r>
        <w:rPr>
          <w:i/>
          <w:iCs/>
        </w:rPr>
        <w:t>,</w:t>
      </w:r>
      <w:r w:rsidRPr="00B85709">
        <w:rPr>
          <w:i/>
          <w:iCs/>
        </w:rPr>
        <w:t xml:space="preserve"> </w:t>
      </w:r>
      <w:r>
        <w:t>was fielded</w:t>
      </w:r>
      <w:r w:rsidRPr="00B85709">
        <w:t xml:space="preserve"> from </w:t>
      </w:r>
      <w:r w:rsidRPr="00A72DCC">
        <w:t xml:space="preserve">June </w:t>
      </w:r>
      <w:r>
        <w:t>11</w:t>
      </w:r>
      <w:r w:rsidRPr="00A72DCC">
        <w:t xml:space="preserve"> </w:t>
      </w:r>
      <w:r>
        <w:t xml:space="preserve">to </w:t>
      </w:r>
      <w:r w:rsidRPr="00A72DCC">
        <w:t>Ju</w:t>
      </w:r>
      <w:r>
        <w:t>ne 29</w:t>
      </w:r>
      <w:r w:rsidRPr="00A72DCC">
        <w:t>, 201</w:t>
      </w:r>
      <w:r>
        <w:t>5</w:t>
      </w:r>
      <w:r w:rsidRPr="00B85709">
        <w:t xml:space="preserve">.  Given the desire to collect adult-youth dyad data, the survey was sent to </w:t>
      </w:r>
      <w:r>
        <w:t xml:space="preserve">6,172 </w:t>
      </w:r>
      <w:r w:rsidRPr="00686CC7">
        <w:rPr>
          <w:i/>
        </w:rPr>
        <w:t>SpringStyles</w:t>
      </w:r>
      <w:r>
        <w:t xml:space="preserve"> respondents including </w:t>
      </w:r>
      <w:r w:rsidRPr="00B85709">
        <w:t>a random sample of 4,5</w:t>
      </w:r>
      <w:r>
        <w:t>54</w:t>
      </w:r>
      <w:r w:rsidRPr="00B85709">
        <w:t xml:space="preserve"> panelists ages 18 or older as well as a supplemental sample of 1,61</w:t>
      </w:r>
      <w:r>
        <w:t>8</w:t>
      </w:r>
      <w:r w:rsidRPr="00B85709">
        <w:t xml:space="preserve"> panelists with children ages 12-17</w:t>
      </w:r>
      <w:r>
        <w:t xml:space="preserve">.  </w:t>
      </w:r>
      <w:r w:rsidRPr="00B85709">
        <w:t>Email reminders were sent to non-responders on</w:t>
      </w:r>
      <w:r>
        <w:t xml:space="preserve"> the 3</w:t>
      </w:r>
      <w:r w:rsidRPr="00400904">
        <w:rPr>
          <w:vertAlign w:val="superscript"/>
        </w:rPr>
        <w:t>rd</w:t>
      </w:r>
      <w:r>
        <w:t xml:space="preserve"> and 16</w:t>
      </w:r>
      <w:r w:rsidRPr="00400904">
        <w:rPr>
          <w:vertAlign w:val="superscript"/>
        </w:rPr>
        <w:t>th</w:t>
      </w:r>
      <w:r>
        <w:t xml:space="preserve"> day of the field period</w:t>
      </w:r>
      <w:r w:rsidRPr="00B85709">
        <w:t xml:space="preserve">.  Survey completion times were approximately </w:t>
      </w:r>
      <w:r>
        <w:t>22</w:t>
      </w:r>
      <w:r w:rsidRPr="00A72DCC">
        <w:t xml:space="preserve"> minutes (median) for adults and </w:t>
      </w:r>
      <w:r>
        <w:t>16</w:t>
      </w:r>
      <w:r w:rsidRPr="00A72DCC">
        <w:t xml:space="preserve"> minutes (median) for youth</w:t>
      </w:r>
      <w:r w:rsidRPr="00B85709">
        <w:t xml:space="preserve">.  Respondents were not required to answer any of the questions and could exit the survey at any time.  Youth-adult dyad households who completed the survey received </w:t>
      </w:r>
      <w:r w:rsidRPr="00A72DCC">
        <w:t>10,000 cash-equivalent</w:t>
      </w:r>
      <w:r w:rsidRPr="00B85709">
        <w:t xml:space="preserve"> reward points to be split between the parent and youth respondents,</w:t>
      </w:r>
      <w:r>
        <w:t xml:space="preserve"> and adults without children received 5,000 cash-equivalent reward points.  A</w:t>
      </w:r>
      <w:r w:rsidRPr="00B85709">
        <w:t>ll respondents were eligible to win an in-kind prize through a monthly sweepstakes.</w:t>
      </w:r>
      <w:r w:rsidRPr="00B85709">
        <w:rPr>
          <w:vertAlign w:val="superscript"/>
        </w:rPr>
        <w:t xml:space="preserve">  </w:t>
      </w:r>
      <w:r w:rsidRPr="00B85709">
        <w:t>Respondents who did not answer at least half of the questions were removed from the data as incomplete (n=</w:t>
      </w:r>
      <w:r>
        <w:t>7</w:t>
      </w:r>
      <w:r w:rsidRPr="00A72DCC">
        <w:t>).</w:t>
      </w:r>
      <w:r w:rsidRPr="00B85709">
        <w:t>  In addition, respondents who completed the survey in 7 minutes or less (“speeders”) were also removed from the data set (</w:t>
      </w:r>
      <w:r>
        <w:t>n=33</w:t>
      </w:r>
      <w:r w:rsidRPr="00B85709">
        <w:t>).</w:t>
      </w:r>
      <w:r>
        <w:t xml:space="preserve">  One youth-adult dyad respondent was also removed due to missing age information.</w:t>
      </w:r>
      <w:r w:rsidRPr="00B85709">
        <w:t xml:space="preserve"> </w:t>
      </w:r>
      <w:r>
        <w:t xml:space="preserve"> </w:t>
      </w:r>
      <w:r w:rsidRPr="00B85709">
        <w:t xml:space="preserve">A total of </w:t>
      </w:r>
      <w:r w:rsidRPr="00A72DCC">
        <w:t>4,</w:t>
      </w:r>
      <w:r>
        <w:t>127</w:t>
      </w:r>
      <w:r w:rsidRPr="00A72DCC">
        <w:t xml:space="preserve"> adults and </w:t>
      </w:r>
      <w:r>
        <w:t>888</w:t>
      </w:r>
      <w:r w:rsidRPr="00A72DCC">
        <w:t xml:space="preserve"> youth</w:t>
      </w:r>
      <w:r w:rsidRPr="00B85709">
        <w:t xml:space="preserve"> </w:t>
      </w:r>
      <w:r>
        <w:t xml:space="preserve"> (out of 2108 sampled parents) </w:t>
      </w:r>
      <w:r w:rsidRPr="00B85709">
        <w:t xml:space="preserve">completed the survey for response rates of </w:t>
      </w:r>
      <w:r w:rsidRPr="00A72DCC">
        <w:t>6</w:t>
      </w:r>
      <w:r>
        <w:t>7</w:t>
      </w:r>
      <w:r w:rsidRPr="00A72DCC">
        <w:t>% and 4</w:t>
      </w:r>
      <w:r>
        <w:t>2</w:t>
      </w:r>
      <w:r w:rsidRPr="00A72DCC">
        <w:t>%,</w:t>
      </w:r>
      <w:r w:rsidRPr="00B85709">
        <w:t xml:space="preserve"> respectively.</w:t>
      </w:r>
      <w:r>
        <w:t xml:space="preserve">         </w:t>
      </w:r>
    </w:p>
    <w:p w:rsidR="00254A96" w:rsidRDefault="00254A96" w:rsidP="00135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5D7" w:rsidRDefault="00E625E0" w:rsidP="00D17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D171D5">
        <w:t xml:space="preserve">The fall wave was </w:t>
      </w:r>
      <w:r w:rsidR="00D171D5" w:rsidRPr="00D171D5">
        <w:t xml:space="preserve">broken into two separate surveys.  </w:t>
      </w:r>
      <w:r w:rsidR="00FE2CAB" w:rsidRPr="00FE2CAB">
        <w:rPr>
          <w:i/>
        </w:rPr>
        <w:t xml:space="preserve">FallStyles A </w:t>
      </w:r>
      <w:r w:rsidRPr="00D171D5">
        <w:t xml:space="preserve">fielded from </w:t>
      </w:r>
      <w:r w:rsidR="00D171D5" w:rsidRPr="00D171D5">
        <w:t>September</w:t>
      </w:r>
      <w:r w:rsidRPr="00D171D5">
        <w:t xml:space="preserve"> </w:t>
      </w:r>
      <w:r w:rsidR="00D171D5" w:rsidRPr="00D171D5">
        <w:t>10</w:t>
      </w:r>
      <w:r w:rsidRPr="00D171D5">
        <w:t xml:space="preserve"> to </w:t>
      </w:r>
      <w:r w:rsidR="00D171D5" w:rsidRPr="00D171D5">
        <w:lastRenderedPageBreak/>
        <w:t>September</w:t>
      </w:r>
      <w:r w:rsidRPr="00D171D5">
        <w:t xml:space="preserve"> 2</w:t>
      </w:r>
      <w:r w:rsidR="00D171D5" w:rsidRPr="00D171D5">
        <w:t>9</w:t>
      </w:r>
      <w:r w:rsidRPr="00D171D5">
        <w:t>, 2014. The survey was sent to a random sample of 4,</w:t>
      </w:r>
      <w:r w:rsidR="00D171D5" w:rsidRPr="00D171D5">
        <w:t>432</w:t>
      </w:r>
      <w:r w:rsidRPr="00D171D5">
        <w:t xml:space="preserve"> panelists ages 18 or older who answered </w:t>
      </w:r>
      <w:r w:rsidR="00FE2CAB">
        <w:t xml:space="preserve">the </w:t>
      </w:r>
      <w:r w:rsidR="00FE2CAB" w:rsidRPr="00FE2CAB">
        <w:rPr>
          <w:i/>
        </w:rPr>
        <w:t>Spring</w:t>
      </w:r>
      <w:r w:rsidRPr="00FE2CAB">
        <w:rPr>
          <w:i/>
        </w:rPr>
        <w:t>Styl</w:t>
      </w:r>
      <w:r w:rsidRPr="00D171D5">
        <w:rPr>
          <w:i/>
        </w:rPr>
        <w:t>es</w:t>
      </w:r>
      <w:r w:rsidRPr="00D171D5">
        <w:t xml:space="preserve"> survey.  Email reminders were sent to non-responders on </w:t>
      </w:r>
      <w:r w:rsidR="00D171D5" w:rsidRPr="00D171D5">
        <w:t>September</w:t>
      </w:r>
      <w:r w:rsidRPr="00D171D5">
        <w:t xml:space="preserve"> </w:t>
      </w:r>
      <w:r w:rsidR="00D171D5" w:rsidRPr="00D171D5">
        <w:t>13</w:t>
      </w:r>
      <w:r w:rsidRPr="00D171D5">
        <w:rPr>
          <w:vertAlign w:val="superscript"/>
        </w:rPr>
        <w:t>th</w:t>
      </w:r>
      <w:r w:rsidRPr="00D171D5">
        <w:t xml:space="preserve"> and </w:t>
      </w:r>
      <w:r w:rsidR="00D171D5" w:rsidRPr="00D171D5">
        <w:t>September</w:t>
      </w:r>
      <w:r w:rsidRPr="00D171D5">
        <w:t xml:space="preserve"> </w:t>
      </w:r>
      <w:r w:rsidR="00D171D5" w:rsidRPr="00D171D5">
        <w:t>25</w:t>
      </w:r>
      <w:r w:rsidRPr="00D171D5">
        <w:rPr>
          <w:vertAlign w:val="superscript"/>
        </w:rPr>
        <w:t>th</w:t>
      </w:r>
      <w:r w:rsidRPr="00D171D5">
        <w:t xml:space="preserve">.  Survey completion time was approximately </w:t>
      </w:r>
      <w:r w:rsidR="00D171D5" w:rsidRPr="00D171D5">
        <w:t>25</w:t>
      </w:r>
      <w:r w:rsidRPr="00D171D5">
        <w:t xml:space="preserve"> minutes (median). </w:t>
      </w:r>
      <w:r w:rsidRPr="003D4F1C">
        <w:rPr>
          <w:color w:val="FF0000"/>
        </w:rPr>
        <w:t xml:space="preserve"> </w:t>
      </w:r>
      <w:r w:rsidRPr="00D171D5">
        <w:t xml:space="preserve">Respondents were not required to answer any of the questions and could exit the survey at any time.  Those who completed the </w:t>
      </w:r>
      <w:r w:rsidR="00D171D5" w:rsidRPr="00D171D5">
        <w:t xml:space="preserve">survey </w:t>
      </w:r>
      <w:r w:rsidR="00061837" w:rsidRPr="00A21066">
        <w:t>were eligible to win an in-kind prize through a monthly sweepstakes.</w:t>
      </w:r>
      <w:r w:rsidR="007415D7">
        <w:t xml:space="preserve"> </w:t>
      </w:r>
      <w:r w:rsidRPr="00D171D5">
        <w:rPr>
          <w:vertAlign w:val="superscript"/>
        </w:rPr>
        <w:t xml:space="preserve"> </w:t>
      </w:r>
      <w:r w:rsidRPr="00D171D5">
        <w:t>Respondents who did not answer at least half of the questions were removed from the data as incomplete (n=</w:t>
      </w:r>
      <w:r w:rsidR="002609C3" w:rsidRPr="00D171D5">
        <w:t>2</w:t>
      </w:r>
      <w:r w:rsidR="00D171D5" w:rsidRPr="00D171D5">
        <w:t>2</w:t>
      </w:r>
      <w:r w:rsidRPr="00D171D5">
        <w:t>).  A total of 3,5</w:t>
      </w:r>
      <w:r w:rsidR="00654FF8" w:rsidRPr="00D171D5">
        <w:t>2</w:t>
      </w:r>
      <w:r w:rsidR="00D171D5" w:rsidRPr="00D171D5">
        <w:t>9</w:t>
      </w:r>
      <w:r w:rsidRPr="00D171D5">
        <w:t xml:space="preserve"> adults completed the survey for a response rate of 7</w:t>
      </w:r>
      <w:r w:rsidR="00D171D5" w:rsidRPr="00D171D5">
        <w:t>9</w:t>
      </w:r>
      <w:r w:rsidR="00654FF8" w:rsidRPr="00D171D5">
        <w:t>.6</w:t>
      </w:r>
      <w:r w:rsidRPr="00D171D5">
        <w:t>%.</w:t>
      </w:r>
      <w:r w:rsidR="00D171D5" w:rsidRPr="00D171D5">
        <w:t xml:space="preserve"> </w:t>
      </w:r>
      <w:r w:rsidR="00D171D5">
        <w:rPr>
          <w:color w:val="FF0000"/>
        </w:rPr>
        <w:t xml:space="preserve"> </w:t>
      </w:r>
    </w:p>
    <w:p w:rsidR="007415D7" w:rsidRDefault="007415D7" w:rsidP="00D17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D171D5" w:rsidRPr="000C0E98" w:rsidRDefault="007415D7" w:rsidP="00D17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415D7">
        <w:rPr>
          <w:i/>
        </w:rPr>
        <w:t>FallStyles B</w:t>
      </w:r>
      <w:r w:rsidR="00D171D5" w:rsidRPr="00D171D5">
        <w:t xml:space="preserve"> fielded from September 28 to October 16, 2015. The survey was sent to a random sample of 4,665 panelists ages 18 or older who answered the </w:t>
      </w:r>
      <w:r w:rsidRPr="007415D7">
        <w:rPr>
          <w:i/>
        </w:rPr>
        <w:t>Spring</w:t>
      </w:r>
      <w:r w:rsidR="00D171D5" w:rsidRPr="007415D7">
        <w:rPr>
          <w:i/>
        </w:rPr>
        <w:t>S</w:t>
      </w:r>
      <w:r w:rsidR="00D171D5" w:rsidRPr="00D171D5">
        <w:rPr>
          <w:i/>
        </w:rPr>
        <w:t>tyles</w:t>
      </w:r>
      <w:r w:rsidR="00D171D5" w:rsidRPr="00D171D5">
        <w:t xml:space="preserve"> survey.  Email reminders were sent to non-responders on October 1</w:t>
      </w:r>
      <w:r w:rsidR="00D171D5" w:rsidRPr="00D171D5">
        <w:rPr>
          <w:vertAlign w:val="superscript"/>
        </w:rPr>
        <w:t>st</w:t>
      </w:r>
      <w:r w:rsidR="00D171D5" w:rsidRPr="00D171D5">
        <w:t xml:space="preserve"> and October 14</w:t>
      </w:r>
      <w:r w:rsidR="00D171D5" w:rsidRPr="00D171D5">
        <w:rPr>
          <w:vertAlign w:val="superscript"/>
        </w:rPr>
        <w:t>th</w:t>
      </w:r>
      <w:r w:rsidR="00D171D5" w:rsidRPr="00D171D5">
        <w:t xml:space="preserve">.  Survey completion time was approximately 27 minutes (median). </w:t>
      </w:r>
      <w:r w:rsidR="00D171D5" w:rsidRPr="003D4F1C">
        <w:rPr>
          <w:color w:val="FF0000"/>
        </w:rPr>
        <w:t xml:space="preserve"> </w:t>
      </w:r>
      <w:r w:rsidR="00D171D5" w:rsidRPr="00D171D5">
        <w:t xml:space="preserve">Respondents were not required to answer any of the questions and could exit the survey at any time. </w:t>
      </w:r>
      <w:r w:rsidR="00D171D5" w:rsidRPr="003D4F1C">
        <w:rPr>
          <w:color w:val="FF0000"/>
        </w:rPr>
        <w:t xml:space="preserve"> </w:t>
      </w:r>
      <w:r w:rsidR="00D171D5" w:rsidRPr="00AB1F6E">
        <w:t xml:space="preserve">Those </w:t>
      </w:r>
      <w:r w:rsidR="00D171D5" w:rsidRPr="000C0E98">
        <w:t xml:space="preserve">who completed the survey </w:t>
      </w:r>
      <w:r w:rsidR="00011D5D" w:rsidRPr="000C0E98">
        <w:t>received 5</w:t>
      </w:r>
      <w:r w:rsidR="00061837" w:rsidRPr="000C0E98">
        <w:t>,000 cash-equivalent reward points (worth approximately $</w:t>
      </w:r>
      <w:r w:rsidR="00011D5D" w:rsidRPr="000C0E98">
        <w:t>5</w:t>
      </w:r>
      <w:r w:rsidR="00061837" w:rsidRPr="000C0E98">
        <w:t>)</w:t>
      </w:r>
      <w:r w:rsidR="00D171D5" w:rsidRPr="000C0E98">
        <w:t>.</w:t>
      </w:r>
      <w:r w:rsidR="00061837" w:rsidRPr="000C0E98">
        <w:t xml:space="preserve"> </w:t>
      </w:r>
      <w:r w:rsidR="00D171D5" w:rsidRPr="000C0E98">
        <w:rPr>
          <w:vertAlign w:val="superscript"/>
        </w:rPr>
        <w:t xml:space="preserve"> </w:t>
      </w:r>
      <w:r w:rsidR="00D171D5" w:rsidRPr="000C0E98">
        <w:t>Respondents who did not answer at least half of the questions were removed from the data as incomplete (n=</w:t>
      </w:r>
      <w:r w:rsidR="000C0E98" w:rsidRPr="000C0E98">
        <w:t>31</w:t>
      </w:r>
      <w:r w:rsidR="00D171D5" w:rsidRPr="000C0E98">
        <w:t xml:space="preserve">).  A total of 3,550 adults completed the survey for a response rate of 76.1%.         </w:t>
      </w:r>
    </w:p>
    <w:p w:rsidR="00E625E0" w:rsidRPr="000C0E98" w:rsidRDefault="00E625E0" w:rsidP="00E62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C0E98">
        <w:t xml:space="preserve">         </w:t>
      </w:r>
    </w:p>
    <w:p w:rsidR="003D4F1C" w:rsidRPr="00B71BB5" w:rsidRDefault="003D4F1C" w:rsidP="003D4F1C">
      <w:pPr>
        <w:pStyle w:val="Header"/>
        <w:widowControl/>
        <w:tabs>
          <w:tab w:val="clear" w:pos="4320"/>
          <w:tab w:val="left" w:pos="90"/>
          <w:tab w:val="left" w:pos="3600"/>
          <w:tab w:val="left" w:pos="5040"/>
          <w:tab w:val="left" w:pos="6480"/>
          <w:tab w:val="left" w:pos="7200"/>
          <w:tab w:val="left" w:pos="7920"/>
          <w:tab w:val="left" w:pos="8640"/>
        </w:tabs>
      </w:pPr>
      <w:r w:rsidRPr="000C0E98">
        <w:t>The adult data are weighted using 9 factors</w:t>
      </w:r>
      <w:r w:rsidRPr="00B71BB5">
        <w:t>: Gender, age, household income, race/ethnicity, household size, education, census region, metro status, and prior Internet access.  The youth data are weighted using the same factors, with the exception that the number of teenagers aged 12-17 was used rather than overall household size.  The weights are designed to weight the data to match U.S. Current Population Survey (CPS) proportions (see Table 1).  Each survey includes a separate weighting variable (weight, weight_summer, weight_Teen</w:t>
      </w:r>
      <w:r w:rsidR="007415D7">
        <w:t>, weight_fallA, and weight_fallB</w:t>
      </w:r>
      <w:r w:rsidRPr="00B71BB5">
        <w:t>).  When using data points from multiple surveys in combined analyses</w:t>
      </w:r>
      <w:r>
        <w:t xml:space="preserve">, it is recommended that </w:t>
      </w:r>
      <w:r w:rsidRPr="00B71BB5">
        <w:t xml:space="preserve">the </w:t>
      </w:r>
      <w:r>
        <w:rPr>
          <w:i/>
        </w:rPr>
        <w:t>Spring</w:t>
      </w:r>
      <w:r w:rsidRPr="00AB0549">
        <w:rPr>
          <w:i/>
        </w:rPr>
        <w:t>Styles</w:t>
      </w:r>
      <w:r w:rsidRPr="00B71BB5">
        <w:t xml:space="preserve"> weight (weight) be used.</w:t>
      </w:r>
    </w:p>
    <w:p w:rsidR="003D4F1C" w:rsidRPr="00A21066" w:rsidRDefault="00381997" w:rsidP="003D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1066">
        <w:br w:type="page"/>
      </w:r>
      <w:r w:rsidR="003D4F1C" w:rsidRPr="00A21066">
        <w:lastRenderedPageBreak/>
        <w:t xml:space="preserve">Table 1:  </w:t>
      </w:r>
    </w:p>
    <w:p w:rsidR="003D4F1C" w:rsidRPr="00A21066" w:rsidRDefault="003D4F1C" w:rsidP="003D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1066">
        <w:t xml:space="preserve">Comparison of the Styles </w:t>
      </w:r>
      <w:r>
        <w:rPr>
          <w:iCs/>
        </w:rPr>
        <w:t>2015</w:t>
      </w:r>
      <w:r w:rsidRPr="00A21066">
        <w:rPr>
          <w:iCs/>
        </w:rPr>
        <w:t xml:space="preserve"> </w:t>
      </w:r>
      <w:r w:rsidRPr="00A21066">
        <w:t>samples to the 2014 Census estimates on selected demographic variables.</w:t>
      </w:r>
    </w:p>
    <w:p w:rsidR="000E299C" w:rsidRPr="00A21066" w:rsidRDefault="000E299C" w:rsidP="003D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430"/>
        <w:gridCol w:w="1050"/>
        <w:gridCol w:w="1050"/>
        <w:gridCol w:w="1050"/>
        <w:gridCol w:w="1050"/>
        <w:gridCol w:w="1050"/>
        <w:gridCol w:w="1050"/>
        <w:gridCol w:w="1050"/>
        <w:gridCol w:w="1050"/>
        <w:gridCol w:w="1050"/>
      </w:tblGrid>
      <w:tr w:rsidR="001222A4" w:rsidRPr="00A21066" w:rsidTr="00011D5D">
        <w:trPr>
          <w:trHeight w:val="414"/>
          <w:jc w:val="center"/>
        </w:trPr>
        <w:tc>
          <w:tcPr>
            <w:tcW w:w="2430" w:type="dxa"/>
            <w:shd w:val="clear" w:color="000000" w:fill="FFFFFF"/>
            <w:vAlign w:val="bottom"/>
          </w:tcPr>
          <w:p w:rsidR="001222A4" w:rsidRPr="00A21066" w:rsidRDefault="001222A4" w:rsidP="001222A4">
            <w:pPr>
              <w:autoSpaceDE w:val="0"/>
              <w:autoSpaceDN w:val="0"/>
              <w:adjustRightInd w:val="0"/>
              <w:ind w:left="357"/>
              <w:rPr>
                <w:rFonts w:ascii="Arial" w:hAnsi="Arial" w:cs="Arial"/>
                <w:b/>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center"/>
              <w:rPr>
                <w:rFonts w:ascii="Arial" w:hAnsi="Arial" w:cs="Arial"/>
                <w:b/>
                <w:color w:val="000000"/>
                <w:sz w:val="18"/>
                <w:szCs w:val="18"/>
              </w:rPr>
            </w:pPr>
            <w:r w:rsidRPr="00A21066">
              <w:rPr>
                <w:rFonts w:ascii="Arial" w:hAnsi="Arial" w:cs="Arial"/>
                <w:b/>
                <w:color w:val="000000"/>
                <w:sz w:val="18"/>
                <w:szCs w:val="18"/>
              </w:rPr>
              <w:t>CPS 2014</w:t>
            </w:r>
          </w:p>
        </w:tc>
        <w:tc>
          <w:tcPr>
            <w:tcW w:w="1050" w:type="dxa"/>
            <w:shd w:val="clear" w:color="000000" w:fill="FFFFFF"/>
            <w:vAlign w:val="bottom"/>
          </w:tcPr>
          <w:p w:rsidR="001222A4" w:rsidRPr="00A21066" w:rsidRDefault="001222A4" w:rsidP="0091180E">
            <w:pPr>
              <w:autoSpaceDE w:val="0"/>
              <w:autoSpaceDN w:val="0"/>
              <w:adjustRightInd w:val="0"/>
              <w:jc w:val="center"/>
              <w:rPr>
                <w:rFonts w:ascii="Arial" w:hAnsi="Arial" w:cs="Arial"/>
                <w:b/>
                <w:color w:val="000000"/>
                <w:sz w:val="18"/>
                <w:szCs w:val="18"/>
              </w:rPr>
            </w:pPr>
            <w:r w:rsidRPr="00A21066">
              <w:rPr>
                <w:rFonts w:ascii="Arial" w:hAnsi="Arial" w:cs="Arial"/>
                <w:b/>
                <w:color w:val="000000"/>
                <w:sz w:val="18"/>
                <w:szCs w:val="18"/>
              </w:rPr>
              <w:t>Spring (unwt)</w:t>
            </w:r>
          </w:p>
        </w:tc>
        <w:tc>
          <w:tcPr>
            <w:tcW w:w="1050" w:type="dxa"/>
            <w:shd w:val="clear" w:color="000000" w:fill="FFFFFF"/>
            <w:vAlign w:val="bottom"/>
          </w:tcPr>
          <w:p w:rsidR="001222A4" w:rsidRPr="00A21066" w:rsidRDefault="001222A4" w:rsidP="0091180E">
            <w:pPr>
              <w:autoSpaceDE w:val="0"/>
              <w:autoSpaceDN w:val="0"/>
              <w:adjustRightInd w:val="0"/>
              <w:jc w:val="center"/>
              <w:rPr>
                <w:rFonts w:ascii="Arial" w:hAnsi="Arial" w:cs="Arial"/>
                <w:b/>
                <w:color w:val="000000"/>
                <w:sz w:val="18"/>
                <w:szCs w:val="18"/>
              </w:rPr>
            </w:pPr>
            <w:r w:rsidRPr="00A21066">
              <w:rPr>
                <w:rFonts w:ascii="Arial" w:hAnsi="Arial" w:cs="Arial"/>
                <w:b/>
                <w:color w:val="000000"/>
                <w:sz w:val="18"/>
                <w:szCs w:val="18"/>
              </w:rPr>
              <w:t>Spring (wt)</w:t>
            </w:r>
          </w:p>
        </w:tc>
        <w:tc>
          <w:tcPr>
            <w:tcW w:w="1050" w:type="dxa"/>
            <w:shd w:val="clear" w:color="000000" w:fill="FFFFFF"/>
            <w:vAlign w:val="bottom"/>
          </w:tcPr>
          <w:p w:rsidR="001222A4" w:rsidRPr="00260071" w:rsidRDefault="001222A4" w:rsidP="0091180E">
            <w:pPr>
              <w:autoSpaceDE w:val="0"/>
              <w:autoSpaceDN w:val="0"/>
              <w:adjustRightInd w:val="0"/>
              <w:jc w:val="center"/>
              <w:rPr>
                <w:rFonts w:ascii="Arial" w:hAnsi="Arial" w:cs="Arial"/>
                <w:b/>
                <w:color w:val="000000"/>
                <w:sz w:val="18"/>
                <w:szCs w:val="18"/>
              </w:rPr>
            </w:pPr>
            <w:r w:rsidRPr="00260071">
              <w:rPr>
                <w:rFonts w:ascii="Arial" w:hAnsi="Arial" w:cs="Arial"/>
                <w:b/>
                <w:color w:val="000000"/>
                <w:sz w:val="18"/>
                <w:szCs w:val="18"/>
              </w:rPr>
              <w:t>Summer</w:t>
            </w:r>
          </w:p>
          <w:p w:rsidR="001222A4" w:rsidRPr="00260071" w:rsidRDefault="001222A4" w:rsidP="0091180E">
            <w:pPr>
              <w:autoSpaceDE w:val="0"/>
              <w:autoSpaceDN w:val="0"/>
              <w:adjustRightInd w:val="0"/>
              <w:jc w:val="center"/>
              <w:rPr>
                <w:rFonts w:ascii="Arial" w:hAnsi="Arial" w:cs="Arial"/>
                <w:b/>
                <w:color w:val="000000"/>
                <w:sz w:val="18"/>
                <w:szCs w:val="18"/>
              </w:rPr>
            </w:pPr>
            <w:r w:rsidRPr="00260071">
              <w:rPr>
                <w:rFonts w:ascii="Arial" w:hAnsi="Arial" w:cs="Arial"/>
                <w:b/>
                <w:color w:val="000000"/>
                <w:sz w:val="18"/>
                <w:szCs w:val="18"/>
              </w:rPr>
              <w:t>(unwt)</w:t>
            </w:r>
          </w:p>
        </w:tc>
        <w:tc>
          <w:tcPr>
            <w:tcW w:w="1050" w:type="dxa"/>
            <w:shd w:val="clear" w:color="000000" w:fill="FFFFFF"/>
            <w:vAlign w:val="bottom"/>
          </w:tcPr>
          <w:p w:rsidR="001222A4" w:rsidRPr="00260071" w:rsidRDefault="001222A4" w:rsidP="0091180E">
            <w:pPr>
              <w:autoSpaceDE w:val="0"/>
              <w:autoSpaceDN w:val="0"/>
              <w:adjustRightInd w:val="0"/>
              <w:jc w:val="center"/>
              <w:rPr>
                <w:rFonts w:ascii="Arial" w:hAnsi="Arial" w:cs="Arial"/>
                <w:b/>
                <w:color w:val="000000"/>
                <w:sz w:val="18"/>
                <w:szCs w:val="18"/>
              </w:rPr>
            </w:pPr>
            <w:r w:rsidRPr="00260071">
              <w:rPr>
                <w:rFonts w:ascii="Arial" w:hAnsi="Arial" w:cs="Arial"/>
                <w:b/>
                <w:color w:val="000000"/>
                <w:sz w:val="18"/>
                <w:szCs w:val="18"/>
              </w:rPr>
              <w:t>Summer (wt)</w:t>
            </w:r>
          </w:p>
        </w:tc>
        <w:tc>
          <w:tcPr>
            <w:tcW w:w="1050" w:type="dxa"/>
            <w:shd w:val="clear" w:color="000000" w:fill="FFFFFF"/>
            <w:vAlign w:val="bottom"/>
          </w:tcPr>
          <w:p w:rsidR="001222A4" w:rsidRPr="004D718D" w:rsidRDefault="001222A4" w:rsidP="00844521">
            <w:pPr>
              <w:autoSpaceDE w:val="0"/>
              <w:autoSpaceDN w:val="0"/>
              <w:adjustRightInd w:val="0"/>
              <w:jc w:val="center"/>
              <w:rPr>
                <w:rFonts w:ascii="Arial" w:hAnsi="Arial" w:cs="Arial"/>
                <w:b/>
                <w:color w:val="000000"/>
                <w:sz w:val="18"/>
                <w:szCs w:val="18"/>
              </w:rPr>
            </w:pPr>
            <w:r w:rsidRPr="004D718D">
              <w:rPr>
                <w:rFonts w:ascii="Arial" w:hAnsi="Arial" w:cs="Arial"/>
                <w:b/>
                <w:color w:val="000000"/>
                <w:sz w:val="18"/>
                <w:szCs w:val="18"/>
              </w:rPr>
              <w:t>Fall 1</w:t>
            </w:r>
          </w:p>
          <w:p w:rsidR="001222A4" w:rsidRPr="004D718D" w:rsidRDefault="001222A4" w:rsidP="00844521">
            <w:pPr>
              <w:autoSpaceDE w:val="0"/>
              <w:autoSpaceDN w:val="0"/>
              <w:adjustRightInd w:val="0"/>
              <w:jc w:val="center"/>
              <w:rPr>
                <w:rFonts w:ascii="Arial" w:hAnsi="Arial" w:cs="Arial"/>
                <w:b/>
                <w:color w:val="000000"/>
                <w:sz w:val="18"/>
                <w:szCs w:val="18"/>
              </w:rPr>
            </w:pPr>
            <w:r w:rsidRPr="004D718D">
              <w:rPr>
                <w:rFonts w:ascii="Arial" w:hAnsi="Arial" w:cs="Arial"/>
                <w:b/>
                <w:color w:val="000000"/>
                <w:sz w:val="18"/>
                <w:szCs w:val="18"/>
              </w:rPr>
              <w:t>(unwt)</w:t>
            </w:r>
          </w:p>
        </w:tc>
        <w:tc>
          <w:tcPr>
            <w:tcW w:w="1050" w:type="dxa"/>
            <w:shd w:val="clear" w:color="000000" w:fill="FFFFFF"/>
            <w:vAlign w:val="bottom"/>
          </w:tcPr>
          <w:p w:rsidR="001222A4" w:rsidRPr="004D718D" w:rsidRDefault="001222A4" w:rsidP="00844521">
            <w:pPr>
              <w:autoSpaceDE w:val="0"/>
              <w:autoSpaceDN w:val="0"/>
              <w:adjustRightInd w:val="0"/>
              <w:jc w:val="center"/>
              <w:rPr>
                <w:rFonts w:ascii="Arial" w:hAnsi="Arial" w:cs="Arial"/>
                <w:b/>
                <w:color w:val="000000"/>
                <w:sz w:val="18"/>
                <w:szCs w:val="18"/>
              </w:rPr>
            </w:pPr>
            <w:r w:rsidRPr="004D718D">
              <w:rPr>
                <w:rFonts w:ascii="Arial" w:hAnsi="Arial" w:cs="Arial"/>
                <w:b/>
                <w:color w:val="000000"/>
                <w:sz w:val="18"/>
                <w:szCs w:val="18"/>
              </w:rPr>
              <w:t xml:space="preserve">Fall 1 </w:t>
            </w:r>
          </w:p>
          <w:p w:rsidR="001222A4" w:rsidRPr="004D718D" w:rsidRDefault="001222A4" w:rsidP="00844521">
            <w:pPr>
              <w:autoSpaceDE w:val="0"/>
              <w:autoSpaceDN w:val="0"/>
              <w:adjustRightInd w:val="0"/>
              <w:jc w:val="center"/>
              <w:rPr>
                <w:rFonts w:ascii="Arial" w:hAnsi="Arial" w:cs="Arial"/>
                <w:b/>
                <w:color w:val="000000"/>
                <w:sz w:val="18"/>
                <w:szCs w:val="18"/>
              </w:rPr>
            </w:pPr>
            <w:r w:rsidRPr="004D718D">
              <w:rPr>
                <w:rFonts w:ascii="Arial" w:hAnsi="Arial" w:cs="Arial"/>
                <w:b/>
                <w:color w:val="000000"/>
                <w:sz w:val="18"/>
                <w:szCs w:val="18"/>
              </w:rPr>
              <w:t>(wt)</w:t>
            </w:r>
          </w:p>
        </w:tc>
        <w:tc>
          <w:tcPr>
            <w:tcW w:w="1050" w:type="dxa"/>
            <w:shd w:val="clear" w:color="000000" w:fill="FFFFFF"/>
          </w:tcPr>
          <w:p w:rsidR="001222A4" w:rsidRPr="004D718D" w:rsidRDefault="001222A4" w:rsidP="00844521">
            <w:pPr>
              <w:autoSpaceDE w:val="0"/>
              <w:autoSpaceDN w:val="0"/>
              <w:adjustRightInd w:val="0"/>
              <w:jc w:val="center"/>
              <w:rPr>
                <w:rFonts w:ascii="Arial" w:hAnsi="Arial" w:cs="Arial"/>
                <w:b/>
                <w:color w:val="000000"/>
                <w:sz w:val="18"/>
                <w:szCs w:val="18"/>
              </w:rPr>
            </w:pPr>
            <w:r w:rsidRPr="004D718D">
              <w:rPr>
                <w:rFonts w:ascii="Arial" w:hAnsi="Arial" w:cs="Arial"/>
                <w:b/>
                <w:color w:val="000000"/>
                <w:sz w:val="18"/>
                <w:szCs w:val="18"/>
              </w:rPr>
              <w:t>Fall 2 (unwt)</w:t>
            </w:r>
          </w:p>
        </w:tc>
        <w:tc>
          <w:tcPr>
            <w:tcW w:w="1050" w:type="dxa"/>
            <w:shd w:val="clear" w:color="000000" w:fill="FFFFFF"/>
          </w:tcPr>
          <w:p w:rsidR="001222A4" w:rsidRPr="004D718D" w:rsidRDefault="001222A4" w:rsidP="00844521">
            <w:pPr>
              <w:autoSpaceDE w:val="0"/>
              <w:autoSpaceDN w:val="0"/>
              <w:adjustRightInd w:val="0"/>
              <w:jc w:val="center"/>
              <w:rPr>
                <w:rFonts w:ascii="Arial" w:hAnsi="Arial" w:cs="Arial"/>
                <w:b/>
                <w:color w:val="000000"/>
                <w:sz w:val="18"/>
                <w:szCs w:val="18"/>
              </w:rPr>
            </w:pPr>
            <w:r w:rsidRPr="004D718D">
              <w:rPr>
                <w:rFonts w:ascii="Arial" w:hAnsi="Arial" w:cs="Arial"/>
                <w:b/>
                <w:color w:val="000000"/>
                <w:sz w:val="18"/>
                <w:szCs w:val="18"/>
              </w:rPr>
              <w:t xml:space="preserve">Fall 2 </w:t>
            </w:r>
          </w:p>
          <w:p w:rsidR="001222A4" w:rsidRPr="004D718D" w:rsidRDefault="001222A4" w:rsidP="00844521">
            <w:pPr>
              <w:autoSpaceDE w:val="0"/>
              <w:autoSpaceDN w:val="0"/>
              <w:adjustRightInd w:val="0"/>
              <w:jc w:val="center"/>
              <w:rPr>
                <w:rFonts w:ascii="Arial" w:hAnsi="Arial" w:cs="Arial"/>
                <w:b/>
                <w:color w:val="000000"/>
                <w:sz w:val="18"/>
                <w:szCs w:val="18"/>
              </w:rPr>
            </w:pPr>
            <w:r w:rsidRPr="004D718D">
              <w:rPr>
                <w:rFonts w:ascii="Arial" w:hAnsi="Arial" w:cs="Arial"/>
                <w:b/>
                <w:color w:val="000000"/>
                <w:sz w:val="18"/>
                <w:szCs w:val="18"/>
              </w:rPr>
              <w:t>(wt)</w:t>
            </w:r>
          </w:p>
        </w:tc>
      </w:tr>
      <w:tr w:rsidR="001222A4" w:rsidRPr="00A21066" w:rsidTr="00011D5D">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b/>
                <w:color w:val="000000"/>
                <w:sz w:val="18"/>
                <w:szCs w:val="18"/>
              </w:rPr>
            </w:pPr>
          </w:p>
          <w:p w:rsidR="001222A4" w:rsidRPr="00A21066" w:rsidRDefault="001222A4" w:rsidP="0091180E">
            <w:pPr>
              <w:autoSpaceDE w:val="0"/>
              <w:autoSpaceDN w:val="0"/>
              <w:adjustRightInd w:val="0"/>
              <w:rPr>
                <w:rFonts w:ascii="Arial" w:hAnsi="Arial" w:cs="Arial"/>
                <w:b/>
                <w:color w:val="000000"/>
                <w:sz w:val="18"/>
                <w:szCs w:val="18"/>
              </w:rPr>
            </w:pPr>
            <w:r w:rsidRPr="00A21066">
              <w:rPr>
                <w:rFonts w:ascii="Arial" w:hAnsi="Arial" w:cs="Arial"/>
                <w:b/>
                <w:color w:val="000000"/>
                <w:sz w:val="18"/>
                <w:szCs w:val="18"/>
              </w:rPr>
              <w:t>Gender</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tcPr>
          <w:p w:rsidR="001222A4" w:rsidRPr="00A21066" w:rsidRDefault="001222A4" w:rsidP="009643C4">
            <w:pPr>
              <w:autoSpaceDE w:val="0"/>
              <w:autoSpaceDN w:val="0"/>
              <w:adjustRightInd w:val="0"/>
              <w:jc w:val="right"/>
              <w:rPr>
                <w:rFonts w:ascii="Arial" w:hAnsi="Arial" w:cs="Arial"/>
                <w:color w:val="000000"/>
                <w:sz w:val="18"/>
                <w:szCs w:val="18"/>
              </w:rPr>
            </w:pPr>
          </w:p>
        </w:tc>
        <w:tc>
          <w:tcPr>
            <w:tcW w:w="1050" w:type="dxa"/>
            <w:shd w:val="clear" w:color="000000" w:fill="FFFFFF"/>
          </w:tcPr>
          <w:p w:rsidR="001222A4" w:rsidRPr="00A21066" w:rsidRDefault="001222A4" w:rsidP="009643C4">
            <w:pPr>
              <w:autoSpaceDE w:val="0"/>
              <w:autoSpaceDN w:val="0"/>
              <w:adjustRightInd w:val="0"/>
              <w:jc w:val="right"/>
              <w:rPr>
                <w:rFonts w:ascii="Arial" w:hAnsi="Arial" w:cs="Arial"/>
                <w:color w:val="000000"/>
                <w:sz w:val="18"/>
                <w:szCs w:val="18"/>
              </w:rPr>
            </w:pPr>
          </w:p>
        </w:tc>
        <w:tc>
          <w:tcPr>
            <w:tcW w:w="1050" w:type="dxa"/>
            <w:shd w:val="clear" w:color="000000" w:fill="FFFFFF"/>
          </w:tcPr>
          <w:p w:rsidR="001222A4" w:rsidRPr="00A21066" w:rsidRDefault="001222A4" w:rsidP="009643C4">
            <w:pPr>
              <w:autoSpaceDE w:val="0"/>
              <w:autoSpaceDN w:val="0"/>
              <w:adjustRightInd w:val="0"/>
              <w:jc w:val="right"/>
              <w:rPr>
                <w:rFonts w:ascii="Arial" w:hAnsi="Arial" w:cs="Arial"/>
                <w:color w:val="000000"/>
                <w:sz w:val="18"/>
                <w:szCs w:val="18"/>
              </w:rPr>
            </w:pPr>
          </w:p>
        </w:tc>
        <w:tc>
          <w:tcPr>
            <w:tcW w:w="1050" w:type="dxa"/>
            <w:shd w:val="clear" w:color="000000" w:fill="FFFFFF"/>
          </w:tcPr>
          <w:p w:rsidR="001222A4" w:rsidRPr="00A21066" w:rsidRDefault="001222A4" w:rsidP="009643C4">
            <w:pPr>
              <w:autoSpaceDE w:val="0"/>
              <w:autoSpaceDN w:val="0"/>
              <w:adjustRightInd w:val="0"/>
              <w:jc w:val="right"/>
              <w:rPr>
                <w:rFonts w:ascii="Arial" w:hAnsi="Arial" w:cs="Arial"/>
                <w:color w:val="000000"/>
                <w:sz w:val="18"/>
                <w:szCs w:val="18"/>
              </w:rPr>
            </w:pP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Male</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48.2%</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44.5</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48.1%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46.3%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48.2%</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51.4%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48.6%</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50.7%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48.7%</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Female</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51.8%</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55.5</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51.9%</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53.7%</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51.8%</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48.6%</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51.4%</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49.3%</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51.3%</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b/>
                <w:color w:val="000000"/>
                <w:sz w:val="18"/>
                <w:szCs w:val="18"/>
              </w:rPr>
            </w:pPr>
          </w:p>
          <w:p w:rsidR="001222A4" w:rsidRPr="00A21066" w:rsidRDefault="001222A4" w:rsidP="0091180E">
            <w:pPr>
              <w:autoSpaceDE w:val="0"/>
              <w:autoSpaceDN w:val="0"/>
              <w:adjustRightInd w:val="0"/>
              <w:rPr>
                <w:rFonts w:ascii="Arial" w:hAnsi="Arial" w:cs="Arial"/>
                <w:b/>
                <w:color w:val="000000"/>
                <w:sz w:val="18"/>
                <w:szCs w:val="18"/>
              </w:rPr>
            </w:pPr>
            <w:r w:rsidRPr="00A21066">
              <w:rPr>
                <w:rFonts w:ascii="Arial" w:hAnsi="Arial" w:cs="Arial"/>
                <w:b/>
                <w:color w:val="000000"/>
                <w:sz w:val="18"/>
                <w:szCs w:val="18"/>
              </w:rPr>
              <w:t>Age</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18-24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12.7%</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6.9</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12.</w:t>
            </w:r>
            <w:r>
              <w:rPr>
                <w:rFonts w:ascii="Arial" w:hAnsi="Arial" w:cs="Arial"/>
                <w:color w:val="000000"/>
                <w:sz w:val="18"/>
                <w:szCs w:val="18"/>
              </w:rPr>
              <w:t>5</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7.2%</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12.5%</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7.3%</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12.5%</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7.0%</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12.5%</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25-34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17.5%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2.0</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17.4%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12.9%</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17.6%</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13.7%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17.7%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13.0%</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17.5%</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35-44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16.8%</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8.7</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16.</w:t>
            </w:r>
            <w:r>
              <w:rPr>
                <w:rFonts w:ascii="Arial" w:hAnsi="Arial" w:cs="Arial"/>
                <w:color w:val="000000"/>
                <w:sz w:val="18"/>
                <w:szCs w:val="18"/>
              </w:rPr>
              <w:t>6</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15.5%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16.5%</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12.5%</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16.2%</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12.7%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16.3%</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45-54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18.4%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26.9%</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18.</w:t>
            </w:r>
            <w:r>
              <w:rPr>
                <w:rFonts w:ascii="Arial" w:hAnsi="Arial" w:cs="Arial"/>
                <w:color w:val="000000"/>
                <w:sz w:val="18"/>
                <w:szCs w:val="18"/>
              </w:rPr>
              <w:t>1</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22.3%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18.0%</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16.9%</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18.1%</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17.9%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18.0%</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55-64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16.3%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9.3</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16.</w:t>
            </w:r>
            <w:r>
              <w:rPr>
                <w:rFonts w:ascii="Arial" w:hAnsi="Arial" w:cs="Arial"/>
                <w:color w:val="000000"/>
                <w:sz w:val="18"/>
                <w:szCs w:val="18"/>
              </w:rPr>
              <w:t>7</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21.3%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16.7%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24.3%</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16.6%</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24.5%</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16.8%</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65+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18.3%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6.2</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18.</w:t>
            </w:r>
            <w:r>
              <w:rPr>
                <w:rFonts w:ascii="Arial" w:hAnsi="Arial" w:cs="Arial"/>
                <w:color w:val="000000"/>
                <w:sz w:val="18"/>
                <w:szCs w:val="18"/>
              </w:rPr>
              <w:t>7</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20.8%</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18.7%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25.3%</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18.8%</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24.9%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18.9%</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b/>
                <w:color w:val="000000"/>
                <w:sz w:val="18"/>
                <w:szCs w:val="18"/>
              </w:rPr>
            </w:pPr>
          </w:p>
          <w:p w:rsidR="001222A4" w:rsidRPr="00A21066" w:rsidRDefault="001222A4" w:rsidP="0091180E">
            <w:pPr>
              <w:autoSpaceDE w:val="0"/>
              <w:autoSpaceDN w:val="0"/>
              <w:adjustRightInd w:val="0"/>
              <w:rPr>
                <w:rFonts w:ascii="Arial" w:hAnsi="Arial" w:cs="Arial"/>
                <w:b/>
                <w:color w:val="000000"/>
                <w:sz w:val="18"/>
                <w:szCs w:val="18"/>
              </w:rPr>
            </w:pPr>
            <w:r w:rsidRPr="00A21066">
              <w:rPr>
                <w:rFonts w:ascii="Arial" w:hAnsi="Arial" w:cs="Arial"/>
                <w:b/>
                <w:color w:val="000000"/>
                <w:sz w:val="18"/>
                <w:szCs w:val="18"/>
              </w:rPr>
              <w:t xml:space="preserve">Region </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Northeast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18.1%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7.5</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18.</w:t>
            </w:r>
            <w:r>
              <w:rPr>
                <w:rFonts w:ascii="Arial" w:hAnsi="Arial" w:cs="Arial"/>
                <w:color w:val="000000"/>
                <w:sz w:val="18"/>
                <w:szCs w:val="18"/>
              </w:rPr>
              <w:t>3</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17.6%</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18.2%</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17.7%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18.2%</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18.2%</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18.2%</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Midwest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21.4%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25.</w:t>
            </w:r>
            <w:r>
              <w:rPr>
                <w:rFonts w:ascii="Arial" w:hAnsi="Arial" w:cs="Arial"/>
                <w:color w:val="000000"/>
                <w:sz w:val="18"/>
                <w:szCs w:val="18"/>
              </w:rPr>
              <w:t>7</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21.5%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25.5%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21.4%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24.7%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21.5%</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25.1%</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21.6%</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South</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37.1%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3</w:t>
            </w:r>
            <w:r>
              <w:rPr>
                <w:rFonts w:ascii="Arial" w:hAnsi="Arial" w:cs="Arial"/>
                <w:color w:val="000000"/>
                <w:sz w:val="18"/>
                <w:szCs w:val="18"/>
              </w:rPr>
              <w:t>4.3</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37.0%</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35.1%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37.0%</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35.3%</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36.8%</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35.0%</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36.8%</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West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23.4%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22.</w:t>
            </w:r>
            <w:r>
              <w:rPr>
                <w:rFonts w:ascii="Arial" w:hAnsi="Arial" w:cs="Arial"/>
                <w:color w:val="000000"/>
                <w:sz w:val="18"/>
                <w:szCs w:val="18"/>
              </w:rPr>
              <w:t>5</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23.</w:t>
            </w:r>
            <w:r>
              <w:rPr>
                <w:rFonts w:ascii="Arial" w:hAnsi="Arial" w:cs="Arial"/>
                <w:color w:val="000000"/>
                <w:sz w:val="18"/>
                <w:szCs w:val="18"/>
              </w:rPr>
              <w:t>2</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21.8%</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23.4%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22.3%</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23.5%</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21.8%</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23.4%</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b/>
                <w:color w:val="000000"/>
                <w:sz w:val="18"/>
                <w:szCs w:val="18"/>
              </w:rPr>
            </w:pPr>
          </w:p>
          <w:p w:rsidR="001222A4" w:rsidRPr="00A21066" w:rsidRDefault="001222A4" w:rsidP="0091180E">
            <w:pPr>
              <w:autoSpaceDE w:val="0"/>
              <w:autoSpaceDN w:val="0"/>
              <w:adjustRightInd w:val="0"/>
              <w:rPr>
                <w:rFonts w:ascii="Arial" w:hAnsi="Arial" w:cs="Arial"/>
                <w:b/>
                <w:color w:val="000000"/>
                <w:sz w:val="18"/>
                <w:szCs w:val="18"/>
              </w:rPr>
            </w:pPr>
            <w:r w:rsidRPr="00A21066">
              <w:rPr>
                <w:rFonts w:ascii="Arial" w:hAnsi="Arial" w:cs="Arial"/>
                <w:b/>
                <w:color w:val="000000"/>
                <w:sz w:val="18"/>
                <w:szCs w:val="18"/>
              </w:rPr>
              <w:t>Household income</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Less than $25K</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18.5%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6</w:t>
            </w:r>
            <w:r w:rsidRPr="00A21066">
              <w:rPr>
                <w:rFonts w:ascii="Arial" w:hAnsi="Arial" w:cs="Arial"/>
                <w:color w:val="000000"/>
                <w:sz w:val="18"/>
                <w:szCs w:val="18"/>
              </w:rPr>
              <w:t>.7%</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7.8</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17.9%</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17.9%</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18.5%</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17.7%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19.1%</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17.9%</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$25-39K</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14.1%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5.5</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3.8</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17.1%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13.8%</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13.8%</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16.4%</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13.8%</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$40-59K</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16.4%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17.4%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16.</w:t>
            </w:r>
            <w:r>
              <w:rPr>
                <w:rFonts w:ascii="Arial" w:hAnsi="Arial" w:cs="Arial"/>
                <w:color w:val="000000"/>
                <w:sz w:val="18"/>
                <w:szCs w:val="18"/>
              </w:rPr>
              <w:t>7</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17.7%</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16.6%</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17.4%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16.8%</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17.7%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16.7%</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$60K or more</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51.0.%</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50.</w:t>
            </w:r>
            <w:r>
              <w:rPr>
                <w:rFonts w:ascii="Arial" w:hAnsi="Arial" w:cs="Arial"/>
                <w:color w:val="000000"/>
                <w:sz w:val="18"/>
                <w:szCs w:val="18"/>
              </w:rPr>
              <w:t>4</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51.</w:t>
            </w:r>
            <w:r>
              <w:rPr>
                <w:rFonts w:ascii="Arial" w:hAnsi="Arial" w:cs="Arial"/>
                <w:color w:val="000000"/>
                <w:sz w:val="18"/>
                <w:szCs w:val="18"/>
              </w:rPr>
              <w:t>7</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47.3%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51.7%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47.7%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51.7%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46.8%</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51.6%</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b/>
                <w:color w:val="000000"/>
                <w:sz w:val="18"/>
                <w:szCs w:val="18"/>
              </w:rPr>
            </w:pPr>
          </w:p>
          <w:p w:rsidR="001222A4" w:rsidRPr="00A21066" w:rsidRDefault="001222A4" w:rsidP="0091180E">
            <w:pPr>
              <w:autoSpaceDE w:val="0"/>
              <w:autoSpaceDN w:val="0"/>
              <w:adjustRightInd w:val="0"/>
              <w:rPr>
                <w:rFonts w:ascii="Arial" w:hAnsi="Arial" w:cs="Arial"/>
                <w:b/>
                <w:color w:val="000000"/>
                <w:sz w:val="18"/>
                <w:szCs w:val="18"/>
              </w:rPr>
            </w:pPr>
            <w:r w:rsidRPr="00A21066">
              <w:rPr>
                <w:rFonts w:ascii="Arial" w:hAnsi="Arial" w:cs="Arial"/>
                <w:b/>
                <w:color w:val="000000"/>
                <w:sz w:val="18"/>
                <w:szCs w:val="18"/>
              </w:rPr>
              <w:t>Race / Ethnicity</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White, Non-Hispanic</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66.0%</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7</w:t>
            </w:r>
            <w:r>
              <w:rPr>
                <w:rFonts w:ascii="Arial" w:hAnsi="Arial" w:cs="Arial"/>
                <w:color w:val="000000"/>
                <w:sz w:val="18"/>
                <w:szCs w:val="18"/>
              </w:rPr>
              <w:t>3.0</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6</w:t>
            </w:r>
            <w:r>
              <w:rPr>
                <w:rFonts w:ascii="Arial" w:hAnsi="Arial" w:cs="Arial"/>
                <w:color w:val="000000"/>
                <w:sz w:val="18"/>
                <w:szCs w:val="18"/>
              </w:rPr>
              <w:t>5.9</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74.7%</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65.6%</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75.5%</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66.3%</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75.3%</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66.3%</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Black, Non-Hispanic</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11.6%</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9.</w:t>
            </w:r>
            <w:r>
              <w:rPr>
                <w:rFonts w:ascii="Arial" w:hAnsi="Arial" w:cs="Arial"/>
                <w:color w:val="000000"/>
                <w:sz w:val="18"/>
                <w:szCs w:val="18"/>
              </w:rPr>
              <w:t>7</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11.6%</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9.7%</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11.6%</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9.4%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11.2%</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9.5%</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11.3%</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Other, Non-Hispanic</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6.2%</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3.</w:t>
            </w:r>
            <w:r>
              <w:rPr>
                <w:rFonts w:ascii="Arial" w:hAnsi="Arial" w:cs="Arial"/>
                <w:color w:val="000000"/>
                <w:sz w:val="18"/>
                <w:szCs w:val="18"/>
              </w:rPr>
              <w:t>1</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6.0</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3.2%</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6.4%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2.8%</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6.4%</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6.3%</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Hispanic</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15.0%</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2.0</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5.2</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10.8%</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15.1%</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10.7%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14.9%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10.7%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14.8%</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2+ Races, Non-Hispanic</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w:t>
            </w:r>
            <w:r>
              <w:rPr>
                <w:rFonts w:ascii="Arial" w:hAnsi="Arial" w:cs="Arial"/>
                <w:color w:val="000000"/>
                <w:sz w:val="18"/>
                <w:szCs w:val="18"/>
              </w:rPr>
              <w:t>2</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1.6%</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1.3%</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1.3%</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1.3%</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b/>
                <w:color w:val="000000"/>
                <w:sz w:val="18"/>
                <w:szCs w:val="18"/>
              </w:rPr>
            </w:pPr>
          </w:p>
          <w:p w:rsidR="001222A4" w:rsidRPr="00A21066" w:rsidRDefault="001222A4" w:rsidP="0091180E">
            <w:pPr>
              <w:autoSpaceDE w:val="0"/>
              <w:autoSpaceDN w:val="0"/>
              <w:adjustRightInd w:val="0"/>
              <w:rPr>
                <w:rFonts w:ascii="Arial" w:hAnsi="Arial" w:cs="Arial"/>
                <w:b/>
                <w:color w:val="000000"/>
                <w:sz w:val="18"/>
                <w:szCs w:val="18"/>
              </w:rPr>
            </w:pPr>
            <w:r w:rsidRPr="00A21066">
              <w:rPr>
                <w:rFonts w:ascii="Arial" w:hAnsi="Arial" w:cs="Arial"/>
                <w:b/>
                <w:color w:val="000000"/>
                <w:sz w:val="18"/>
                <w:szCs w:val="18"/>
              </w:rPr>
              <w:t xml:space="preserve">Education </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Less than high school</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12.6%</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6.</w:t>
            </w:r>
            <w:r>
              <w:rPr>
                <w:rFonts w:ascii="Arial" w:hAnsi="Arial" w:cs="Arial"/>
                <w:color w:val="000000"/>
                <w:sz w:val="18"/>
                <w:szCs w:val="18"/>
              </w:rPr>
              <w:t>6</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12.</w:t>
            </w:r>
            <w:r>
              <w:rPr>
                <w:rFonts w:ascii="Arial" w:hAnsi="Arial" w:cs="Arial"/>
                <w:color w:val="000000"/>
                <w:sz w:val="18"/>
                <w:szCs w:val="18"/>
              </w:rPr>
              <w:t>0</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7.1%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12.2%</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5.7%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5.9%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11.6%</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High school</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29.6%</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w:t>
            </w:r>
            <w:r>
              <w:rPr>
                <w:rFonts w:ascii="Arial" w:hAnsi="Arial" w:cs="Arial"/>
                <w:color w:val="000000"/>
                <w:sz w:val="18"/>
                <w:szCs w:val="18"/>
              </w:rPr>
              <w:t>6.4</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29.</w:t>
            </w:r>
            <w:r>
              <w:rPr>
                <w:rFonts w:ascii="Arial" w:hAnsi="Arial" w:cs="Arial"/>
                <w:color w:val="000000"/>
                <w:sz w:val="18"/>
                <w:szCs w:val="18"/>
              </w:rPr>
              <w:t>8</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29.9%</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29.7%</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30.9%</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29.7%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31.2%</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29.7%</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Some college</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28.9%</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31.</w:t>
            </w:r>
            <w:r>
              <w:rPr>
                <w:rFonts w:ascii="Arial" w:hAnsi="Arial" w:cs="Arial"/>
                <w:color w:val="000000"/>
                <w:sz w:val="18"/>
                <w:szCs w:val="18"/>
              </w:rPr>
              <w:t>9</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w:t>
            </w:r>
            <w:r>
              <w:rPr>
                <w:rFonts w:ascii="Arial" w:hAnsi="Arial" w:cs="Arial"/>
                <w:color w:val="000000"/>
                <w:sz w:val="18"/>
                <w:szCs w:val="18"/>
              </w:rPr>
              <w:t>8.9</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30.5%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28.8%</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31.5%</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28.9%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31.0%</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29.1%</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Bachelor's degree or higher</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28.9%</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3</w:t>
            </w:r>
            <w:r>
              <w:rPr>
                <w:rFonts w:ascii="Arial" w:hAnsi="Arial" w:cs="Arial"/>
                <w:color w:val="000000"/>
                <w:sz w:val="18"/>
                <w:szCs w:val="18"/>
              </w:rPr>
              <w:t>5.1</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29.</w:t>
            </w:r>
            <w:r>
              <w:rPr>
                <w:rFonts w:ascii="Arial" w:hAnsi="Arial" w:cs="Arial"/>
                <w:color w:val="000000"/>
                <w:sz w:val="18"/>
                <w:szCs w:val="18"/>
              </w:rPr>
              <w:t>3</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32.6%</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29.3%</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31.9%</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29.6%</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31.9%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29.6%</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b/>
                <w:color w:val="000000"/>
                <w:sz w:val="18"/>
                <w:szCs w:val="18"/>
              </w:rPr>
            </w:pPr>
          </w:p>
          <w:p w:rsidR="001222A4" w:rsidRPr="00A21066" w:rsidRDefault="001222A4" w:rsidP="0091180E">
            <w:pPr>
              <w:autoSpaceDE w:val="0"/>
              <w:autoSpaceDN w:val="0"/>
              <w:adjustRightInd w:val="0"/>
              <w:rPr>
                <w:rFonts w:ascii="Arial" w:hAnsi="Arial" w:cs="Arial"/>
                <w:b/>
                <w:color w:val="000000"/>
                <w:sz w:val="18"/>
                <w:szCs w:val="18"/>
              </w:rPr>
            </w:pPr>
            <w:r w:rsidRPr="00A21066">
              <w:rPr>
                <w:rFonts w:ascii="Arial" w:hAnsi="Arial" w:cs="Arial"/>
                <w:b/>
                <w:color w:val="000000"/>
                <w:sz w:val="18"/>
                <w:szCs w:val="18"/>
              </w:rPr>
              <w:t>MSA Status</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Non-Metro</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15.8%</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15.</w:t>
            </w:r>
            <w:r>
              <w:rPr>
                <w:rFonts w:ascii="Arial" w:hAnsi="Arial" w:cs="Arial"/>
                <w:color w:val="000000"/>
                <w:sz w:val="18"/>
                <w:szCs w:val="18"/>
              </w:rPr>
              <w:t>2</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15.</w:t>
            </w:r>
            <w:r>
              <w:rPr>
                <w:rFonts w:ascii="Arial" w:hAnsi="Arial" w:cs="Arial"/>
                <w:color w:val="000000"/>
                <w:sz w:val="18"/>
                <w:szCs w:val="18"/>
              </w:rPr>
              <w:t>6</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16.2%</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15.6%</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15.0%</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15.1%</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14.8%</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15.2%</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Metro</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84.2%</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84.</w:t>
            </w:r>
            <w:r>
              <w:rPr>
                <w:rFonts w:ascii="Arial" w:hAnsi="Arial" w:cs="Arial"/>
                <w:color w:val="000000"/>
                <w:sz w:val="18"/>
                <w:szCs w:val="18"/>
              </w:rPr>
              <w:t>8</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84.</w:t>
            </w:r>
            <w:r>
              <w:rPr>
                <w:rFonts w:ascii="Arial" w:hAnsi="Arial" w:cs="Arial"/>
                <w:color w:val="000000"/>
                <w:sz w:val="18"/>
                <w:szCs w:val="18"/>
              </w:rPr>
              <w:t>4</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83.8%</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84.4%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85.0%</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84.9%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85.2%</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84.8%</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b/>
                <w:color w:val="000000"/>
                <w:sz w:val="18"/>
                <w:szCs w:val="18"/>
              </w:rPr>
            </w:pPr>
          </w:p>
          <w:p w:rsidR="001222A4" w:rsidRPr="00A21066" w:rsidRDefault="001222A4" w:rsidP="0091180E">
            <w:pPr>
              <w:autoSpaceDE w:val="0"/>
              <w:autoSpaceDN w:val="0"/>
              <w:adjustRightInd w:val="0"/>
              <w:rPr>
                <w:rFonts w:ascii="Arial" w:hAnsi="Arial" w:cs="Arial"/>
                <w:b/>
                <w:color w:val="000000"/>
                <w:sz w:val="18"/>
                <w:szCs w:val="18"/>
              </w:rPr>
            </w:pPr>
            <w:r w:rsidRPr="00A21066">
              <w:rPr>
                <w:rFonts w:ascii="Arial" w:hAnsi="Arial" w:cs="Arial"/>
                <w:b/>
                <w:color w:val="000000"/>
                <w:sz w:val="18"/>
                <w:szCs w:val="18"/>
              </w:rPr>
              <w:t>HH Internet Access</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No</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21.4%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w:t>
            </w:r>
            <w:r>
              <w:rPr>
                <w:rFonts w:ascii="Arial" w:hAnsi="Arial" w:cs="Arial"/>
                <w:color w:val="000000"/>
                <w:sz w:val="18"/>
                <w:szCs w:val="18"/>
              </w:rPr>
              <w:t>5.0</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21.</w:t>
            </w:r>
            <w:r>
              <w:rPr>
                <w:rFonts w:ascii="Arial" w:hAnsi="Arial" w:cs="Arial"/>
                <w:color w:val="000000"/>
                <w:sz w:val="18"/>
                <w:szCs w:val="18"/>
              </w:rPr>
              <w:t>9</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17.5%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22.1%</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10.8%</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21.0%</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12.1%</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21.1%</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Yes</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78.6%</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85.</w:t>
            </w:r>
            <w:r>
              <w:rPr>
                <w:rFonts w:ascii="Arial" w:hAnsi="Arial" w:cs="Arial"/>
                <w:color w:val="000000"/>
                <w:sz w:val="18"/>
                <w:szCs w:val="18"/>
              </w:rPr>
              <w:t>0</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7</w:t>
            </w:r>
            <w:r>
              <w:rPr>
                <w:rFonts w:ascii="Arial" w:hAnsi="Arial" w:cs="Arial"/>
                <w:color w:val="000000"/>
                <w:sz w:val="18"/>
                <w:szCs w:val="18"/>
              </w:rPr>
              <w:t>8.1</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82.5%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77.9%</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89.2%</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79.0%</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87.9%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78.9%</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b/>
                <w:color w:val="000000"/>
                <w:sz w:val="18"/>
                <w:szCs w:val="18"/>
              </w:rPr>
            </w:pPr>
          </w:p>
          <w:p w:rsidR="001222A4" w:rsidRPr="00A21066" w:rsidRDefault="001222A4" w:rsidP="0091180E">
            <w:pPr>
              <w:autoSpaceDE w:val="0"/>
              <w:autoSpaceDN w:val="0"/>
              <w:adjustRightInd w:val="0"/>
              <w:rPr>
                <w:rFonts w:ascii="Arial" w:hAnsi="Arial" w:cs="Arial"/>
                <w:b/>
                <w:color w:val="000000"/>
                <w:sz w:val="18"/>
                <w:szCs w:val="18"/>
              </w:rPr>
            </w:pPr>
            <w:r w:rsidRPr="00A21066">
              <w:rPr>
                <w:rFonts w:ascii="Arial" w:hAnsi="Arial" w:cs="Arial"/>
                <w:b/>
                <w:color w:val="000000"/>
                <w:sz w:val="18"/>
                <w:szCs w:val="18"/>
              </w:rPr>
              <w:t>Household size</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c>
          <w:tcPr>
            <w:tcW w:w="1050" w:type="dxa"/>
            <w:shd w:val="clear" w:color="000000" w:fill="FFFFFF"/>
            <w:vAlign w:val="bottom"/>
          </w:tcPr>
          <w:p w:rsidR="001222A4" w:rsidRPr="00A21066" w:rsidRDefault="001222A4" w:rsidP="00AB1F6E">
            <w:pPr>
              <w:autoSpaceDE w:val="0"/>
              <w:autoSpaceDN w:val="0"/>
              <w:adjustRightInd w:val="0"/>
              <w:jc w:val="right"/>
              <w:rPr>
                <w:rFonts w:ascii="Arial" w:hAnsi="Arial" w:cs="Arial"/>
                <w:color w:val="000000"/>
                <w:sz w:val="18"/>
                <w:szCs w:val="18"/>
              </w:rPr>
            </w:pP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14.2%</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15.</w:t>
            </w:r>
            <w:r>
              <w:rPr>
                <w:rFonts w:ascii="Arial" w:hAnsi="Arial" w:cs="Arial"/>
                <w:color w:val="000000"/>
                <w:sz w:val="18"/>
                <w:szCs w:val="18"/>
              </w:rPr>
              <w:t>1</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14.3%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18.7%</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14.3%</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22.4%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14.4%</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22.7%</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14.4%</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2</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34.1%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29.8</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34.3%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35.1%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34.3%</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39.9%</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34.2%</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39.6%</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34.3%</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3</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19.2%</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19.</w:t>
            </w:r>
            <w:r>
              <w:rPr>
                <w:rFonts w:ascii="Arial" w:hAnsi="Arial" w:cs="Arial"/>
                <w:color w:val="000000"/>
                <w:sz w:val="18"/>
                <w:szCs w:val="18"/>
              </w:rPr>
              <w:t>9</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19.</w:t>
            </w:r>
            <w:r>
              <w:rPr>
                <w:rFonts w:ascii="Arial" w:hAnsi="Arial" w:cs="Arial"/>
                <w:color w:val="000000"/>
                <w:sz w:val="18"/>
                <w:szCs w:val="18"/>
              </w:rPr>
              <w:t>4</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18.4%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19.4%</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16.5%</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19.5%</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16.6%</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17.4%</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19.</w:t>
            </w:r>
            <w:r>
              <w:rPr>
                <w:rFonts w:ascii="Arial" w:hAnsi="Arial" w:cs="Arial"/>
                <w:color w:val="000000"/>
                <w:sz w:val="18"/>
                <w:szCs w:val="18"/>
              </w:rPr>
              <w:t>8</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17.</w:t>
            </w:r>
            <w:r>
              <w:rPr>
                <w:rFonts w:ascii="Arial" w:hAnsi="Arial" w:cs="Arial"/>
                <w:color w:val="000000"/>
                <w:sz w:val="18"/>
                <w:szCs w:val="18"/>
              </w:rPr>
              <w:t>1</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15.8%</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17.0%</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12.2%</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16.8%</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11.9%</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16.9%</w:t>
            </w:r>
          </w:p>
        </w:tc>
      </w:tr>
      <w:tr w:rsidR="001222A4" w:rsidRPr="00A21066" w:rsidTr="00AB1F6E">
        <w:trPr>
          <w:trHeight w:val="414"/>
          <w:jc w:val="center"/>
        </w:trPr>
        <w:tc>
          <w:tcPr>
            <w:tcW w:w="2430" w:type="dxa"/>
            <w:shd w:val="clear" w:color="000000" w:fill="FFFFFF"/>
            <w:vAlign w:val="bottom"/>
          </w:tcPr>
          <w:p w:rsidR="001222A4" w:rsidRPr="00A21066" w:rsidRDefault="001222A4" w:rsidP="0091180E">
            <w:pPr>
              <w:autoSpaceDE w:val="0"/>
              <w:autoSpaceDN w:val="0"/>
              <w:adjustRightInd w:val="0"/>
              <w:rPr>
                <w:rFonts w:ascii="Arial" w:hAnsi="Arial" w:cs="Arial"/>
                <w:color w:val="000000"/>
                <w:sz w:val="18"/>
                <w:szCs w:val="18"/>
              </w:rPr>
            </w:pPr>
            <w:r w:rsidRPr="00A21066">
              <w:rPr>
                <w:rFonts w:ascii="Arial" w:hAnsi="Arial" w:cs="Arial"/>
                <w:color w:val="000000"/>
                <w:sz w:val="18"/>
                <w:szCs w:val="18"/>
              </w:rPr>
              <w:t>5+</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15.1%</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15.</w:t>
            </w:r>
            <w:r>
              <w:rPr>
                <w:rFonts w:ascii="Arial" w:hAnsi="Arial" w:cs="Arial"/>
                <w:color w:val="000000"/>
                <w:sz w:val="18"/>
                <w:szCs w:val="18"/>
              </w:rPr>
              <w:t>5</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sidRPr="00A21066">
              <w:rPr>
                <w:rFonts w:ascii="Arial" w:hAnsi="Arial" w:cs="Arial"/>
                <w:color w:val="000000"/>
                <w:sz w:val="18"/>
                <w:szCs w:val="18"/>
              </w:rPr>
              <w:t>14.</w:t>
            </w:r>
            <w:r>
              <w:rPr>
                <w:rFonts w:ascii="Arial" w:hAnsi="Arial" w:cs="Arial"/>
                <w:color w:val="000000"/>
                <w:sz w:val="18"/>
                <w:szCs w:val="18"/>
              </w:rPr>
              <w:t>9</w:t>
            </w:r>
            <w:r w:rsidRPr="00A21066">
              <w:rPr>
                <w:rFonts w:ascii="Arial" w:hAnsi="Arial" w:cs="Arial"/>
                <w:color w:val="000000"/>
                <w:sz w:val="18"/>
                <w:szCs w:val="18"/>
              </w:rPr>
              <w:t>%</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12.0%</w:t>
            </w:r>
          </w:p>
        </w:tc>
        <w:tc>
          <w:tcPr>
            <w:tcW w:w="1050" w:type="dxa"/>
            <w:shd w:val="clear" w:color="000000" w:fill="FFFFFF"/>
            <w:vAlign w:val="bottom"/>
          </w:tcPr>
          <w:p w:rsidR="001222A4" w:rsidRPr="00A21066" w:rsidRDefault="001222A4" w:rsidP="0091180E">
            <w:pPr>
              <w:autoSpaceDE w:val="0"/>
              <w:autoSpaceDN w:val="0"/>
              <w:adjustRightInd w:val="0"/>
              <w:jc w:val="right"/>
              <w:rPr>
                <w:rFonts w:ascii="Arial" w:hAnsi="Arial" w:cs="Arial"/>
                <w:color w:val="000000"/>
                <w:sz w:val="18"/>
                <w:szCs w:val="18"/>
              </w:rPr>
            </w:pPr>
            <w:r>
              <w:rPr>
                <w:rFonts w:ascii="Arial" w:hAnsi="Arial" w:cs="Arial"/>
                <w:color w:val="000000"/>
                <w:sz w:val="18"/>
                <w:szCs w:val="18"/>
              </w:rPr>
              <w:t>15.0%</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9.0%</w:t>
            </w:r>
          </w:p>
        </w:tc>
        <w:tc>
          <w:tcPr>
            <w:tcW w:w="1050" w:type="dxa"/>
            <w:shd w:val="clear" w:color="000000" w:fill="FFFFFF"/>
            <w:vAlign w:val="bottom"/>
          </w:tcPr>
          <w:p w:rsidR="001222A4" w:rsidRDefault="00AB1F6E"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15.1%</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9.1%</w:t>
            </w:r>
          </w:p>
        </w:tc>
        <w:tc>
          <w:tcPr>
            <w:tcW w:w="1050" w:type="dxa"/>
            <w:shd w:val="clear" w:color="000000" w:fill="FFFFFF"/>
            <w:vAlign w:val="bottom"/>
          </w:tcPr>
          <w:p w:rsidR="001222A4" w:rsidRDefault="004D718D" w:rsidP="00AB1F6E">
            <w:pPr>
              <w:autoSpaceDE w:val="0"/>
              <w:autoSpaceDN w:val="0"/>
              <w:adjustRightInd w:val="0"/>
              <w:jc w:val="right"/>
              <w:rPr>
                <w:rFonts w:ascii="Arial" w:hAnsi="Arial" w:cs="Arial"/>
                <w:color w:val="000000"/>
                <w:sz w:val="18"/>
                <w:szCs w:val="18"/>
              </w:rPr>
            </w:pPr>
            <w:r>
              <w:rPr>
                <w:rFonts w:ascii="Arial" w:hAnsi="Arial" w:cs="Arial"/>
                <w:color w:val="000000"/>
                <w:sz w:val="18"/>
                <w:szCs w:val="18"/>
              </w:rPr>
              <w:t>15.1%</w:t>
            </w:r>
          </w:p>
        </w:tc>
      </w:tr>
    </w:tbl>
    <w:p w:rsidR="00AA1F26" w:rsidRPr="00A21066" w:rsidRDefault="00AA1F26" w:rsidP="000B6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D4F1C" w:rsidRPr="00A21066" w:rsidRDefault="003D4F1C" w:rsidP="003D4F1C">
      <w:r w:rsidRPr="00A21066">
        <w:t>*  The data are taken from the Current Population Survey, which interviews a sample of the population annually. The sample consists of 74,762 households and 145,049 persons. Weights are then provided to project the data to the U.S. total 122,445,330 million households and 235,898,708</w:t>
      </w:r>
      <w:r w:rsidRPr="00A21066">
        <w:rPr>
          <w:color w:val="000080"/>
        </w:rPr>
        <w:t xml:space="preserve"> </w:t>
      </w:r>
      <w:r w:rsidRPr="00A21066">
        <w:t xml:space="preserve">million adults.  </w:t>
      </w:r>
    </w:p>
    <w:p w:rsidR="003D4F1C" w:rsidRPr="00A21066" w:rsidRDefault="003D4F1C" w:rsidP="003D4F1C"/>
    <w:p w:rsidR="003D4F1C" w:rsidRDefault="003D4F1C" w:rsidP="003D4F1C">
      <w:r w:rsidRPr="00A21066">
        <w:t>**Counts “living with partner” in with married.</w:t>
      </w:r>
    </w:p>
    <w:p w:rsidR="00B47FA5" w:rsidRDefault="00B47FA5" w:rsidP="003D4F1C"/>
    <w:sectPr w:rsidR="00B47FA5" w:rsidSect="00032946">
      <w:footerReference w:type="default" r:id="rId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B3" w:rsidRDefault="001D1EB3">
      <w:r>
        <w:separator/>
      </w:r>
    </w:p>
  </w:endnote>
  <w:endnote w:type="continuationSeparator" w:id="0">
    <w:p w:rsidR="001D1EB3" w:rsidRDefault="001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113598"/>
      <w:docPartObj>
        <w:docPartGallery w:val="Page Numbers (Bottom of Page)"/>
        <w:docPartUnique/>
      </w:docPartObj>
    </w:sdtPr>
    <w:sdtEndPr/>
    <w:sdtContent>
      <w:p w:rsidR="00EA680A" w:rsidRDefault="00EA680A">
        <w:pPr>
          <w:pStyle w:val="Footer"/>
          <w:jc w:val="right"/>
        </w:pPr>
        <w:r>
          <w:t>Porter Novelli 201</w:t>
        </w:r>
        <w:r w:rsidR="00061837">
          <w:t>5</w:t>
        </w:r>
        <w:r>
          <w:t xml:space="preserve">                                                                                                                          </w:t>
        </w:r>
        <w:r w:rsidR="000169A4">
          <w:fldChar w:fldCharType="begin"/>
        </w:r>
        <w:r w:rsidR="00033F1A">
          <w:instrText xml:space="preserve"> PAGE   \* MERGEFORMAT </w:instrText>
        </w:r>
        <w:r w:rsidR="000169A4">
          <w:fldChar w:fldCharType="separate"/>
        </w:r>
        <w:r w:rsidR="00355AD2">
          <w:rPr>
            <w:noProof/>
          </w:rPr>
          <w:t>1</w:t>
        </w:r>
        <w:r w:rsidR="000169A4">
          <w:rPr>
            <w:noProof/>
          </w:rPr>
          <w:fldChar w:fldCharType="end"/>
        </w:r>
      </w:p>
    </w:sdtContent>
  </w:sdt>
  <w:p w:rsidR="00EA680A" w:rsidRDefault="00EA680A" w:rsidP="00B73714">
    <w:pPr>
      <w:pStyle w:val="Footer"/>
      <w:widowControl/>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B3" w:rsidRDefault="001D1EB3">
      <w:r>
        <w:separator/>
      </w:r>
    </w:p>
  </w:footnote>
  <w:footnote w:type="continuationSeparator" w:id="0">
    <w:p w:rsidR="001D1EB3" w:rsidRDefault="001D1EB3">
      <w:r>
        <w:continuationSeparator/>
      </w:r>
    </w:p>
  </w:footnote>
  <w:footnote w:id="1">
    <w:p w:rsidR="003D4F1C" w:rsidRDefault="003D4F1C" w:rsidP="003D4F1C">
      <w:pPr>
        <w:pStyle w:val="FootnoteText"/>
      </w:pPr>
      <w:r>
        <w:rPr>
          <w:rStyle w:val="FootnoteReference"/>
        </w:rPr>
        <w:t>[1]</w:t>
      </w:r>
      <w:r>
        <w:t xml:space="preserve"> Prizes vary and are generally worth under $500, such as an iPad, television, camcorder, or gift card.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83720"/>
    <w:multiLevelType w:val="hybridMultilevel"/>
    <w:tmpl w:val="2F262FC4"/>
    <w:lvl w:ilvl="0" w:tplc="7286EACC">
      <w:start w:val="1"/>
      <w:numFmt w:val="bullet"/>
      <w:lvlText w:val=""/>
      <w:lvlJc w:val="left"/>
      <w:pPr>
        <w:ind w:left="720" w:hanging="360"/>
      </w:pPr>
      <w:rPr>
        <w:rFonts w:ascii="Symbol" w:hAnsi="Symbol" w:hint="default"/>
      </w:rPr>
    </w:lvl>
    <w:lvl w:ilvl="1" w:tplc="A7A845C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B6"/>
    <w:rsid w:val="00001C0A"/>
    <w:rsid w:val="000033BA"/>
    <w:rsid w:val="00011D5D"/>
    <w:rsid w:val="000137B6"/>
    <w:rsid w:val="00014FEE"/>
    <w:rsid w:val="000169A4"/>
    <w:rsid w:val="00021EC6"/>
    <w:rsid w:val="000300F1"/>
    <w:rsid w:val="00032946"/>
    <w:rsid w:val="00033F1A"/>
    <w:rsid w:val="00035ABA"/>
    <w:rsid w:val="00040DEE"/>
    <w:rsid w:val="00041162"/>
    <w:rsid w:val="0004694A"/>
    <w:rsid w:val="00047B9A"/>
    <w:rsid w:val="00056D5A"/>
    <w:rsid w:val="00061837"/>
    <w:rsid w:val="00096142"/>
    <w:rsid w:val="000B6DAC"/>
    <w:rsid w:val="000C0E98"/>
    <w:rsid w:val="000D7AED"/>
    <w:rsid w:val="000E0B28"/>
    <w:rsid w:val="000E299C"/>
    <w:rsid w:val="000F0310"/>
    <w:rsid w:val="00100CC2"/>
    <w:rsid w:val="00106D69"/>
    <w:rsid w:val="00111388"/>
    <w:rsid w:val="001222A4"/>
    <w:rsid w:val="00123794"/>
    <w:rsid w:val="0013529C"/>
    <w:rsid w:val="00136A8C"/>
    <w:rsid w:val="0014081C"/>
    <w:rsid w:val="001433B3"/>
    <w:rsid w:val="0014658F"/>
    <w:rsid w:val="00154F68"/>
    <w:rsid w:val="00156C10"/>
    <w:rsid w:val="00167103"/>
    <w:rsid w:val="0017091D"/>
    <w:rsid w:val="0017178D"/>
    <w:rsid w:val="001753FA"/>
    <w:rsid w:val="0018321F"/>
    <w:rsid w:val="0018744D"/>
    <w:rsid w:val="00196E9C"/>
    <w:rsid w:val="001A0CDF"/>
    <w:rsid w:val="001B065C"/>
    <w:rsid w:val="001B4E10"/>
    <w:rsid w:val="001B6701"/>
    <w:rsid w:val="001C5E7A"/>
    <w:rsid w:val="001D0C98"/>
    <w:rsid w:val="001D1EB3"/>
    <w:rsid w:val="001D5C2F"/>
    <w:rsid w:val="001E0E67"/>
    <w:rsid w:val="001E16B0"/>
    <w:rsid w:val="0021349E"/>
    <w:rsid w:val="00246831"/>
    <w:rsid w:val="0025209B"/>
    <w:rsid w:val="00254A96"/>
    <w:rsid w:val="002609C3"/>
    <w:rsid w:val="00275728"/>
    <w:rsid w:val="00277AAC"/>
    <w:rsid w:val="00284FE2"/>
    <w:rsid w:val="00296613"/>
    <w:rsid w:val="002A3C67"/>
    <w:rsid w:val="002B0353"/>
    <w:rsid w:val="002B6933"/>
    <w:rsid w:val="002C6E53"/>
    <w:rsid w:val="002D4B2A"/>
    <w:rsid w:val="002D6918"/>
    <w:rsid w:val="002F3C1E"/>
    <w:rsid w:val="002F5958"/>
    <w:rsid w:val="003222DB"/>
    <w:rsid w:val="00327437"/>
    <w:rsid w:val="003330EB"/>
    <w:rsid w:val="00334D9E"/>
    <w:rsid w:val="003534FB"/>
    <w:rsid w:val="00355AD2"/>
    <w:rsid w:val="003609BD"/>
    <w:rsid w:val="003715D6"/>
    <w:rsid w:val="00372687"/>
    <w:rsid w:val="00374EDA"/>
    <w:rsid w:val="00375DE8"/>
    <w:rsid w:val="00376076"/>
    <w:rsid w:val="00381997"/>
    <w:rsid w:val="00387259"/>
    <w:rsid w:val="003934FF"/>
    <w:rsid w:val="003969E2"/>
    <w:rsid w:val="003A5151"/>
    <w:rsid w:val="003B3766"/>
    <w:rsid w:val="003C2A6E"/>
    <w:rsid w:val="003C7731"/>
    <w:rsid w:val="003D4F1C"/>
    <w:rsid w:val="003E1041"/>
    <w:rsid w:val="003E70F1"/>
    <w:rsid w:val="004104A5"/>
    <w:rsid w:val="00423F82"/>
    <w:rsid w:val="00433520"/>
    <w:rsid w:val="004362F3"/>
    <w:rsid w:val="004369DF"/>
    <w:rsid w:val="00450ACB"/>
    <w:rsid w:val="00461608"/>
    <w:rsid w:val="00466216"/>
    <w:rsid w:val="00483C6A"/>
    <w:rsid w:val="004924E2"/>
    <w:rsid w:val="00492DA3"/>
    <w:rsid w:val="0049494D"/>
    <w:rsid w:val="004A31D8"/>
    <w:rsid w:val="004B4170"/>
    <w:rsid w:val="004C2150"/>
    <w:rsid w:val="004C25CF"/>
    <w:rsid w:val="004C56C5"/>
    <w:rsid w:val="004D2AD9"/>
    <w:rsid w:val="004D718D"/>
    <w:rsid w:val="004E0E15"/>
    <w:rsid w:val="004E73C3"/>
    <w:rsid w:val="00511154"/>
    <w:rsid w:val="00520893"/>
    <w:rsid w:val="00544C96"/>
    <w:rsid w:val="00562EF6"/>
    <w:rsid w:val="00586712"/>
    <w:rsid w:val="00586E70"/>
    <w:rsid w:val="005A540C"/>
    <w:rsid w:val="005C2B72"/>
    <w:rsid w:val="005C36CB"/>
    <w:rsid w:val="005C7D88"/>
    <w:rsid w:val="005E4546"/>
    <w:rsid w:val="005F1933"/>
    <w:rsid w:val="005F673D"/>
    <w:rsid w:val="006155AB"/>
    <w:rsid w:val="00617E5E"/>
    <w:rsid w:val="006229A9"/>
    <w:rsid w:val="00633FF3"/>
    <w:rsid w:val="006443D2"/>
    <w:rsid w:val="00644ED0"/>
    <w:rsid w:val="006469F1"/>
    <w:rsid w:val="00647A44"/>
    <w:rsid w:val="00654FF8"/>
    <w:rsid w:val="00666AA9"/>
    <w:rsid w:val="006752D1"/>
    <w:rsid w:val="006932EA"/>
    <w:rsid w:val="006964C6"/>
    <w:rsid w:val="006A4E1A"/>
    <w:rsid w:val="006A71D7"/>
    <w:rsid w:val="006C244A"/>
    <w:rsid w:val="006D4874"/>
    <w:rsid w:val="006F38C4"/>
    <w:rsid w:val="006F482C"/>
    <w:rsid w:val="006F7EB0"/>
    <w:rsid w:val="0070145C"/>
    <w:rsid w:val="00701813"/>
    <w:rsid w:val="00711C5C"/>
    <w:rsid w:val="00712410"/>
    <w:rsid w:val="00723DC9"/>
    <w:rsid w:val="00740B72"/>
    <w:rsid w:val="007415D7"/>
    <w:rsid w:val="00753897"/>
    <w:rsid w:val="00762E9F"/>
    <w:rsid w:val="007661AA"/>
    <w:rsid w:val="007678AC"/>
    <w:rsid w:val="007850EB"/>
    <w:rsid w:val="00791CD4"/>
    <w:rsid w:val="007A6697"/>
    <w:rsid w:val="007C3537"/>
    <w:rsid w:val="007C576C"/>
    <w:rsid w:val="007D0AFA"/>
    <w:rsid w:val="007D2FF5"/>
    <w:rsid w:val="007E2008"/>
    <w:rsid w:val="007E4E8C"/>
    <w:rsid w:val="007E55D8"/>
    <w:rsid w:val="008071C1"/>
    <w:rsid w:val="00812C48"/>
    <w:rsid w:val="00813C5D"/>
    <w:rsid w:val="00814AB2"/>
    <w:rsid w:val="00827732"/>
    <w:rsid w:val="00843881"/>
    <w:rsid w:val="00881155"/>
    <w:rsid w:val="00884C2B"/>
    <w:rsid w:val="008B3DCB"/>
    <w:rsid w:val="008C019C"/>
    <w:rsid w:val="008C7275"/>
    <w:rsid w:val="008D23EB"/>
    <w:rsid w:val="008E0B3D"/>
    <w:rsid w:val="008E3E0F"/>
    <w:rsid w:val="008E5DA6"/>
    <w:rsid w:val="008F04E3"/>
    <w:rsid w:val="008F661F"/>
    <w:rsid w:val="008F6DE1"/>
    <w:rsid w:val="0090697C"/>
    <w:rsid w:val="0091075F"/>
    <w:rsid w:val="009259AA"/>
    <w:rsid w:val="00952193"/>
    <w:rsid w:val="009643C4"/>
    <w:rsid w:val="00983E02"/>
    <w:rsid w:val="0099044E"/>
    <w:rsid w:val="00995F46"/>
    <w:rsid w:val="009E53B2"/>
    <w:rsid w:val="009F09F1"/>
    <w:rsid w:val="009F1897"/>
    <w:rsid w:val="00A02FB9"/>
    <w:rsid w:val="00A0427D"/>
    <w:rsid w:val="00A17EC5"/>
    <w:rsid w:val="00A21066"/>
    <w:rsid w:val="00A2681F"/>
    <w:rsid w:val="00A65D08"/>
    <w:rsid w:val="00A67B94"/>
    <w:rsid w:val="00A75F2E"/>
    <w:rsid w:val="00A80E65"/>
    <w:rsid w:val="00A84292"/>
    <w:rsid w:val="00A9476C"/>
    <w:rsid w:val="00AA1F26"/>
    <w:rsid w:val="00AB1DD0"/>
    <w:rsid w:val="00AB1F6E"/>
    <w:rsid w:val="00AC06C1"/>
    <w:rsid w:val="00AC11CD"/>
    <w:rsid w:val="00AC2477"/>
    <w:rsid w:val="00AC6306"/>
    <w:rsid w:val="00AD19BE"/>
    <w:rsid w:val="00AD1C5C"/>
    <w:rsid w:val="00AD5245"/>
    <w:rsid w:val="00AE5247"/>
    <w:rsid w:val="00AF6166"/>
    <w:rsid w:val="00AF6D2A"/>
    <w:rsid w:val="00AF7981"/>
    <w:rsid w:val="00B146C9"/>
    <w:rsid w:val="00B171FA"/>
    <w:rsid w:val="00B174AA"/>
    <w:rsid w:val="00B26FB8"/>
    <w:rsid w:val="00B27D80"/>
    <w:rsid w:val="00B33291"/>
    <w:rsid w:val="00B37804"/>
    <w:rsid w:val="00B41F98"/>
    <w:rsid w:val="00B45543"/>
    <w:rsid w:val="00B463F8"/>
    <w:rsid w:val="00B47FA5"/>
    <w:rsid w:val="00B62BB2"/>
    <w:rsid w:val="00B65313"/>
    <w:rsid w:val="00B67E80"/>
    <w:rsid w:val="00B735B7"/>
    <w:rsid w:val="00B73714"/>
    <w:rsid w:val="00B76105"/>
    <w:rsid w:val="00B847C2"/>
    <w:rsid w:val="00B85709"/>
    <w:rsid w:val="00BB0F17"/>
    <w:rsid w:val="00BB3ABF"/>
    <w:rsid w:val="00BC0125"/>
    <w:rsid w:val="00BC2074"/>
    <w:rsid w:val="00BC2322"/>
    <w:rsid w:val="00BC6422"/>
    <w:rsid w:val="00BD2711"/>
    <w:rsid w:val="00BD7D75"/>
    <w:rsid w:val="00BF4EA4"/>
    <w:rsid w:val="00C05D10"/>
    <w:rsid w:val="00C075DB"/>
    <w:rsid w:val="00C16098"/>
    <w:rsid w:val="00C206F0"/>
    <w:rsid w:val="00C47B8B"/>
    <w:rsid w:val="00C55849"/>
    <w:rsid w:val="00C77D10"/>
    <w:rsid w:val="00C851BB"/>
    <w:rsid w:val="00C86CB0"/>
    <w:rsid w:val="00C9115B"/>
    <w:rsid w:val="00C96182"/>
    <w:rsid w:val="00CA38D6"/>
    <w:rsid w:val="00CB0C77"/>
    <w:rsid w:val="00CB6C4D"/>
    <w:rsid w:val="00CC2E48"/>
    <w:rsid w:val="00CD0B7C"/>
    <w:rsid w:val="00CE2BD4"/>
    <w:rsid w:val="00D113DB"/>
    <w:rsid w:val="00D11ADE"/>
    <w:rsid w:val="00D124D0"/>
    <w:rsid w:val="00D171D5"/>
    <w:rsid w:val="00D17983"/>
    <w:rsid w:val="00D20B31"/>
    <w:rsid w:val="00D4448C"/>
    <w:rsid w:val="00D50379"/>
    <w:rsid w:val="00D61D02"/>
    <w:rsid w:val="00D633E6"/>
    <w:rsid w:val="00D8669B"/>
    <w:rsid w:val="00DA215F"/>
    <w:rsid w:val="00DA5399"/>
    <w:rsid w:val="00DB311A"/>
    <w:rsid w:val="00DD1BDE"/>
    <w:rsid w:val="00DE1B22"/>
    <w:rsid w:val="00DE653F"/>
    <w:rsid w:val="00DF7DF5"/>
    <w:rsid w:val="00E05E93"/>
    <w:rsid w:val="00E065ED"/>
    <w:rsid w:val="00E14930"/>
    <w:rsid w:val="00E159FD"/>
    <w:rsid w:val="00E355E7"/>
    <w:rsid w:val="00E35884"/>
    <w:rsid w:val="00E52B4F"/>
    <w:rsid w:val="00E53D63"/>
    <w:rsid w:val="00E625E0"/>
    <w:rsid w:val="00E658BD"/>
    <w:rsid w:val="00E65F89"/>
    <w:rsid w:val="00E75170"/>
    <w:rsid w:val="00E83AAA"/>
    <w:rsid w:val="00EA680A"/>
    <w:rsid w:val="00EB05D3"/>
    <w:rsid w:val="00EB4629"/>
    <w:rsid w:val="00ED02E8"/>
    <w:rsid w:val="00EE084D"/>
    <w:rsid w:val="00EE0970"/>
    <w:rsid w:val="00EE465F"/>
    <w:rsid w:val="00EF4EA0"/>
    <w:rsid w:val="00EF5C9C"/>
    <w:rsid w:val="00F02C98"/>
    <w:rsid w:val="00F06037"/>
    <w:rsid w:val="00F158D8"/>
    <w:rsid w:val="00F24E14"/>
    <w:rsid w:val="00F25CDD"/>
    <w:rsid w:val="00F30C6C"/>
    <w:rsid w:val="00F367EE"/>
    <w:rsid w:val="00F41E81"/>
    <w:rsid w:val="00F52AFC"/>
    <w:rsid w:val="00F70359"/>
    <w:rsid w:val="00F70BF1"/>
    <w:rsid w:val="00F764C7"/>
    <w:rsid w:val="00F85003"/>
    <w:rsid w:val="00F85484"/>
    <w:rsid w:val="00F9129A"/>
    <w:rsid w:val="00F93285"/>
    <w:rsid w:val="00F93B82"/>
    <w:rsid w:val="00F96797"/>
    <w:rsid w:val="00FA14A5"/>
    <w:rsid w:val="00FA3046"/>
    <w:rsid w:val="00FA634F"/>
    <w:rsid w:val="00FC1795"/>
    <w:rsid w:val="00FC1989"/>
    <w:rsid w:val="00FD27DB"/>
    <w:rsid w:val="00FE2CAB"/>
    <w:rsid w:val="00FF2841"/>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0894C-9C14-4F72-8476-8F218BE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63"/>
    <w:pPr>
      <w:widowControl w:val="0"/>
    </w:pPr>
    <w:rPr>
      <w:snapToGrid w:val="0"/>
      <w:sz w:val="24"/>
    </w:rPr>
  </w:style>
  <w:style w:type="paragraph" w:styleId="Heading1">
    <w:name w:val="heading 1"/>
    <w:basedOn w:val="Normal"/>
    <w:next w:val="Normal"/>
    <w:qFormat/>
    <w:rsid w:val="00E53D63"/>
    <w:pPr>
      <w:tabs>
        <w:tab w:val="left" w:pos="0"/>
        <w:tab w:val="left" w:pos="90"/>
        <w:tab w:val="center" w:pos="2880"/>
        <w:tab w:val="center" w:pos="4140"/>
        <w:tab w:val="center" w:pos="5400"/>
        <w:tab w:val="center" w:pos="6660"/>
        <w:tab w:val="center" w:pos="7920"/>
        <w:tab w:val="left" w:pos="8640"/>
      </w:tabs>
      <w:ind w:right="-720"/>
      <w:outlineLvl w:val="0"/>
    </w:pPr>
    <w:rPr>
      <w:b/>
      <w:sz w:val="22"/>
    </w:rPr>
  </w:style>
  <w:style w:type="paragraph" w:styleId="Heading2">
    <w:name w:val="heading 2"/>
    <w:basedOn w:val="Normal"/>
    <w:next w:val="Normal"/>
    <w:qFormat/>
    <w:rsid w:val="00E53D63"/>
    <w:pPr>
      <w:outlineLvl w:val="1"/>
    </w:pPr>
    <w:rPr>
      <w:sz w:val="72"/>
    </w:rPr>
  </w:style>
  <w:style w:type="paragraph" w:styleId="Heading3">
    <w:name w:val="heading 3"/>
    <w:basedOn w:val="Normal"/>
    <w:next w:val="Normal"/>
    <w:qFormat/>
    <w:rsid w:val="00E53D63"/>
    <w:pPr>
      <w:keepNext/>
      <w:widowControl/>
      <w:tabs>
        <w:tab w:val="left" w:pos="0"/>
        <w:tab w:val="decimal"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z w:val="22"/>
    </w:rPr>
  </w:style>
  <w:style w:type="paragraph" w:styleId="Heading4">
    <w:name w:val="heading 4"/>
    <w:basedOn w:val="Normal"/>
    <w:next w:val="Normal"/>
    <w:qFormat/>
    <w:rsid w:val="00E53D63"/>
    <w:pPr>
      <w:keepNext/>
      <w:widowControl/>
      <w:tabs>
        <w:tab w:val="left" w:pos="0"/>
        <w:tab w:val="decimal"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53D63"/>
  </w:style>
  <w:style w:type="paragraph" w:styleId="Footer">
    <w:name w:val="footer"/>
    <w:basedOn w:val="Normal"/>
    <w:link w:val="FooterChar"/>
    <w:uiPriority w:val="99"/>
    <w:rsid w:val="00E53D63"/>
    <w:pPr>
      <w:tabs>
        <w:tab w:val="left" w:pos="0"/>
        <w:tab w:val="center" w:pos="4320"/>
        <w:tab w:val="right" w:pos="8640"/>
      </w:tabs>
    </w:pPr>
  </w:style>
  <w:style w:type="character" w:styleId="PageNumber">
    <w:name w:val="page number"/>
    <w:semiHidden/>
    <w:rsid w:val="00E53D63"/>
  </w:style>
  <w:style w:type="paragraph" w:styleId="Header">
    <w:name w:val="header"/>
    <w:basedOn w:val="Normal"/>
    <w:semiHidden/>
    <w:rsid w:val="00E53D63"/>
    <w:pPr>
      <w:tabs>
        <w:tab w:val="left" w:pos="0"/>
        <w:tab w:val="center" w:pos="4320"/>
        <w:tab w:val="right" w:pos="8640"/>
      </w:tabs>
    </w:pPr>
  </w:style>
  <w:style w:type="paragraph" w:styleId="FootnoteText">
    <w:name w:val="footnote text"/>
    <w:basedOn w:val="Normal"/>
    <w:link w:val="FootnoteTextChar"/>
    <w:uiPriority w:val="99"/>
    <w:semiHidden/>
    <w:rsid w:val="00E53D63"/>
    <w:rPr>
      <w:sz w:val="20"/>
    </w:rPr>
  </w:style>
  <w:style w:type="character" w:styleId="Hyperlink">
    <w:name w:val="Hyperlink"/>
    <w:basedOn w:val="DefaultParagraphFont"/>
    <w:semiHidden/>
    <w:rsid w:val="00E53D63"/>
    <w:rPr>
      <w:color w:val="0000FF"/>
      <w:u w:val="single"/>
    </w:rPr>
  </w:style>
  <w:style w:type="character" w:styleId="CommentReference">
    <w:name w:val="annotation reference"/>
    <w:basedOn w:val="DefaultParagraphFont"/>
    <w:semiHidden/>
    <w:rsid w:val="00E53D63"/>
    <w:rPr>
      <w:sz w:val="16"/>
      <w:szCs w:val="16"/>
    </w:rPr>
  </w:style>
  <w:style w:type="paragraph" w:styleId="CommentText">
    <w:name w:val="annotation text"/>
    <w:basedOn w:val="Normal"/>
    <w:semiHidden/>
    <w:rsid w:val="00E53D63"/>
    <w:rPr>
      <w:sz w:val="20"/>
    </w:rPr>
  </w:style>
  <w:style w:type="character" w:customStyle="1" w:styleId="CharChar2">
    <w:name w:val="Char Char2"/>
    <w:basedOn w:val="DefaultParagraphFont"/>
    <w:rsid w:val="00E53D63"/>
    <w:rPr>
      <w:snapToGrid w:val="0"/>
    </w:rPr>
  </w:style>
  <w:style w:type="paragraph" w:styleId="CommentSubject">
    <w:name w:val="annotation subject"/>
    <w:basedOn w:val="CommentText"/>
    <w:next w:val="CommentText"/>
    <w:rsid w:val="00E53D63"/>
    <w:rPr>
      <w:b/>
      <w:bCs/>
    </w:rPr>
  </w:style>
  <w:style w:type="character" w:customStyle="1" w:styleId="CharChar1">
    <w:name w:val="Char Char1"/>
    <w:basedOn w:val="CharChar2"/>
    <w:rsid w:val="00E53D63"/>
    <w:rPr>
      <w:b/>
      <w:bCs/>
      <w:snapToGrid w:val="0"/>
    </w:rPr>
  </w:style>
  <w:style w:type="paragraph" w:styleId="BalloonText">
    <w:name w:val="Balloon Text"/>
    <w:basedOn w:val="Normal"/>
    <w:rsid w:val="00E53D63"/>
    <w:rPr>
      <w:rFonts w:ascii="Tahoma" w:hAnsi="Tahoma" w:cs="Tahoma"/>
      <w:sz w:val="16"/>
      <w:szCs w:val="16"/>
    </w:rPr>
  </w:style>
  <w:style w:type="character" w:customStyle="1" w:styleId="CharChar">
    <w:name w:val="Char Char"/>
    <w:basedOn w:val="DefaultParagraphFont"/>
    <w:rsid w:val="00E53D63"/>
    <w:rPr>
      <w:rFonts w:ascii="Tahoma" w:hAnsi="Tahoma" w:cs="Tahoma"/>
      <w:snapToGrid w:val="0"/>
      <w:sz w:val="16"/>
      <w:szCs w:val="16"/>
    </w:rPr>
  </w:style>
  <w:style w:type="paragraph" w:styleId="BodyText">
    <w:name w:val="Body Text"/>
    <w:basedOn w:val="Normal"/>
    <w:link w:val="BodyTextChar"/>
    <w:rsid w:val="00AF6D2A"/>
    <w:pPr>
      <w:widowControl/>
      <w:jc w:val="both"/>
    </w:pPr>
    <w:rPr>
      <w:snapToGrid/>
    </w:rPr>
  </w:style>
  <w:style w:type="character" w:customStyle="1" w:styleId="BodyTextChar">
    <w:name w:val="Body Text Char"/>
    <w:basedOn w:val="DefaultParagraphFont"/>
    <w:link w:val="BodyText"/>
    <w:rsid w:val="00AF6D2A"/>
    <w:rPr>
      <w:sz w:val="24"/>
    </w:rPr>
  </w:style>
  <w:style w:type="character" w:customStyle="1" w:styleId="FooterChar">
    <w:name w:val="Footer Char"/>
    <w:basedOn w:val="DefaultParagraphFont"/>
    <w:link w:val="Footer"/>
    <w:uiPriority w:val="99"/>
    <w:locked/>
    <w:rsid w:val="00AF6D2A"/>
    <w:rPr>
      <w:snapToGrid w:val="0"/>
      <w:sz w:val="24"/>
    </w:rPr>
  </w:style>
  <w:style w:type="table" w:styleId="TableGrid">
    <w:name w:val="Table Grid"/>
    <w:basedOn w:val="TableNormal"/>
    <w:rsid w:val="00AF6D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semiHidden/>
    <w:rsid w:val="003222D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6062">
      <w:bodyDiv w:val="1"/>
      <w:marLeft w:val="0"/>
      <w:marRight w:val="0"/>
      <w:marTop w:val="0"/>
      <w:marBottom w:val="0"/>
      <w:divBdr>
        <w:top w:val="none" w:sz="0" w:space="0" w:color="auto"/>
        <w:left w:val="none" w:sz="0" w:space="0" w:color="auto"/>
        <w:bottom w:val="none" w:sz="0" w:space="0" w:color="auto"/>
        <w:right w:val="none" w:sz="0" w:space="0" w:color="auto"/>
      </w:divBdr>
    </w:div>
    <w:div w:id="1199858443">
      <w:bodyDiv w:val="1"/>
      <w:marLeft w:val="0"/>
      <w:marRight w:val="0"/>
      <w:marTop w:val="0"/>
      <w:marBottom w:val="0"/>
      <w:divBdr>
        <w:top w:val="none" w:sz="0" w:space="0" w:color="auto"/>
        <w:left w:val="none" w:sz="0" w:space="0" w:color="auto"/>
        <w:bottom w:val="none" w:sz="0" w:space="0" w:color="auto"/>
        <w:right w:val="none" w:sz="0" w:space="0" w:color="auto"/>
      </w:divBdr>
    </w:div>
    <w:div w:id="19588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D580-3D61-43A5-944D-A062CE9C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Healthstyles2000 Methodology</vt:lpstr>
    </vt:vector>
  </TitlesOfParts>
  <Company>Porter Novelli</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Healthstyles2000 Methodology</dc:title>
  <dc:creator>IT</dc:creator>
  <cp:lastModifiedBy>Jewett, Amelia (Amy) (CDC/ONDIEH/NCIPC)</cp:lastModifiedBy>
  <cp:revision>2</cp:revision>
  <cp:lastPrinted>2015-11-03T17:32:00Z</cp:lastPrinted>
  <dcterms:created xsi:type="dcterms:W3CDTF">2018-05-18T15:27:00Z</dcterms:created>
  <dcterms:modified xsi:type="dcterms:W3CDTF">2018-05-18T15:27:00Z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-1559625093</vt:i4>
  </property>
  <property fmtid="{D5CDD505-2E9C-101B-9397-08002B2CF9AE}" pid="4" name="_EmailSubject">
    <vt:lpwstr>Do you have a methods docs for Fall or should I send the Spring/summer one?</vt:lpwstr>
  </property>
  <property fmtid="{D5CDD505-2E9C-101B-9397-08002B2CF9AE}" pid="5" name="_AuthorEmail">
    <vt:lpwstr>Deanne.Weber@porternovelli.com</vt:lpwstr>
  </property>
  <property fmtid="{D5CDD505-2E9C-101B-9397-08002B2CF9AE}" pid="6" name="_AuthorEmailDisplayName">
    <vt:lpwstr>Deanne Weber</vt:lpwstr>
  </property>
  <property fmtid="{D5CDD505-2E9C-101B-9397-08002B2CF9AE}" pid="7" name="_ReviewingToolsShownOnce">
    <vt:lpwstr/>
  </property>
</Properties>
</file>