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05" w:rsidRPr="004964C0" w:rsidRDefault="00E768D9" w:rsidP="002C45C9">
      <w:pPr>
        <w:spacing w:after="0" w:line="240" w:lineRule="auto"/>
        <w:ind w:left="-99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4964C0">
        <w:rPr>
          <w:rFonts w:ascii="Arial" w:hAnsi="Arial" w:cs="Arial"/>
          <w:b/>
          <w:sz w:val="18"/>
          <w:szCs w:val="18"/>
        </w:rPr>
        <w:t xml:space="preserve">SUPPLEMENTARY TABLE </w:t>
      </w:r>
      <w:r w:rsidR="00006E88" w:rsidRPr="004964C0">
        <w:rPr>
          <w:rFonts w:ascii="Arial" w:hAnsi="Arial" w:cs="Arial"/>
          <w:b/>
          <w:sz w:val="18"/>
          <w:szCs w:val="18"/>
        </w:rPr>
        <w:t>2</w:t>
      </w:r>
      <w:r w:rsidR="00D62005" w:rsidRPr="004964C0">
        <w:rPr>
          <w:rFonts w:ascii="Arial" w:hAnsi="Arial" w:cs="Arial"/>
          <w:b/>
          <w:sz w:val="18"/>
          <w:szCs w:val="18"/>
        </w:rPr>
        <w:t>. Prespecified outcomes</w:t>
      </w:r>
      <w:r w:rsidR="00D62005" w:rsidRPr="002C45C9">
        <w:rPr>
          <w:rFonts w:ascii="Arial" w:hAnsi="Arial" w:cs="Arial"/>
          <w:b/>
          <w:sz w:val="18"/>
          <w:szCs w:val="18"/>
        </w:rPr>
        <w:t>*</w:t>
      </w:r>
      <w:r w:rsidRPr="004964C0">
        <w:rPr>
          <w:rFonts w:ascii="Arial" w:hAnsi="Arial" w:cs="Arial"/>
          <w:b/>
          <w:sz w:val="18"/>
          <w:szCs w:val="18"/>
          <w:vertAlign w:val="superscript"/>
        </w:rPr>
        <w:t>,</w:t>
      </w:r>
      <w:r w:rsidR="00D62005" w:rsidRPr="003B7A24">
        <w:rPr>
          <w:rFonts w:ascii="Arial" w:hAnsi="Arial" w:cs="Arial"/>
          <w:b/>
          <w:color w:val="333333"/>
          <w:sz w:val="18"/>
          <w:szCs w:val="18"/>
          <w:vertAlign w:val="superscript"/>
        </w:rPr>
        <w:t>†</w:t>
      </w:r>
      <w:r w:rsidR="00D62005" w:rsidRPr="004964C0">
        <w:rPr>
          <w:rFonts w:ascii="Arial" w:hAnsi="Arial" w:cs="Arial"/>
          <w:b/>
          <w:sz w:val="18"/>
          <w:szCs w:val="18"/>
        </w:rPr>
        <w:t xml:space="preserve"> for recombinant zoster vaccine (RZV) in reports submitted to </w:t>
      </w:r>
      <w:r w:rsidRPr="004964C0">
        <w:rPr>
          <w:rFonts w:ascii="Arial" w:hAnsi="Arial" w:cs="Arial"/>
          <w:b/>
          <w:sz w:val="18"/>
          <w:szCs w:val="18"/>
        </w:rPr>
        <w:t>the Vaccine Adverse Events Reporting System (</w:t>
      </w:r>
      <w:r w:rsidR="00D62005" w:rsidRPr="004964C0">
        <w:rPr>
          <w:rFonts w:ascii="Arial" w:hAnsi="Arial" w:cs="Arial"/>
          <w:b/>
          <w:sz w:val="18"/>
          <w:szCs w:val="18"/>
        </w:rPr>
        <w:t>VAERS</w:t>
      </w:r>
      <w:r w:rsidRPr="004964C0">
        <w:rPr>
          <w:rFonts w:ascii="Arial" w:hAnsi="Arial" w:cs="Arial"/>
          <w:b/>
          <w:sz w:val="18"/>
          <w:szCs w:val="18"/>
        </w:rPr>
        <w:t>) — United States</w:t>
      </w:r>
      <w:r w:rsidR="00D62005" w:rsidRPr="004964C0">
        <w:rPr>
          <w:rFonts w:ascii="Arial" w:hAnsi="Arial" w:cs="Arial"/>
          <w:b/>
          <w:sz w:val="18"/>
          <w:szCs w:val="18"/>
        </w:rPr>
        <w:t>, October 2017</w:t>
      </w:r>
      <w:r w:rsidRPr="004964C0">
        <w:rPr>
          <w:rFonts w:ascii="Arial" w:hAnsi="Arial" w:cs="Arial"/>
          <w:b/>
          <w:sz w:val="18"/>
          <w:szCs w:val="18"/>
        </w:rPr>
        <w:t>–</w:t>
      </w:r>
      <w:r w:rsidR="00D62005" w:rsidRPr="004964C0">
        <w:rPr>
          <w:rFonts w:ascii="Arial" w:hAnsi="Arial" w:cs="Arial"/>
          <w:b/>
          <w:sz w:val="18"/>
          <w:szCs w:val="18"/>
        </w:rPr>
        <w:t>June 2018</w:t>
      </w:r>
    </w:p>
    <w:tbl>
      <w:tblPr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2790"/>
        <w:gridCol w:w="990"/>
        <w:gridCol w:w="1080"/>
        <w:gridCol w:w="6480"/>
      </w:tblGrid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05" w:rsidRPr="005E2E89" w:rsidRDefault="00D62005" w:rsidP="009E3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Pre-specified outcome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05" w:rsidRPr="005E2E89" w:rsidRDefault="00D62005" w:rsidP="009E3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E768D9" w:rsidRPr="005E2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</w:t>
            </w:r>
            <w:r w:rsidRPr="005E2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05" w:rsidRPr="005E2E89" w:rsidRDefault="00D62005" w:rsidP="009E3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Reporting rate</w:t>
            </w:r>
            <w:r w:rsidRPr="005E2E89">
              <w:rPr>
                <w:rFonts w:ascii="Arial" w:hAnsi="Arial" w:cs="Arial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005" w:rsidRPr="005E2E89" w:rsidRDefault="00D62005" w:rsidP="009E3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Physician reviewer impression and description of selected reports</w:t>
            </w:r>
          </w:p>
        </w:tc>
      </w:tr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Herpes zoster (HZ)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196 (4.5)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110 reports of physician-diagnosed cases of HZ; 4 reports were not physician-diagnosed; 82 reports were misclassified</w:t>
            </w:r>
          </w:p>
        </w:tc>
      </w:tr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Post-herpetic neuralgia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49 (1.1)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45 reports of neuralgia or nerve pain, 15 of which were physician-diagnosed cases of post-herpetic neuralgia; 4 reports were misclassified</w:t>
            </w:r>
          </w:p>
        </w:tc>
      </w:tr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Autoimmune disorders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20 (0.46)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8 reports of Guillain-Barré syndrome; 3 reports of patients with pre-existing autoimmune disorders; 1 report each of uveitis, transverse myelitis, and Steven-Johnson syndrome; 6 reports were misclassified</w:t>
            </w:r>
          </w:p>
        </w:tc>
      </w:tr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Neuropathy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16 (0.37)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10 reports of neuropathy, 5 of which were physician-diagnosed; 6 reports were misclassified</w:t>
            </w:r>
          </w:p>
        </w:tc>
      </w:tr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Inflammatory eye disease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14 (0.32)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 xml:space="preserve">9 reports of HZ near the eye, with subsequent ocular involvement (e.g., keratitis); 2 reports of primary HZ iridocyclicitis; 1 report each of ocular HZ, HZ keratoconjunvtivitis, and pre-existing ophthalmic HZ </w:t>
            </w:r>
          </w:p>
        </w:tc>
      </w:tr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Acute myocardial infarction (AMI)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11 (0.25)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2 reports of AMI (83-year-old female and a 65-year-old female); 9 reports described either “rule out” AMI or history of ischemic cardiomyopathy</w:t>
            </w:r>
          </w:p>
        </w:tc>
      </w:tr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Seizures/convulsions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11 (0.25)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2 reports met Brighton Level (BL) 1; 9 reports did not meet BL criteria</w:t>
            </w:r>
          </w:p>
        </w:tc>
      </w:tr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Bell’s palsy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10 (0.23)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 xml:space="preserve">2 reports met BL3; 8 reports did not meet BL criteria </w:t>
            </w:r>
          </w:p>
        </w:tc>
      </w:tr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8 (0.18)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[described in the Results section]</w:t>
            </w:r>
          </w:p>
        </w:tc>
      </w:tr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Guillain-Barré syndrome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8 (0.18)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 xml:space="preserve">5 reports met BL2, 1 report met BL3, 2 reports did not meet BL criteria; these are the same 8 Guillain-Barré syndrome reports as in the autoimmune disorders </w:t>
            </w:r>
          </w:p>
        </w:tc>
      </w:tr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Anaphylaxis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7 (0.16)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1 report met BL1, with symptom onset the day after vaccination; 2 reports met BL2, with symptom onset “45 minutes” and “within hours;” 4 reports were misclassified</w:t>
            </w:r>
          </w:p>
        </w:tc>
      </w:tr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Lymphadenitis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7 (0.16)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Reports primarily captured as a finding on physical exam, but not as the primary complaint or adverse event itself</w:t>
            </w:r>
          </w:p>
        </w:tc>
      </w:tr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Stroke/cerebrovascular event (CVA)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7 (0.16)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4 reports of CVA (51-year-old female with dyslipidemia and CVA the day after vaccination, 70-year-old female with hypercholesterolemia and CVA 2 days after vaccination, and incomplete information on remaining 2 reports); 3 reports were not CVA, but CVA was mentioned in the differential diagnosis</w:t>
            </w:r>
          </w:p>
        </w:tc>
      </w:tr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Co-administration of RZV with adjuvanted influenza vaccine and/or adjuvanted hepatitis B vaccine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3 (&lt;0.1)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All 3 reports described injection site swelling and pain; in 1 report, vaccines were given in the same arm</w:t>
            </w:r>
          </w:p>
        </w:tc>
      </w:tr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Gout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3 (&lt;0.1)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2 reports of gout in the adverse event description; 1 report of a patient with pre-existing gout</w:t>
            </w:r>
          </w:p>
        </w:tc>
      </w:tr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Autoimmune vasculitis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2 (&lt;0.1)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Both reports were misclassified</w:t>
            </w:r>
          </w:p>
        </w:tc>
      </w:tr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Idiopathic thrombocytopenic purpura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2 (&lt;0.1)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1 report of idiopathic thrombocytopenic purpura that responded to intravenous immunoglobulin and steroids; 1 report was misclassified</w:t>
            </w:r>
          </w:p>
        </w:tc>
      </w:tr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Meningitis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2 (&lt;0.1)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1 report of presumed viral encephalitis and aseptic meningitis; 1 report of a patient with mental status changes – meningitis considered, but no explanation for symptoms found</w:t>
            </w:r>
          </w:p>
        </w:tc>
      </w:tr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Supraventricular tachyarrhythmias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1 (&lt;0.1)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Report of a patient who experienced a supraventricular tachyarrhythmia during hospitalization for septic shock</w:t>
            </w:r>
          </w:p>
        </w:tc>
      </w:tr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Amyotrophic lateral sclerosis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No reports identified</w:t>
            </w:r>
          </w:p>
        </w:tc>
      </w:tr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Optic ischemic neuropathy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No reports identified</w:t>
            </w:r>
          </w:p>
        </w:tc>
      </w:tr>
      <w:tr w:rsidR="00D62005" w:rsidRPr="00E768D9" w:rsidTr="002C45C9">
        <w:trPr>
          <w:trHeight w:val="2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Osteonecrosis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05" w:rsidRPr="005E2E89" w:rsidRDefault="00D62005" w:rsidP="003B7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005" w:rsidRPr="005E2E89" w:rsidRDefault="00D62005" w:rsidP="003B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E89">
              <w:rPr>
                <w:rFonts w:ascii="Arial" w:hAnsi="Arial" w:cs="Arial"/>
                <w:color w:val="000000"/>
                <w:sz w:val="18"/>
                <w:szCs w:val="18"/>
              </w:rPr>
              <w:t>No reports identified</w:t>
            </w:r>
          </w:p>
        </w:tc>
      </w:tr>
    </w:tbl>
    <w:p w:rsidR="00D62005" w:rsidRPr="005E2E89" w:rsidRDefault="00D62005" w:rsidP="002C45C9">
      <w:pPr>
        <w:spacing w:after="120" w:line="240" w:lineRule="auto"/>
        <w:ind w:left="-990" w:hanging="90"/>
        <w:rPr>
          <w:rFonts w:ascii="Arial" w:hAnsi="Arial" w:cs="Arial"/>
          <w:color w:val="333333"/>
          <w:sz w:val="18"/>
          <w:szCs w:val="18"/>
        </w:rPr>
      </w:pPr>
      <w:r w:rsidRPr="002C45C9">
        <w:rPr>
          <w:rFonts w:ascii="Arial" w:hAnsi="Arial" w:cs="Arial"/>
          <w:color w:val="333333"/>
          <w:sz w:val="18"/>
          <w:szCs w:val="18"/>
        </w:rPr>
        <w:t>*</w:t>
      </w:r>
      <w:r w:rsidR="002C45C9">
        <w:rPr>
          <w:rFonts w:ascii="Arial" w:hAnsi="Arial" w:cs="Arial"/>
          <w:color w:val="333333"/>
          <w:sz w:val="18"/>
          <w:szCs w:val="18"/>
        </w:rPr>
        <w:t xml:space="preserve"> </w:t>
      </w:r>
      <w:r w:rsidRPr="005E2E89">
        <w:rPr>
          <w:rFonts w:ascii="Arial" w:hAnsi="Arial" w:cs="Arial"/>
          <w:color w:val="333333"/>
          <w:sz w:val="18"/>
          <w:szCs w:val="18"/>
        </w:rPr>
        <w:t>Reports of pre-specified outcomes were identified using the search strategy described in the electronic Appendix; a single report could include multiple pre-specified outcomes because the patient experienced multiple adverse events or because a single MedDRA Preferred Term used to code the adverse event maps to multiple different pre-specified outcomes</w:t>
      </w:r>
    </w:p>
    <w:p w:rsidR="00D62005" w:rsidRPr="005E2E89" w:rsidRDefault="00D62005" w:rsidP="002C45C9">
      <w:pPr>
        <w:spacing w:after="120" w:line="240" w:lineRule="auto"/>
        <w:ind w:left="-990" w:hanging="90"/>
        <w:rPr>
          <w:rFonts w:ascii="Arial" w:hAnsi="Arial" w:cs="Arial"/>
          <w:color w:val="333333"/>
          <w:sz w:val="18"/>
          <w:szCs w:val="18"/>
          <w:vertAlign w:val="superscript"/>
        </w:rPr>
      </w:pPr>
      <w:r w:rsidRPr="005E2E89">
        <w:rPr>
          <w:rFonts w:ascii="Arial" w:hAnsi="Arial" w:cs="Arial"/>
          <w:b/>
          <w:color w:val="333333"/>
          <w:sz w:val="18"/>
          <w:szCs w:val="18"/>
          <w:vertAlign w:val="superscript"/>
        </w:rPr>
        <w:t>†</w:t>
      </w:r>
      <w:r w:rsidR="002C45C9">
        <w:rPr>
          <w:rFonts w:ascii="Arial" w:hAnsi="Arial" w:cs="Arial"/>
          <w:b/>
          <w:color w:val="333333"/>
          <w:sz w:val="18"/>
          <w:szCs w:val="18"/>
          <w:vertAlign w:val="superscript"/>
        </w:rPr>
        <w:t xml:space="preserve"> </w:t>
      </w:r>
      <w:r w:rsidRPr="005E2E89">
        <w:rPr>
          <w:rFonts w:ascii="Arial" w:hAnsi="Arial" w:cs="Arial"/>
          <w:color w:val="333333"/>
          <w:sz w:val="18"/>
          <w:szCs w:val="18"/>
        </w:rPr>
        <w:t>Brighton Collaboration standardized case definitions were available for seizures/convulsions, Bell’s palsy, Guillain-Barré syndrome, and anaphylaxis; Brighton Level (BL) 1 represents the highest level of diagnostic certainty, followed by 2, 3 and 4</w:t>
      </w:r>
    </w:p>
    <w:p w:rsidR="00FC70C6" w:rsidRPr="005E2E89" w:rsidRDefault="00D62005" w:rsidP="002C45C9">
      <w:pPr>
        <w:spacing w:after="120" w:line="240" w:lineRule="auto"/>
        <w:ind w:left="-990" w:hanging="90"/>
        <w:rPr>
          <w:rFonts w:ascii="Arial" w:hAnsi="Arial" w:cs="Arial"/>
          <w:sz w:val="18"/>
          <w:szCs w:val="18"/>
        </w:rPr>
      </w:pPr>
      <w:r w:rsidRPr="005E2E89">
        <w:rPr>
          <w:rFonts w:ascii="Arial" w:hAnsi="Arial" w:cs="Arial"/>
          <w:sz w:val="18"/>
          <w:szCs w:val="18"/>
          <w:vertAlign w:val="superscript"/>
        </w:rPr>
        <w:t>§</w:t>
      </w:r>
      <w:r w:rsidR="002C45C9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E2E89">
        <w:rPr>
          <w:rFonts w:ascii="Arial" w:hAnsi="Arial" w:cs="Arial"/>
          <w:color w:val="333333"/>
          <w:sz w:val="18"/>
          <w:szCs w:val="18"/>
        </w:rPr>
        <w:t>Reports of pre-specified outcomes per 100,000 RZV doses distributed in the United States during the analytic period</w:t>
      </w:r>
      <w:r w:rsidR="00F033DC">
        <w:rPr>
          <w:rFonts w:ascii="Arial" w:hAnsi="Arial" w:cs="Arial"/>
          <w:color w:val="333333"/>
          <w:sz w:val="18"/>
          <w:szCs w:val="18"/>
        </w:rPr>
        <w:t>.</w:t>
      </w:r>
    </w:p>
    <w:sectPr w:rsidR="00FC70C6" w:rsidRPr="005E2E89" w:rsidSect="002C45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48" w:rsidRDefault="00172B55">
      <w:pPr>
        <w:spacing w:after="0" w:line="240" w:lineRule="auto"/>
      </w:pPr>
      <w:r>
        <w:separator/>
      </w:r>
    </w:p>
  </w:endnote>
  <w:endnote w:type="continuationSeparator" w:id="0">
    <w:p w:rsidR="00241348" w:rsidRDefault="0017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6649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17C0B" w:rsidRDefault="0031367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0490">
          <w:rPr>
            <w:rFonts w:ascii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17C0B" w:rsidRDefault="00260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48" w:rsidRDefault="00172B55">
      <w:pPr>
        <w:spacing w:after="0" w:line="240" w:lineRule="auto"/>
      </w:pPr>
      <w:r>
        <w:separator/>
      </w:r>
    </w:p>
  </w:footnote>
  <w:footnote w:type="continuationSeparator" w:id="0">
    <w:p w:rsidR="00241348" w:rsidRDefault="0017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45575"/>
    <w:multiLevelType w:val="hybridMultilevel"/>
    <w:tmpl w:val="46EE90D4"/>
    <w:lvl w:ilvl="0" w:tplc="BA98FF88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F832A3"/>
    <w:multiLevelType w:val="hybridMultilevel"/>
    <w:tmpl w:val="9CDE85E8"/>
    <w:lvl w:ilvl="0" w:tplc="FCC268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05"/>
    <w:rsid w:val="00006E88"/>
    <w:rsid w:val="00172B55"/>
    <w:rsid w:val="00241348"/>
    <w:rsid w:val="00260490"/>
    <w:rsid w:val="002871FF"/>
    <w:rsid w:val="002C45C9"/>
    <w:rsid w:val="00313678"/>
    <w:rsid w:val="003B7A24"/>
    <w:rsid w:val="004964C0"/>
    <w:rsid w:val="00562110"/>
    <w:rsid w:val="005E2E89"/>
    <w:rsid w:val="006F16FE"/>
    <w:rsid w:val="00801737"/>
    <w:rsid w:val="00B668B4"/>
    <w:rsid w:val="00D26908"/>
    <w:rsid w:val="00D62005"/>
    <w:rsid w:val="00DE690B"/>
    <w:rsid w:val="00E768D9"/>
    <w:rsid w:val="00F033D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02338-A966-43DE-8C5E-5027268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6200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6200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6200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62005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D6200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20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2005"/>
    <w:pPr>
      <w:ind w:left="720"/>
      <w:contextualSpacing/>
    </w:pPr>
  </w:style>
  <w:style w:type="table" w:styleId="TableGrid">
    <w:name w:val="Table Grid"/>
    <w:basedOn w:val="TableNormal"/>
    <w:uiPriority w:val="39"/>
    <w:rsid w:val="00D6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62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05"/>
  </w:style>
  <w:style w:type="paragraph" w:styleId="Header">
    <w:name w:val="header"/>
    <w:basedOn w:val="Normal"/>
    <w:link w:val="HeaderChar"/>
    <w:uiPriority w:val="99"/>
    <w:unhideWhenUsed/>
    <w:rsid w:val="00D62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05"/>
  </w:style>
  <w:style w:type="character" w:customStyle="1" w:styleId="highlight">
    <w:name w:val="highlight"/>
    <w:basedOn w:val="DefaultParagraphFont"/>
    <w:rsid w:val="00D6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53C97-1538-4CC1-8489-DB91C8FB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Hesse, Elisabeth (CDC/OID/NCEZID)</dc:creator>
  <cp:keywords/>
  <dc:description/>
  <cp:lastModifiedBy>Douglas Weatherwax</cp:lastModifiedBy>
  <cp:revision>2</cp:revision>
  <dcterms:created xsi:type="dcterms:W3CDTF">2018-12-31T14:18:00Z</dcterms:created>
  <dcterms:modified xsi:type="dcterms:W3CDTF">2018-12-31T14:18:00Z</dcterms:modified>
</cp:coreProperties>
</file>