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5"/>
        <w:tblW w:w="14940" w:type="dxa"/>
        <w:tblLayout w:type="fixed"/>
        <w:tblLook w:val="04A0" w:firstRow="1" w:lastRow="0" w:firstColumn="1" w:lastColumn="0" w:noHBand="0" w:noVBand="1"/>
      </w:tblPr>
      <w:tblGrid>
        <w:gridCol w:w="359"/>
        <w:gridCol w:w="2979"/>
        <w:gridCol w:w="982"/>
        <w:gridCol w:w="1080"/>
        <w:gridCol w:w="990"/>
        <w:gridCol w:w="965"/>
        <w:gridCol w:w="1465"/>
        <w:gridCol w:w="990"/>
        <w:gridCol w:w="1260"/>
        <w:gridCol w:w="1260"/>
        <w:gridCol w:w="1350"/>
        <w:gridCol w:w="1260"/>
      </w:tblGrid>
      <w:tr w:rsidR="00424CA7" w:rsidRPr="003B309B" w:rsidTr="005D44CD">
        <w:trPr>
          <w:trHeight w:val="308"/>
        </w:trPr>
        <w:tc>
          <w:tcPr>
            <w:tcW w:w="14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9705D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Supplemental Table </w:t>
            </w:r>
            <w:r w:rsidR="00994568" w:rsidRPr="00A148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148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– Performance of alternate classification and regression tree (CART) derived profiles among outbreaks reported through the National Outbreak Reporting System (NORS), 2009-2012</w:t>
            </w:r>
          </w:p>
        </w:tc>
      </w:tr>
      <w:tr w:rsidR="00375003" w:rsidRPr="003B309B" w:rsidTr="005D44CD">
        <w:trPr>
          <w:trHeight w:val="616"/>
        </w:trPr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Profiles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Confirmed Norovirus</w:t>
            </w: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Suspected Norovirus </w:t>
            </w: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BD7792" w:rsidP="00BD77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Confirmed N</w:t>
            </w:r>
            <w:r w:rsidR="00424CA7"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on-</w:t>
            </w: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</w:t>
            </w:r>
            <w:r w:rsidR="00424CA7"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iral</w:t>
            </w:r>
            <w:r w:rsidR="00424CA7"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Unknown</w:t>
            </w: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Cohen's Kappa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Likelihood Ratio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Sensitivity, % (95% CI)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Specificity, % (95% CI)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4CD" w:rsidRDefault="00424CA7" w:rsidP="005D44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Positive Predictive Value, </w:t>
            </w:r>
          </w:p>
          <w:p w:rsidR="00424CA7" w:rsidRPr="00A14870" w:rsidRDefault="00424CA7" w:rsidP="005D44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Negative Predictive Value, % (95% CI)</w:t>
            </w:r>
          </w:p>
        </w:tc>
      </w:tr>
      <w:tr w:rsidR="00375003" w:rsidRPr="003B309B" w:rsidTr="005D44CD">
        <w:trPr>
          <w:trHeight w:val="17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Fever-to-Vomit Ratio &lt; 1, Prop. Bloody Stool &lt;0.1, Prop. Vomit ≥ 0.1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4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with all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4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0.77 (0.71-0.82)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86.7 (84.0-89.0)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90.3 (87.7-92.4)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91.2 (88.8-93.1)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85.4 (82.4-87.9)</w:t>
            </w:r>
          </w:p>
        </w:tc>
      </w:tr>
      <w:tr w:rsidR="00375003" w:rsidRPr="003B309B" w:rsidTr="005D44CD">
        <w:trPr>
          <w:trHeight w:val="14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did not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21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308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Fever-to-Vomit Ratio &lt; 1, Prop. Bloody Stool &lt;0.1, Prop. Vomit ≥ 0.26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with all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0.78 (0.72-0.83)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85.7 (82.9-88.1)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92.4 (90.0-94.3)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92.9 (90.7-94.7)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84.7 (81.8-87.3)</w:t>
            </w: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did not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8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308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Fever-to-Vomit Ratio &lt; 1, Prop. Bloody Stool &lt;0.1, Prop. Vomit &lt; 0.44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with all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0.01 (-0.01 - 0.03)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4.4 (3.1-6.2)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96.4 (94.6-97.6)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58.5 (45.1-70.7)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46.4 (43.7-49.2)</w:t>
            </w: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did not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7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308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Fever-to-Vomit Ratio &lt; 1, Prop. Bloody Stool &lt;0.27, Prop. Vomit ≥ 0.1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with all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0.75 (0.70-0.81)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89.4 (86.9-91.4)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86.0 (83.0-88.5)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88.1 (85.6-90.3)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87.4 (84.5-89.9)</w:t>
            </w: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did not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308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Fever-to-Vomit Ratio &lt; 1, Prop. Bloody Stool &lt;0.27, Prop. Vomit ≥ 0.26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with all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0.77 (0.72-0.83)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88.4 (85.8-90.5)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89.0 (86.2-91.2)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90.3 (87.9-92.3)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86.7 (86.8-90.3)</w:t>
            </w: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did not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21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308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Fever-to-Vomit Ratio &lt; 1, Prop. Bloody Stool &lt;0.27, Prop Vomit &lt;0.44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with all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-01 (-0.03-0.01)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4.4 (3.1-6.2)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94.6 (92.5-96.1)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48.4 (36.6-60.4)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46.0 (43.2-48.8)</w:t>
            </w:r>
          </w:p>
        </w:tc>
      </w:tr>
      <w:tr w:rsidR="00375003" w:rsidRPr="003B309B" w:rsidTr="005D44CD">
        <w:trPr>
          <w:trHeight w:val="17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that did not fit the criteria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CA7" w:rsidRPr="00A14870" w:rsidRDefault="00424CA7" w:rsidP="006B42C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7792" w:rsidRPr="003B309B" w:rsidTr="005D44CD">
        <w:trPr>
          <w:trHeight w:val="146"/>
        </w:trPr>
        <w:tc>
          <w:tcPr>
            <w:tcW w:w="149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7792" w:rsidRPr="00A14870" w:rsidRDefault="00BD7792" w:rsidP="006B42C2">
            <w:pPr>
              <w:rPr>
                <w:rFonts w:eastAsia="Times New Roman" w:cs="Times New Roman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Single etiology outbreaks with norovirus reported as confirmed (laboratory confirmation of two or more cases) (N=2,939)</w:t>
            </w:r>
          </w:p>
        </w:tc>
      </w:tr>
      <w:tr w:rsidR="00BD7792" w:rsidRPr="003B309B" w:rsidTr="005D44CD">
        <w:trPr>
          <w:trHeight w:val="146"/>
        </w:trPr>
        <w:tc>
          <w:tcPr>
            <w:tcW w:w="149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7792" w:rsidRPr="00A14870" w:rsidRDefault="00BD7792" w:rsidP="006B42C2">
            <w:pPr>
              <w:rPr>
                <w:rFonts w:eastAsia="Times New Roman" w:cs="Times New Roman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Single etiology outbreaks with norovirus reported as suspected (laboratory confirmation in fewer than two  cases) (N=1,321)</w:t>
            </w:r>
          </w:p>
        </w:tc>
      </w:tr>
      <w:tr w:rsidR="00BD7792" w:rsidRPr="003B309B" w:rsidTr="005D44CD">
        <w:trPr>
          <w:trHeight w:val="69"/>
        </w:trPr>
        <w:tc>
          <w:tcPr>
            <w:tcW w:w="149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7792" w:rsidRPr="00A14870" w:rsidRDefault="00BD7792" w:rsidP="006B42C2">
            <w:pPr>
              <w:rPr>
                <w:rFonts w:eastAsia="Times New Roman" w:cs="Times New Roman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Single etiology outbreaks with a confirmed non-viral etiology (see Supplemental Table 2) (N=1,573)</w:t>
            </w:r>
          </w:p>
        </w:tc>
      </w:tr>
      <w:tr w:rsidR="00BD7792" w:rsidRPr="003B309B" w:rsidTr="005D44CD">
        <w:trPr>
          <w:trHeight w:val="69"/>
        </w:trPr>
        <w:tc>
          <w:tcPr>
            <w:tcW w:w="149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7792" w:rsidRPr="00A14870" w:rsidRDefault="00BD7792" w:rsidP="006B42C2">
            <w:pPr>
              <w:rPr>
                <w:rFonts w:eastAsia="Times New Roman" w:cs="Times New Roman"/>
                <w:sz w:val="16"/>
                <w:szCs w:val="16"/>
              </w:rPr>
            </w:pPr>
            <w:r w:rsidRPr="00A14870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A14870">
              <w:rPr>
                <w:rFonts w:eastAsia="Times New Roman" w:cs="Times New Roman"/>
                <w:color w:val="000000"/>
                <w:sz w:val="16"/>
                <w:szCs w:val="16"/>
              </w:rPr>
              <w:t>Outbreaks reported without any suspected or confirmed etiology (N=3,694)</w:t>
            </w:r>
          </w:p>
        </w:tc>
      </w:tr>
    </w:tbl>
    <w:p w:rsidR="00FC70C6" w:rsidRDefault="00FC70C6">
      <w:bookmarkStart w:id="0" w:name="_GoBack"/>
      <w:bookmarkEnd w:id="0"/>
    </w:p>
    <w:sectPr w:rsidR="00FC70C6" w:rsidSect="00424C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A7"/>
    <w:rsid w:val="00263155"/>
    <w:rsid w:val="00375003"/>
    <w:rsid w:val="00424CA7"/>
    <w:rsid w:val="005D44CD"/>
    <w:rsid w:val="00947BE9"/>
    <w:rsid w:val="009705DA"/>
    <w:rsid w:val="00994568"/>
    <w:rsid w:val="00A14870"/>
    <w:rsid w:val="00BD779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9578"/>
  <w15:chartTrackingRefBased/>
  <w15:docId w15:val="{1CFA2D77-F386-471E-836F-E2AD7624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A7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Joana (CDC/OID/NCIRD) (CTR)</dc:creator>
  <cp:keywords/>
  <dc:description/>
  <cp:lastModifiedBy>Yu, Joana (CDC/OID/NCIRD) (CTR)</cp:lastModifiedBy>
  <cp:revision>7</cp:revision>
  <dcterms:created xsi:type="dcterms:W3CDTF">2018-02-05T18:44:00Z</dcterms:created>
  <dcterms:modified xsi:type="dcterms:W3CDTF">2018-02-05T21:59:00Z</dcterms:modified>
</cp:coreProperties>
</file>