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9" w:rsidRPr="00EF34A4" w:rsidRDefault="00CD6F0E" w:rsidP="004E0AC9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Supplemental </w:t>
      </w:r>
      <w:r w:rsidR="00EF34A4"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digital </w:t>
      </w:r>
      <w:r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</w:t>
      </w:r>
      <w:r w:rsidR="004E0AC9"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able </w:t>
      </w:r>
      <w:r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="004E0AC9"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Comparison of methods: </w:t>
      </w:r>
      <w:r w:rsidR="004E0AC9" w:rsidRPr="00EF34A4">
        <w:rPr>
          <w:rFonts w:ascii="Times New Roman" w:hAnsi="Times New Roman" w:cs="Times New Roman"/>
          <w:b/>
          <w:color w:val="auto"/>
          <w:sz w:val="24"/>
          <w:szCs w:val="24"/>
        </w:rPr>
        <w:t>partial attributable fraction</w:t>
      </w:r>
      <w:r w:rsidR="004E0AC9" w:rsidRPr="00EF34A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versus </w:t>
      </w:r>
      <w:r w:rsidR="004E0AC9" w:rsidRPr="00EF34A4">
        <w:rPr>
          <w:rFonts w:ascii="Times New Roman" w:hAnsi="Times New Roman" w:cs="Times New Roman"/>
          <w:b/>
          <w:color w:val="auto"/>
          <w:sz w:val="24"/>
          <w:szCs w:val="24"/>
        </w:rPr>
        <w:t>count appli</w:t>
      </w:r>
      <w:bookmarkStart w:id="0" w:name="_GoBack"/>
      <w:bookmarkEnd w:id="0"/>
      <w:r w:rsidR="004E0AC9" w:rsidRPr="00EF34A4">
        <w:rPr>
          <w:rFonts w:ascii="Times New Roman" w:hAnsi="Times New Roman" w:cs="Times New Roman"/>
          <w:b/>
          <w:color w:val="auto"/>
          <w:sz w:val="24"/>
          <w:szCs w:val="24"/>
        </w:rPr>
        <w:t>ed to cost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3870"/>
        <w:gridCol w:w="3960"/>
      </w:tblGrid>
      <w:tr w:rsidR="004E0AC9" w:rsidRPr="00C67904" w:rsidTr="00062B82">
        <w:tc>
          <w:tcPr>
            <w:tcW w:w="2515" w:type="dxa"/>
            <w:vMerge w:val="restart"/>
            <w:vAlign w:val="center"/>
          </w:tcPr>
          <w:p w:rsidR="004E0AC9" w:rsidRPr="007E6E4E" w:rsidRDefault="004E0AC9" w:rsidP="0006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E6E4E">
              <w:rPr>
                <w:rFonts w:ascii="Times New Roman" w:hAnsi="Times New Roman" w:cs="Times New Roman"/>
                <w:b/>
                <w:sz w:val="24"/>
                <w:szCs w:val="24"/>
              </w:rPr>
              <w:t>ost parameters</w:t>
            </w:r>
          </w:p>
        </w:tc>
        <w:tc>
          <w:tcPr>
            <w:tcW w:w="7830" w:type="dxa"/>
            <w:gridSpan w:val="2"/>
            <w:vAlign w:val="center"/>
          </w:tcPr>
          <w:p w:rsidR="004E0AC9" w:rsidRPr="00963A20" w:rsidRDefault="004E0AC9" w:rsidP="0006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</w:tr>
      <w:tr w:rsidR="004E0AC9" w:rsidRPr="00C67904" w:rsidTr="00062B82">
        <w:trPr>
          <w:trHeight w:val="332"/>
        </w:trPr>
        <w:tc>
          <w:tcPr>
            <w:tcW w:w="2515" w:type="dxa"/>
            <w:vMerge/>
            <w:vAlign w:val="center"/>
          </w:tcPr>
          <w:p w:rsidR="004E0AC9" w:rsidRPr="00C67904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E0AC9" w:rsidRPr="00C67904" w:rsidRDefault="004E0AC9" w:rsidP="00B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4">
              <w:rPr>
                <w:rFonts w:ascii="Times New Roman" w:hAnsi="Times New Roman" w:cs="Times New Roman"/>
                <w:b/>
                <w:sz w:val="24"/>
                <w:szCs w:val="24"/>
              </w:rPr>
              <w:t>Partial attributable fraction</w:t>
            </w:r>
            <w:r w:rsidR="00BB59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0" w:type="dxa"/>
            <w:vAlign w:val="center"/>
          </w:tcPr>
          <w:p w:rsidR="004E0AC9" w:rsidRPr="00C67904" w:rsidRDefault="004E0AC9" w:rsidP="00B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4">
              <w:rPr>
                <w:rFonts w:ascii="Times New Roman" w:hAnsi="Times New Roman" w:cs="Times New Roman"/>
                <w:b/>
                <w:sz w:val="24"/>
                <w:szCs w:val="24"/>
              </w:rPr>
              <w:t>Count applied to cost</w:t>
            </w:r>
            <w:r w:rsidR="00BB59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E0AC9" w:rsidRPr="00C67904" w:rsidTr="00062B82">
        <w:trPr>
          <w:trHeight w:val="440"/>
        </w:trPr>
        <w:tc>
          <w:tcPr>
            <w:tcW w:w="2515" w:type="dxa"/>
          </w:tcPr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 xml:space="preserve">Cost accrued during </w:t>
            </w:r>
          </w:p>
        </w:tc>
        <w:tc>
          <w:tcPr>
            <w:tcW w:w="3870" w:type="dxa"/>
          </w:tcPr>
          <w:p w:rsidR="004E0AC9" w:rsidRPr="00963A20" w:rsidRDefault="004E0AC9" w:rsidP="0006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3960" w:type="dxa"/>
          </w:tcPr>
          <w:p w:rsidR="004E0AC9" w:rsidRPr="00C67904" w:rsidRDefault="004E0AC9" w:rsidP="0006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>Lifetime</w:t>
            </w:r>
          </w:p>
        </w:tc>
      </w:tr>
      <w:tr w:rsidR="004E0AC9" w:rsidRPr="00C67904" w:rsidTr="00062B82">
        <w:tc>
          <w:tcPr>
            <w:tcW w:w="2515" w:type="dxa"/>
          </w:tcPr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Costs included</w:t>
            </w:r>
          </w:p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 xml:space="preserve">Includes total medical spending for older adult falls. </w:t>
            </w:r>
          </w:p>
          <w:p w:rsidR="004E0AC9" w:rsidRPr="009D74DF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C9" w:rsidRPr="00C67904" w:rsidRDefault="004E0AC9" w:rsidP="004E0AC9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>Medical services received (e.g. inpatient facility, ED</w:t>
            </w:r>
            <w:r w:rsidR="00BB590B" w:rsidRPr="00434D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 xml:space="preserve">, outpatient, occupational therapy, dental services, nursing homes); and </w:t>
            </w:r>
          </w:p>
          <w:p w:rsidR="004E0AC9" w:rsidRPr="00C67904" w:rsidRDefault="004E0AC9" w:rsidP="004E0AC9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 xml:space="preserve">Other professional services such as prescriptions and durable medical equipment that are paid for by Medicaid, Medicare, or private insurance.  </w:t>
            </w:r>
          </w:p>
          <w:p w:rsidR="004E0AC9" w:rsidRPr="00C67904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E0AC9" w:rsidRPr="00C67904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spending for older adult fall injuries requiring </w:t>
            </w: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>hospitalization and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AC9" w:rsidRPr="00C67904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C9" w:rsidRPr="00C67904" w:rsidRDefault="004E0AC9" w:rsidP="004E0AC9">
            <w:pPr>
              <w:pStyle w:val="ListParagraph"/>
              <w:numPr>
                <w:ilvl w:val="0"/>
                <w:numId w:val="2"/>
              </w:numPr>
              <w:spacing w:after="120"/>
              <w:ind w:left="288" w:hanging="28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 xml:space="preserve">Costs associated with the initial hospitalizations or ED visit, and </w:t>
            </w:r>
          </w:p>
          <w:p w:rsidR="004E0AC9" w:rsidRPr="007E6E4E" w:rsidRDefault="004E0AC9" w:rsidP="004E0AC9">
            <w:pPr>
              <w:pStyle w:val="ListParagraph"/>
              <w:numPr>
                <w:ilvl w:val="0"/>
                <w:numId w:val="2"/>
              </w:numPr>
              <w:spacing w:after="120"/>
              <w:ind w:left="288" w:hanging="2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E">
              <w:rPr>
                <w:rFonts w:ascii="Times New Roman" w:hAnsi="Times New Roman" w:cs="Times New Roman"/>
                <w:sz w:val="24"/>
                <w:szCs w:val="24"/>
              </w:rPr>
              <w:t xml:space="preserve">All short to long-term follow up costs associated with the fall injury (e.g. readmissions, rehabilitation,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7E6E4E">
              <w:rPr>
                <w:rFonts w:ascii="Times New Roman" w:hAnsi="Times New Roman" w:cs="Times New Roman"/>
                <w:sz w:val="24"/>
                <w:szCs w:val="24"/>
              </w:rPr>
              <w:t>nursing homes</w:t>
            </w: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E0AC9" w:rsidRPr="00C67904" w:rsidTr="00062B82">
        <w:trPr>
          <w:trHeight w:val="1952"/>
        </w:trPr>
        <w:tc>
          <w:tcPr>
            <w:tcW w:w="2515" w:type="dxa"/>
          </w:tcPr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 xml:space="preserve">Costs not included  </w:t>
            </w:r>
          </w:p>
        </w:tc>
        <w:tc>
          <w:tcPr>
            <w:tcW w:w="3870" w:type="dxa"/>
          </w:tcPr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term and lifetime costs accrued in subsequent years that may have occurred as a result of the fall (e.g. nursing home stays).</w:t>
            </w:r>
          </w:p>
        </w:tc>
        <w:tc>
          <w:tcPr>
            <w:tcW w:w="3960" w:type="dxa"/>
          </w:tcPr>
          <w:p w:rsidR="004E0AC9" w:rsidRPr="009D74DF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 xml:space="preserve">All medical services not received as part of hospitalization or ED admission including physician office visits,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occupational </w:t>
            </w: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 xml:space="preserve">apy, dental services, or prescriptions. </w:t>
            </w:r>
          </w:p>
          <w:p w:rsidR="004E0AC9" w:rsidRPr="00C67904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C9" w:rsidRPr="00C67904" w:rsidTr="00062B82">
        <w:trPr>
          <w:trHeight w:val="3338"/>
        </w:trPr>
        <w:tc>
          <w:tcPr>
            <w:tcW w:w="2515" w:type="dxa"/>
          </w:tcPr>
          <w:p w:rsidR="004E0AC9" w:rsidRPr="00963A20" w:rsidRDefault="004E0AC9" w:rsidP="0006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Ideal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70" w:type="dxa"/>
          </w:tcPr>
          <w:p w:rsidR="004E0AC9" w:rsidRPr="00963A20" w:rsidRDefault="004E0AC9" w:rsidP="004E0AC9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Calculate state specific costs (data available for all states); and</w:t>
            </w:r>
          </w:p>
          <w:p w:rsidR="004E0AC9" w:rsidRPr="00963A20" w:rsidRDefault="004E0AC9" w:rsidP="004E0AC9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>Estimate payer specific costs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state</w:t>
            </w: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 xml:space="preserve"> (important for state-based planning of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>funded programs)</w:t>
            </w: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4E0AC9" w:rsidRPr="00963A20" w:rsidRDefault="004E0AC9" w:rsidP="004E0AC9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>Calculate state specific costs (data available for select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count data</w:t>
            </w:r>
            <w:r w:rsidRPr="00963A2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E0AC9" w:rsidRPr="00963A20" w:rsidRDefault="004E0AC9" w:rsidP="004E0AC9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 xml:space="preserve">States can use their own count data on the 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fall-related</w:t>
            </w: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 xml:space="preserve"> hospitalizations and ED visits to calculate cost at the state, county or facility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and</w:t>
            </w:r>
          </w:p>
          <w:p w:rsidR="004E0AC9" w:rsidRPr="00963A20" w:rsidRDefault="004E0AC9" w:rsidP="004E0AC9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F">
              <w:rPr>
                <w:rFonts w:ascii="Times New Roman" w:hAnsi="Times New Roman" w:cs="Times New Roman"/>
                <w:sz w:val="24"/>
                <w:szCs w:val="24"/>
              </w:rPr>
              <w:t>Use of the state’s own count data allows for impro</w:t>
            </w:r>
            <w:r w:rsidRPr="00C67904">
              <w:rPr>
                <w:rFonts w:ascii="Times New Roman" w:hAnsi="Times New Roman" w:cs="Times New Roman"/>
                <w:sz w:val="24"/>
                <w:szCs w:val="24"/>
              </w:rPr>
              <w:t>ved tracking of costs over time.</w:t>
            </w:r>
          </w:p>
        </w:tc>
      </w:tr>
    </w:tbl>
    <w:p w:rsidR="004E0AC9" w:rsidRPr="007E6E4E" w:rsidRDefault="00BB590B" w:rsidP="004E0AC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vertAlign w:val="superscript"/>
        </w:rPr>
        <w:t xml:space="preserve">* </w:t>
      </w:r>
      <w:r w:rsidRPr="00BB590B">
        <w:rPr>
          <w:rFonts w:ascii="Times New Roman" w:hAnsi="Times New Roman" w:cs="Times New Roman"/>
          <w:i/>
          <w:sz w:val="18"/>
          <w:szCs w:val="24"/>
        </w:rPr>
        <w:t>Partial</w:t>
      </w:r>
      <w:r w:rsidR="004E0AC9" w:rsidRPr="00BB590B">
        <w:rPr>
          <w:rFonts w:ascii="Times New Roman" w:hAnsi="Times New Roman" w:cs="Times New Roman"/>
          <w:i/>
          <w:sz w:val="18"/>
          <w:szCs w:val="24"/>
        </w:rPr>
        <w:t xml:space="preserve"> attributable fraction</w:t>
      </w:r>
      <w:r w:rsidR="004E0AC9" w:rsidRPr="007E6E4E">
        <w:rPr>
          <w:rFonts w:ascii="Times New Roman" w:hAnsi="Times New Roman" w:cs="Times New Roman"/>
          <w:sz w:val="18"/>
          <w:szCs w:val="24"/>
        </w:rPr>
        <w:t xml:space="preserve"> uses nonlinear models to estimate expenditure by payer and service category (</w:t>
      </w:r>
      <w:r w:rsidR="008A5767" w:rsidRPr="008A5767">
        <w:rPr>
          <w:rFonts w:ascii="Times New Roman" w:hAnsi="Times New Roman" w:cs="Times New Roman"/>
          <w:sz w:val="18"/>
          <w:szCs w:val="24"/>
        </w:rPr>
        <w:t>Florence CS et al. The Medical Costs of Fall Injuries among Older Adults. Journal of the American Geriatrics Society. 2018. (In review)</w:t>
      </w:r>
      <w:r w:rsidR="004E0AC9" w:rsidRPr="007E6E4E">
        <w:rPr>
          <w:rFonts w:ascii="Times New Roman" w:hAnsi="Times New Roman" w:cs="Times New Roman"/>
          <w:sz w:val="18"/>
          <w:szCs w:val="24"/>
        </w:rPr>
        <w:t xml:space="preserve">). </w:t>
      </w:r>
      <w:r w:rsidR="004E0AC9" w:rsidRPr="007E6E4E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  <w:vertAlign w:val="superscript"/>
        </w:rPr>
        <w:t xml:space="preserve">+ </w:t>
      </w:r>
      <w:r w:rsidR="004E0AC9" w:rsidRPr="00BB590B">
        <w:rPr>
          <w:rFonts w:ascii="Times New Roman" w:hAnsi="Times New Roman" w:cs="Times New Roman"/>
          <w:i/>
          <w:sz w:val="18"/>
          <w:szCs w:val="24"/>
        </w:rPr>
        <w:t>Count applied to cost</w:t>
      </w:r>
      <w:r w:rsidR="004E0AC9" w:rsidRPr="007E6E4E">
        <w:rPr>
          <w:rFonts w:ascii="Times New Roman" w:hAnsi="Times New Roman" w:cs="Times New Roman"/>
          <w:sz w:val="18"/>
          <w:szCs w:val="24"/>
        </w:rPr>
        <w:t xml:space="preserve"> uses </w:t>
      </w:r>
      <w:r w:rsidR="004E0AC9" w:rsidRPr="007E6E4E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 xml:space="preserve">Web-based Injury Statistics Query and Reporting System (WISQARS) cost of injury reports to estimate total lifetime costs of fall injury requiring hospitalization or </w:t>
      </w:r>
      <w:r w:rsidR="001B6C0C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>Emergency Department</w:t>
      </w:r>
      <w:r w:rsidR="004E0AC9" w:rsidRPr="007E6E4E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 xml:space="preserve"> visit</w:t>
      </w:r>
      <w:r w:rsidR="001B6C0C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>s</w:t>
      </w:r>
      <w:r w:rsidR="004E0AC9" w:rsidRPr="007E6E4E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 xml:space="preserve"> (Lawrence BA, Miller TR. 2014</w:t>
      </w:r>
      <w:r w:rsidR="001B6C0C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 xml:space="preserve">. </w:t>
      </w:r>
      <w:r w:rsidR="001B6C0C" w:rsidRPr="001B6C0C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>Medical and Work Loss Cost Estimation Methods for the WIS</w:t>
      </w:r>
      <w:r w:rsidR="001B6C0C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>QARS Cost of Injury Module</w:t>
      </w:r>
      <w:r w:rsidR="004E0AC9" w:rsidRPr="007E6E4E">
        <w:rPr>
          <w:rFonts w:ascii="Times New Roman" w:eastAsia="SimSun" w:hAnsi="Times New Roman" w:cs="Times New Roman"/>
          <w:kern w:val="2"/>
          <w:sz w:val="18"/>
          <w:szCs w:val="24"/>
          <w:lang w:eastAsia="zh-CN"/>
        </w:rPr>
        <w:t>)</w:t>
      </w:r>
      <w:r w:rsidR="004E0AC9" w:rsidRPr="007E6E4E">
        <w:rPr>
          <w:sz w:val="20"/>
        </w:rPr>
        <w:t>.</w:t>
      </w:r>
      <w:r w:rsidR="004E0AC9" w:rsidRPr="007E6E4E">
        <w:rPr>
          <w:sz w:val="20"/>
        </w:rPr>
        <w:br/>
      </w:r>
      <w:r w:rsidRPr="00434D0D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4E0AC9" w:rsidRPr="007E6E4E">
        <w:rPr>
          <w:rFonts w:ascii="Times New Roman" w:hAnsi="Times New Roman" w:cs="Times New Roman"/>
          <w:sz w:val="18"/>
          <w:szCs w:val="24"/>
        </w:rPr>
        <w:t>ED= Emergency Department</w:t>
      </w:r>
      <w:r w:rsidR="001B6C0C">
        <w:rPr>
          <w:rFonts w:ascii="Times New Roman" w:hAnsi="Times New Roman" w:cs="Times New Roman"/>
          <w:sz w:val="18"/>
          <w:szCs w:val="24"/>
        </w:rPr>
        <w:t>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D54"/>
    <w:multiLevelType w:val="hybridMultilevel"/>
    <w:tmpl w:val="F2FA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F72"/>
    <w:multiLevelType w:val="hybridMultilevel"/>
    <w:tmpl w:val="7470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A64F3"/>
    <w:multiLevelType w:val="hybridMultilevel"/>
    <w:tmpl w:val="7CE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9"/>
    <w:rsid w:val="001B6C0C"/>
    <w:rsid w:val="004E0AC9"/>
    <w:rsid w:val="008A5767"/>
    <w:rsid w:val="00BB590B"/>
    <w:rsid w:val="00CD6F0E"/>
    <w:rsid w:val="00D26908"/>
    <w:rsid w:val="00EF34A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F244"/>
  <w15:chartTrackingRefBased/>
  <w15:docId w15:val="{8A1D9CE8-9571-4006-B12C-3275FA3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C9"/>
    <w:pPr>
      <w:ind w:left="720"/>
      <w:contextualSpacing/>
    </w:pPr>
  </w:style>
  <w:style w:type="table" w:styleId="TableGrid">
    <w:name w:val="Table Grid"/>
    <w:basedOn w:val="TableNormal"/>
    <w:uiPriority w:val="39"/>
    <w:rsid w:val="004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E0A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Yara (CDC/ONDIEH/NCIPC)</dc:creator>
  <cp:keywords/>
  <dc:description/>
  <cp:lastModifiedBy>Haddad, Yara (CDC/ONDIEH/NCIPC)</cp:lastModifiedBy>
  <cp:revision>3</cp:revision>
  <dcterms:created xsi:type="dcterms:W3CDTF">2018-03-01T02:11:00Z</dcterms:created>
  <dcterms:modified xsi:type="dcterms:W3CDTF">2018-03-01T02:45:00Z</dcterms:modified>
</cp:coreProperties>
</file>