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7" w:type="dxa"/>
        <w:tblLook w:val="04A0" w:firstRow="1" w:lastRow="0" w:firstColumn="1" w:lastColumn="0" w:noHBand="0" w:noVBand="1"/>
      </w:tblPr>
      <w:tblGrid>
        <w:gridCol w:w="2628"/>
        <w:gridCol w:w="773"/>
        <w:gridCol w:w="1610"/>
        <w:gridCol w:w="672"/>
        <w:gridCol w:w="1656"/>
        <w:gridCol w:w="672"/>
        <w:gridCol w:w="1606"/>
        <w:gridCol w:w="672"/>
        <w:gridCol w:w="1651"/>
        <w:gridCol w:w="526"/>
        <w:gridCol w:w="1651"/>
      </w:tblGrid>
      <w:tr w:rsidR="001D3C90" w:rsidRPr="001D3C90" w:rsidTr="001D3C90">
        <w:trPr>
          <w:trHeight w:val="349"/>
        </w:trPr>
        <w:tc>
          <w:tcPr>
            <w:tcW w:w="1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C90" w:rsidRPr="001D3C90" w:rsidRDefault="000E014D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1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Supplementary </w:t>
            </w:r>
            <w:r w:rsidR="00F955C3" w:rsidRPr="000E01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F955C3" w:rsidRPr="000E01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D3C90" w:rsidRPr="000E01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One</w:t>
            </w:r>
            <w:r w:rsidR="001D3C90" w:rsidRPr="00F955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-year relative</w:t>
            </w:r>
            <w:r w:rsidR="001D3C90"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survival of pediatric brain and central nervous system cancer</w:t>
            </w:r>
            <w:r w:rsidR="003428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overall and by race/ethnicity</w:t>
            </w:r>
            <w:r w:rsidR="001D3C90"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United States, cases diagnosed during 2001–2008</w:t>
            </w:r>
          </w:p>
        </w:tc>
      </w:tr>
      <w:tr w:rsidR="001D3C90" w:rsidRPr="001D3C90" w:rsidTr="001D3C90">
        <w:trPr>
          <w:trHeight w:val="672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N=11,302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White, non-Hispanic</w:t>
            </w: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N=7,506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Black, non-Hispanic</w:t>
            </w: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N=1,378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Hispanic</w:t>
            </w: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N=1,951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Other, non-Hispanic</w:t>
            </w: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N=467</w:t>
            </w:r>
          </w:p>
        </w:tc>
      </w:tr>
      <w:tr w:rsidR="001D3C90" w:rsidRPr="001D3C90" w:rsidTr="001D3C90">
        <w:trPr>
          <w:trHeight w:val="33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CC63FD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11,302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89.2 (88.6–89.7)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90.5 (89.8–91.2)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86.5 (84.6–88.2)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86.8 (85.2–88.3)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85.3 (81.7–88.2)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6,153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89.4 (88.6–90.1)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90.7 (89.8–91.6)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84.6 (81.7–87.1)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87.8 (85.6–89.6)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87.5 (82.6–91.1)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5,149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88.9 (88.1–89.8)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3,355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90.3 (89.2–91.3)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88.5 (85.8–90.7)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85.8 (83.3–87.9)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82.9 (77.4–87.2)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  <w:r w:rsidR="00EC7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0–4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3,687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83.1 (81.8–84.3)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2,289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84.4 (82.9–85.9)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79.8 (75.8–83.2)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82.4 (79.5–84.9)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77.2 (69.8–83.0)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5–9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2,818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90.6 (89.4–91.6)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1,867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91.8 (90.5–93.0)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86.7 (82.7–89.8)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88.4 (85.2–91.0)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91.7 (84.6–95.6)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10–14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92.8 (91.7–93.7)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93.8 (92.6–94.9)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90.4 (86.4–93.3)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91.3 (88.0–93.7)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86.9 (79.1–91.9)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2,237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93.4 (92.2–94.3)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1,585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94.1 (92.9–95.2)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93.9 (90.2–96.2)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89.9 (86.0–92.8)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89.8 (81.3–94.6)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A76DB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 Census r</w:t>
            </w:r>
            <w:r w:rsidR="001D3C90"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egion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2,545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90.9 (89.7–92.0)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91.5 (90.2–92.7)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91.0 (86.9–93.9)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87.2 (83.0–90.4)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91.2 (83.2–95.5)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2,495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89.9 (88.7–91.0)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91.5 (90.1–92.6)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85.7 (80.8–89.5)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83.2 (77.7–87.5)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83.2 (71.6–90.3)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3,332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88.9 (87.8–89.9)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90.1 (88.8–91.3)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84.9 (82.1–87.4)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91.2 (87.7–93.7)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78.7 (66.2–87.1)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2,930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87.4 (86.1–88.5)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88.7 (87.0–90.2)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87.3 (80.6–91.8)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86.0 (83.7–88.0)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85.3 (80.2–89.1)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Economic status by </w:t>
            </w:r>
            <w:proofErr w:type="spellStart"/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county</w:t>
            </w:r>
            <w:r w:rsidRPr="00CC63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Bottom 25%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88.2 (86.4–89.8)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90.3 (88.0–92.1)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86.6 (81.9–90.1)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84.8 (80.5–88.2)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87.8 (76.0–94.0)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25%–75%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6,723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89.1 (88.3–89.8)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4,282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90.5 (89.6–91.4)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85.8 (83.4–87.9)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87.7 (85.8–89.4)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83.7 (78.5–87.7)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 25%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89.5 (88.3–90.6)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90.4 (89.1–91.6)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89.4 (84.1–93.1)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85.3 (81.0–88.7)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86.5 (79.6–91.2)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Localized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8,273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91.9 (91.3–92.5)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5,556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93.2 (92.5–93.8)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88.7 (86.6–90.6)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1,361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89.9 (88.2–91.4)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88.5 (84.6–91.4)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81.5 (79.3–83.4)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82.9 (80.2–85.3)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79.9 (72.7–85.4)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78.5 (73.5–82.8)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 (66.8–88.4)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7D2317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Distant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74.8 (71.7–77.7)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75.9 (72.1–79.3)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73.0 (62.3–81.1)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74.6 (66.6–80.9)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65.9 (49.3–78.2)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88.5 (86.2–90.5)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89.5 (86.7–91.8)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86.1 (78.5–91.1)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87.5 (80.8–91.9)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84.7 (64.1–94.0)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A76DB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Anatomic s</w:t>
            </w:r>
            <w:r w:rsidR="001D3C90"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Lobe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2,348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91.2 (90.0–92.3)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1,579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93.0 (91.6–94.2)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87.1 (82.7–90.5)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87.4 (83.6–90.4)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89.6 (81.9–94.1)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Cerebrum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82.8 (80.2–85.1)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84.1 (80.9–86.9)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82.4 (74.7–88.0)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78.9 (71.8–84.5)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78.8 (60.6–89.3)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Ventricle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87.6 (84.8–90.0)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89.9 (86.5–92.4)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88.8 (78.8–94.3)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84.5 (77.2–89.6)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64.0 (42.2–79.4)</w:t>
            </w:r>
          </w:p>
        </w:tc>
      </w:tr>
      <w:tr w:rsidR="001D3C90" w:rsidRPr="001D3C90" w:rsidTr="001D3C90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Cerebellum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2,956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93.4 (92.4–94.2)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1,992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94.3 (93.2–95.3)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91.9 (88.3–94.4)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91.5 (88.8–93.6)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90.1 (83.5–94.1)</w:t>
            </w:r>
          </w:p>
        </w:tc>
      </w:tr>
      <w:tr w:rsidR="001D3C90" w:rsidRPr="001D3C90" w:rsidTr="00342835">
        <w:trPr>
          <w:trHeight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C90" w:rsidRPr="001D3C90" w:rsidRDefault="001D3C90" w:rsidP="001D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C70C6" w:rsidRDefault="000E014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0E014D">
        <w:rPr>
          <w:rFonts w:ascii="Calibri" w:eastAsia="Times New Roman" w:hAnsi="Calibri" w:cs="Calibri"/>
          <w:color w:val="000000"/>
          <w:sz w:val="20"/>
          <w:szCs w:val="20"/>
        </w:rPr>
        <w:t xml:space="preserve">Supplementary Table </w:t>
      </w:r>
      <w:r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0E014D">
        <w:rPr>
          <w:rFonts w:ascii="Calibri" w:eastAsia="Times New Roman" w:hAnsi="Calibri" w:cs="Calibri"/>
          <w:color w:val="000000"/>
          <w:sz w:val="20"/>
          <w:szCs w:val="20"/>
        </w:rPr>
        <w:t>3</w:t>
      </w:r>
      <w:r w:rsidRPr="00B9593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1D3C90" w:rsidRPr="00B95930">
        <w:rPr>
          <w:rFonts w:ascii="Calibri" w:eastAsia="Times New Roman" w:hAnsi="Calibri" w:cs="Calibri"/>
          <w:color w:val="000000"/>
          <w:sz w:val="20"/>
          <w:szCs w:val="20"/>
        </w:rPr>
        <w:t xml:space="preserve">(continued). </w:t>
      </w:r>
    </w:p>
    <w:tbl>
      <w:tblPr>
        <w:tblW w:w="14088" w:type="dxa"/>
        <w:tblLook w:val="04A0" w:firstRow="1" w:lastRow="0" w:firstColumn="1" w:lastColumn="0" w:noHBand="0" w:noVBand="1"/>
      </w:tblPr>
      <w:tblGrid>
        <w:gridCol w:w="2430"/>
        <w:gridCol w:w="478"/>
        <w:gridCol w:w="332"/>
        <w:gridCol w:w="476"/>
        <w:gridCol w:w="1234"/>
        <w:gridCol w:w="274"/>
        <w:gridCol w:w="446"/>
        <w:gridCol w:w="282"/>
        <w:gridCol w:w="1338"/>
        <w:gridCol w:w="250"/>
        <w:gridCol w:w="380"/>
        <w:gridCol w:w="268"/>
        <w:gridCol w:w="1488"/>
        <w:gridCol w:w="648"/>
        <w:gridCol w:w="1568"/>
        <w:gridCol w:w="628"/>
        <w:gridCol w:w="1568"/>
      </w:tblGrid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Brain stem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1,438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83.1 (81.0–84.9)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84.2 (81.7–86.4)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77.6 (70.3–83.2)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83.6 (78.5–87.5)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835" w:rsidRPr="001D3C90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78.2 (64.8–87.0)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brain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87.8 (86.3–89.1)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88.9 (87.1–90.5)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85.8 (81.2–89.4)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85.6 (81.6–88.8)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85.3 (75.5–91.4)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CNS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90.6 (88.6–92.4)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91.8 (89.4–93.7)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87.5 (79.9–92.3)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89.0 (82.0–93.3)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86.5 (70.6–94.2)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F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Histology</w:t>
            </w:r>
            <w:r w:rsidRPr="00CC63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Pilocytic</w:t>
            </w:r>
            <w:proofErr w:type="spellEnd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astrocytoma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98.6 (98.1–98.9)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98.8 (98.3–99.2)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99.3 (97.7–99.8)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96.9 (95.0–98.1)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99.1 (93.4–99.9)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Diffuse astrocytoma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1,196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93.1 (91.5–94.4)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94.1 (92.3–95.5)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89.6 (83.2–93.7)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91.4 (86.3–94.7)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93.3 (80.3–97.8)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Anaplastic astrocytoma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68.8 (63.7–73.3)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73.5 (67.2–78.8)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55.2 (40.3–67.8)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 (52.1–74.8)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Unique astrocytoma variants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96.3 (92.7–98.1)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97.8 (93.1–99.3)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89.5 (74.3–95.9)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Glioblastoma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60.9 (56.6–64.9)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62.5 (57.0–67.5)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57.4 (46.9–66.6)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55.2 (44.2–64.9)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69.7 (51.0–82.5)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Oligodendroglioma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98.3 (95.8–99.3)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99.0 (96.0–99.8)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97.4 (81.9–99.6)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97.4 (82.6–99.6)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Anaplastic </w:t>
            </w:r>
            <w:proofErr w:type="spellStart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Oligodendroglioma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88.5 (76.1–94.7)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84.9 (67.4–93.4)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Oligoastrocytic</w:t>
            </w:r>
            <w:proofErr w:type="spellEnd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tumors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93.1 (88.2–96.1)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92.5 (86.4–95.9)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Ependymal tumors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93.3 (91.5–94.7)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94.4 (92.3–96.0)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91.5 (85.0–95.2)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89.4 (84.4–92.9)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Glioma malignant,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otherwise specified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85.1 (81.8–87.8)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86.2 (82.3–89.3)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80.1 (68.1–87.9)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87.9 (78.6–93.3)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68.5 (42.8–84.4)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Choroid plexus</w:t>
            </w: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tumors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88.8 (80.9–93.5)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92.9 (82.1–97.3)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85.4 (68.2–93.7)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52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Neuronal and mixed neuronal glial tumors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90.8 (83.0–95.1)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92.2 (82.3–96.7)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94.5 (66.3–99.2)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Medulloblastoma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89.4 (87.8–90.8)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90.2 (88.3–91.8)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89.6 (83.7–93.4)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87.6 (83.3–90.8)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85.4 (75.7–91.4)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Peripheral </w:t>
            </w:r>
            <w:proofErr w:type="spellStart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neuroectodermal</w:t>
            </w:r>
            <w:proofErr w:type="spellEnd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tumor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76.9 (73.2–80.2)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80.1 (75.4–83.9)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67.3 (54.6–77.1)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75.5 (66.8–82.2)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69.0 (48.8–82.5)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Atypical </w:t>
            </w:r>
            <w:proofErr w:type="spellStart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teratoid</w:t>
            </w:r>
            <w:proofErr w:type="spellEnd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rhabdoid</w:t>
            </w:r>
            <w:proofErr w:type="spellEnd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tumor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47.0 (41.1–52.6)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49.0 (41.5–56.1)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 (23.8–52.6)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49.2 (35.5–61.5)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embryonal tumors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84.4 (78.9–88.5)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85.6 (78.7–90.4)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82.0 (65.4–91.1)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85.1 (69.7–93.1)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Tumors of meninges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80.8 (72.3–86.9)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80.6 (70.2–87.6)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82.4 (54.7–94.0)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 cell tumors and c</w:t>
            </w: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ysts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90.0 (86.0–92.8)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89.2 (83.6–93.0)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92.4 (72.5–98.1)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89.3 (79.6–94.5)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93.8 (77.2–98.4)</w:t>
            </w:r>
          </w:p>
        </w:tc>
      </w:tr>
      <w:tr w:rsidR="00342835" w:rsidRPr="008B0F3F" w:rsidTr="008B0F3F">
        <w:trPr>
          <w:trHeight w:val="24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Unclassified tumors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71.1 (58.8–80.3)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75.6 (60.3–85.7)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75.0 (46.3–89.8)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342835" w:rsidRPr="008B0F3F" w:rsidTr="008B0F3F">
        <w:trPr>
          <w:trHeight w:val="240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835" w:rsidRPr="008B0F3F" w:rsidTr="008B0F3F">
        <w:trPr>
          <w:trHeight w:val="795"/>
        </w:trPr>
        <w:tc>
          <w:tcPr>
            <w:tcW w:w="14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Abbreviation: CI, confidence interval; CNS, central nervous system; RS, relative survival.</w:t>
            </w:r>
          </w:p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42835" w:rsidRDefault="000E014D" w:rsidP="003428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01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Supplementary Table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0E01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428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(continued)</w:t>
            </w:r>
            <w:r w:rsidR="00342835" w:rsidRPr="001D3C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were compiled from 34 population-based registries that participate in the Centers for Disease Control and Prevention’s National Program of Cancer Registries, and meet high-quality data criteria. The registries in the Survival Analysis Dataset cover ap</w:t>
            </w:r>
            <w:r w:rsidR="00E751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proximately 67% of the US</w:t>
            </w: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population. For more information see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Cancer Statistics</w:t>
            </w:r>
            <w:r w:rsidRPr="00687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technical notes (http://www.cdc.gov/cancer/npcr/uscs/technical_notes/stat_methods/survival.htm). Suppresses any cell with &lt;16 cases. Per National Program of Cancer Registries complementary cell suppression rules: counts for one or more additional cells must be suppressed if a single cell is suppressed.</w:t>
            </w:r>
          </w:p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42835" w:rsidRPr="008B0F3F" w:rsidTr="008B0F3F">
        <w:trPr>
          <w:trHeight w:val="330"/>
        </w:trPr>
        <w:tc>
          <w:tcPr>
            <w:tcW w:w="14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Bold indicates non-overlapping 95% confidence intervals when comparing non-Hispanic white to non-Hispanic black, Hispanic, or other, non-Hispanic.</w:t>
            </w:r>
          </w:p>
        </w:tc>
      </w:tr>
      <w:tr w:rsidR="00342835" w:rsidRPr="008B0F3F" w:rsidTr="008B0F3F">
        <w:trPr>
          <w:trHeight w:val="338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</w:pPr>
          </w:p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63F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Excludes</w:t>
            </w:r>
            <w:proofErr w:type="spellEnd"/>
            <w:proofErr w:type="gramEnd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316 missing cases.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835" w:rsidRPr="008B0F3F" w:rsidTr="008B0F3F">
        <w:trPr>
          <w:trHeight w:val="349"/>
        </w:trPr>
        <w:tc>
          <w:tcPr>
            <w:tcW w:w="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</w:pPr>
          </w:p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63F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Excludes</w:t>
            </w:r>
            <w:proofErr w:type="spellEnd"/>
            <w:proofErr w:type="gramEnd"/>
            <w:r w:rsidRPr="008B0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histology categories with &lt;16 cases. 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35" w:rsidRPr="008B0F3F" w:rsidRDefault="00342835" w:rsidP="0034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0F3F" w:rsidRDefault="008B0F3F">
      <w:bookmarkStart w:id="0" w:name="_GoBack"/>
      <w:bookmarkEnd w:id="0"/>
    </w:p>
    <w:sectPr w:rsidR="008B0F3F" w:rsidSect="001D3C9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0"/>
    <w:rsid w:val="000301B3"/>
    <w:rsid w:val="000E014D"/>
    <w:rsid w:val="00181300"/>
    <w:rsid w:val="001B6902"/>
    <w:rsid w:val="001D3C90"/>
    <w:rsid w:val="00342835"/>
    <w:rsid w:val="007D2317"/>
    <w:rsid w:val="008162A8"/>
    <w:rsid w:val="008B0F3F"/>
    <w:rsid w:val="008C75C9"/>
    <w:rsid w:val="00A76DB0"/>
    <w:rsid w:val="00B95930"/>
    <w:rsid w:val="00CC63FD"/>
    <w:rsid w:val="00D26908"/>
    <w:rsid w:val="00D92EC9"/>
    <w:rsid w:val="00E75176"/>
    <w:rsid w:val="00EC7243"/>
    <w:rsid w:val="00F955C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5B4F"/>
  <w15:chartTrackingRefBased/>
  <w15:docId w15:val="{26FA9B74-95C3-482C-B8C5-0009AB66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David A. (CDC/ONDIEH/NCCDPHP)</dc:creator>
  <cp:keywords/>
  <dc:description/>
  <cp:lastModifiedBy>Siegel, David A. (CDC/ONDIEH/NCCDPHP)</cp:lastModifiedBy>
  <cp:revision>13</cp:revision>
  <dcterms:created xsi:type="dcterms:W3CDTF">2018-05-13T20:26:00Z</dcterms:created>
  <dcterms:modified xsi:type="dcterms:W3CDTF">2018-09-24T04:08:00Z</dcterms:modified>
</cp:coreProperties>
</file>