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CB" w:rsidRDefault="00A552D6" w:rsidP="005A72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Supplemental </w:t>
      </w:r>
      <w:r w:rsidR="007174E6" w:rsidRPr="007174E6">
        <w:rPr>
          <w:rFonts w:ascii="Times New Roman" w:hAnsi="Times New Roman" w:cs="Times New Roman"/>
          <w:b/>
          <w:sz w:val="24"/>
        </w:rPr>
        <w:t xml:space="preserve">Table </w:t>
      </w:r>
      <w:r w:rsidR="005A72CB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="005A72CB">
        <w:rPr>
          <w:rFonts w:ascii="Times New Roman" w:hAnsi="Times New Roman" w:cs="Times New Roman"/>
          <w:sz w:val="24"/>
        </w:rPr>
        <w:t>. Fungal s</w:t>
      </w:r>
      <w:r w:rsidR="007174E6" w:rsidRPr="007174E6">
        <w:rPr>
          <w:rFonts w:ascii="Times New Roman" w:hAnsi="Times New Roman" w:cs="Times New Roman"/>
          <w:sz w:val="24"/>
        </w:rPr>
        <w:t xml:space="preserve">pecies </w:t>
      </w:r>
      <w:r w:rsidR="005A72CB">
        <w:rPr>
          <w:rFonts w:ascii="Times New Roman" w:hAnsi="Times New Roman" w:cs="Times New Roman"/>
          <w:sz w:val="24"/>
        </w:rPr>
        <w:t>i</w:t>
      </w:r>
      <w:r w:rsidR="005A72CB" w:rsidRPr="007174E6">
        <w:rPr>
          <w:rFonts w:ascii="Times New Roman" w:hAnsi="Times New Roman" w:cs="Times New Roman"/>
          <w:sz w:val="24"/>
        </w:rPr>
        <w:t xml:space="preserve">dentified in </w:t>
      </w:r>
      <w:r w:rsidR="005A72CB">
        <w:rPr>
          <w:rFonts w:ascii="Times New Roman" w:hAnsi="Times New Roman" w:cs="Times New Roman"/>
          <w:sz w:val="24"/>
        </w:rPr>
        <w:t xml:space="preserve">the </w:t>
      </w:r>
      <w:r w:rsidR="005A72CB">
        <w:rPr>
          <w:rFonts w:ascii="Times New Roman" w:hAnsi="Times New Roman" w:cs="Times New Roman"/>
          <w:sz w:val="24"/>
        </w:rPr>
        <w:t xml:space="preserve">ITS region </w:t>
      </w:r>
      <w:r w:rsidR="005A72CB">
        <w:rPr>
          <w:rFonts w:ascii="Times New Roman" w:hAnsi="Times New Roman" w:cs="Times New Roman"/>
          <w:sz w:val="24"/>
        </w:rPr>
        <w:t>s</w:t>
      </w:r>
      <w:r w:rsidR="005A72CB" w:rsidRPr="007174E6">
        <w:rPr>
          <w:rFonts w:ascii="Times New Roman" w:hAnsi="Times New Roman" w:cs="Times New Roman"/>
          <w:sz w:val="24"/>
        </w:rPr>
        <w:t xml:space="preserve">equencing </w:t>
      </w:r>
      <w:r w:rsidR="005A72CB">
        <w:rPr>
          <w:rFonts w:ascii="Times New Roman" w:hAnsi="Times New Roman" w:cs="Times New Roman"/>
          <w:sz w:val="24"/>
        </w:rPr>
        <w:t>a</w:t>
      </w:r>
      <w:r w:rsidR="005A72CB" w:rsidRPr="007174E6">
        <w:rPr>
          <w:rFonts w:ascii="Times New Roman" w:hAnsi="Times New Roman" w:cs="Times New Roman"/>
          <w:sz w:val="24"/>
        </w:rPr>
        <w:t>nalysis</w:t>
      </w:r>
      <w:r w:rsidR="005A72CB">
        <w:rPr>
          <w:rFonts w:ascii="Times New Roman" w:hAnsi="Times New Roman" w:cs="Times New Roman"/>
          <w:sz w:val="24"/>
        </w:rPr>
        <w:t xml:space="preserve"> of air samples collected at </w:t>
      </w:r>
      <w:r w:rsidR="005A72CB" w:rsidRPr="00D65719">
        <w:rPr>
          <w:rFonts w:ascii="Times New Roman" w:hAnsi="Times New Roman" w:cs="Times New Roman"/>
          <w:sz w:val="24"/>
        </w:rPr>
        <w:t>an outdoor U.S. cannabis production facility</w:t>
      </w:r>
      <w:r w:rsidR="005A72CB">
        <w:rPr>
          <w:rFonts w:ascii="Times New Roman" w:hAnsi="Times New Roman" w:cs="Times New Roman"/>
          <w:sz w:val="24"/>
        </w:rPr>
        <w:t>. The datasets presented include the number of identified clones and relative abundance</w:t>
      </w:r>
      <w:r w:rsidR="005A72CB" w:rsidRPr="00C81D24">
        <w:t xml:space="preserve"> </w:t>
      </w:r>
      <w:r w:rsidR="005A72CB">
        <w:rPr>
          <w:rFonts w:ascii="Times New Roman" w:hAnsi="Times New Roman" w:cs="Times New Roman"/>
          <w:sz w:val="24"/>
        </w:rPr>
        <w:t>in</w:t>
      </w:r>
      <w:r w:rsidR="005A72CB" w:rsidRPr="00C81D24">
        <w:rPr>
          <w:rFonts w:ascii="Times New Roman" w:hAnsi="Times New Roman" w:cs="Times New Roman"/>
          <w:sz w:val="24"/>
        </w:rPr>
        <w:t xml:space="preserve"> personal, greenhouse, dry</w:t>
      </w:r>
      <w:r w:rsidR="005A72CB">
        <w:rPr>
          <w:rFonts w:ascii="Times New Roman" w:hAnsi="Times New Roman" w:cs="Times New Roman"/>
          <w:sz w:val="24"/>
        </w:rPr>
        <w:t xml:space="preserve">ing room and outdoor air samples. </w:t>
      </w:r>
    </w:p>
    <w:p w:rsidR="0060489E" w:rsidRPr="007174E6" w:rsidRDefault="0060489E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697"/>
        <w:gridCol w:w="771"/>
        <w:gridCol w:w="697"/>
        <w:gridCol w:w="771"/>
        <w:gridCol w:w="697"/>
        <w:gridCol w:w="771"/>
        <w:gridCol w:w="697"/>
        <w:gridCol w:w="771"/>
      </w:tblGrid>
      <w:tr w:rsidR="007174E6" w:rsidRPr="00A552D6" w:rsidTr="00A552D6">
        <w:trPr>
          <w:trHeight w:val="30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Species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Personal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Greenhouse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Drying Room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Outdoor</w:t>
            </w:r>
          </w:p>
        </w:tc>
      </w:tr>
      <w:tr w:rsidR="007174E6" w:rsidRPr="00A552D6" w:rsidTr="00A552D6">
        <w:trPr>
          <w:trHeight w:val="300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Count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Count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Count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Count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Ascomycota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Alternaria alternata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1.47%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4.41%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Alternaria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Arthrobotrys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musiformis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Aspergillus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conicus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Aspergillus fumigatus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sz w:val="18"/>
                <w:szCs w:val="20"/>
              </w:rPr>
              <w:t>1.47%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sz w:val="18"/>
                <w:szCs w:val="20"/>
              </w:rPr>
              <w:t>5.88%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Aspergillus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Aureobasidium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microstictum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1.47%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Aureobasidium pullulans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Botrytis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cinerea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59.17%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17.65%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19.24%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6.04%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Chaetosphaeronema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Cladosporium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aggregatocicatricatum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2.21%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Cladosporium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aphidis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Cladosporium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austrohemisphaericum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Cladosporium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cladosporioides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1.96%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2.94%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1.72%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Cladosporium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dominicanum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Cyphellophora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reptans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Dothideomycetes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Dothioraceae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Epicoccum nigrum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4.65%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6.62%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1.34%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Epicoccum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Glomerella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lagenaria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Golovinomyces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8.56%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Hanseniaspora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uvarum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Hymenoscyphus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1.34%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Infundichalara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microchona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Lepraria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rigidula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Leptospora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rubella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Microascaceae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Oidiodendron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cereale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Onygenales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Penicillium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aculeatum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1.47%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Penicillium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capsulatum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Penicillium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citreonigrum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Penicillium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Phacidiaceae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Phaeosphaeriaceae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Phialosimplex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salinarum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Pithomyces chartarum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Pleosporales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Podosphaera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Ramularia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vizellae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Rasamsonia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Saccharomycetes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Sarea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difformis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Sclerotinia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sclerotiorum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Thermomyces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lanuginosus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Zalerion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arboricola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Basidiomycota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Acanthophysellum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lividocoeruleum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Agaricales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1.34%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Agaricomycetes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2.01%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Antrodia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carbonica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Antrodia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macra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Antrodia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serialis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Antrodia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xantha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Aphanobasidium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pseudotsugae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Armillaria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nabsnona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Basidiomycota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Byssomerulius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corium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2.01%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Ceraceomyces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serpens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Ceratobasidiaceae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Ceratobasidium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Ceriporia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lacerata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Ceriporiopsis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gilvescens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Ceriporiopsis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Clitopilus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scyphoides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Clitopilus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Conocybe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utriformis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Coprinopsis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atramentaria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1.34%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Coriolopsis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gallica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Corticiaceae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Cortinarius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neofurvolaesus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Cortinarius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saniosus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Cortinarius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1.34%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Crepidotus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applanatus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lastRenderedPageBreak/>
              <w:t>Crepidotus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crocophyllus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1.34%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Crepidotus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2.01%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Crustodontia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chrysocreas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Cryptococcus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heimaeyensis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Cryptococcus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magnus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Cryptococcus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oeirensis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Cryptococcus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Cryptococcus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stepposus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Cryptococcus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tephrensis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Cryptococcus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wieringae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Cuniculitremaceae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Deconia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citrispora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1.34%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Fibroporia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1.34%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Fibroporia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vaillantii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Flammulina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velutipes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Fomitopsidaceae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Fomitopsis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cajanderi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Galerina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marginata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Ganoderma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4.03%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Gomphaceae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Gymnopilus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Gymnopus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dryophilus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1.47%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Hydnaceae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Hydnomerulius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pinastri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Hymenochaetales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Hyphodermella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corrugata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Hyphodermella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Hyphodontia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radula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Hyphodontia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setulosa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Hypholoma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fasciculare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Lacrymaria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Leucogyrophana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mollusca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Leucogyrophana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olivascens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Lyophyllum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Melanoleuca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Melanopsichium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pennsylvanicum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Meruliaceae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4.41%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4.47%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8.05%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Merulius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tremellosus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Mycena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citrinomarginata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2.01%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Mycena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haematopus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Mycena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leptocephala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lastRenderedPageBreak/>
              <w:t>Mycena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olivaceomarginata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Mycena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rebaudengoi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Mycena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6.62%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17.45%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Mycenaceae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2.01%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Mycoacia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aurea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Mycoacia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uda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Obba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rivulosa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1.34%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Omphalotaceae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Panaeolina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foenisecii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Paxillus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ammoniavirescens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15.12%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Paxillus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involutus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1.34%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Peniophora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aurantiaca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Peniophora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Peniophorella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pubera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Phanerochaetaceae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Phanerochaete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sordida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Phanerochaete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Phlebia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rufa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3.09%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4.70%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Phlebia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Phloeomana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speirea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Pholiota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Pholiota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squarrosa-adiposa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Physisporinus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vitreus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Pleurotus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pulmonarius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Postia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balsamea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Postia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Psathyrella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abieticola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Psathyrella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candolleana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Psathyrella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corrugis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1.34%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Psathyrella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noli-tangere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Pseudochaete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tabacina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Puccinia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coronati-agrostidis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Resinicium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bicolor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Rhodotorula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Russulales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Sakaguchia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dacryoidea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Schizopora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paradoxa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Sebacina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burtii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Sebacinales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Serpula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pulverulenta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Sistotrema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brinkmannii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lastRenderedPageBreak/>
              <w:t>Sistotrema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oblongisporum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Sistotrema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sernanderi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1.34%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Sistotremastrum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guttuliferum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Sistotremastrum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Sporidiobolales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Sporobolomyces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ruberrimus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Steccherinum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bourdotii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Steccherinum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fimbriatum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Steccherinum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1.34%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Stereum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hirsutum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Stereum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sanguinolentum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Strobilurus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Suillus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caerulescens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Suillus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luteus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2.94%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5.50%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5.37%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Thelephorales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Tilletiopsis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washingtonensis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Trametes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versicolor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Tremellales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Trichaptum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abietinum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Tubaria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Tubulicrinis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glebulosus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Typhula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Typhulaceae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Tyromyces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chioneus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Ustilago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striiformis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Ustilago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syntherismae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Wallemia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muriae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Xenasmatella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Xeromphalina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cauticinalis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Xylodon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rimosissimus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2.68%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Xylodon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sambuci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2.75%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Glomeromycota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Glomeromycota</w:t>
            </w:r>
            <w:proofErr w:type="spellEnd"/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Zygomycota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7174E6" w:rsidRPr="00A552D6" w:rsidTr="00A552D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Mucor 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74E6" w:rsidRPr="00A552D6" w:rsidRDefault="007174E6" w:rsidP="00E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552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0.00%</w:t>
            </w:r>
          </w:p>
        </w:tc>
      </w:tr>
    </w:tbl>
    <w:p w:rsidR="007174E6" w:rsidRDefault="007174E6"/>
    <w:p w:rsidR="007174E6" w:rsidRDefault="007174E6"/>
    <w:sectPr w:rsidR="007174E6" w:rsidSect="00A55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44"/>
    <w:rsid w:val="00011544"/>
    <w:rsid w:val="00045EB6"/>
    <w:rsid w:val="000B45C4"/>
    <w:rsid w:val="002C3268"/>
    <w:rsid w:val="002E56B0"/>
    <w:rsid w:val="00361B31"/>
    <w:rsid w:val="005A72CB"/>
    <w:rsid w:val="0060489E"/>
    <w:rsid w:val="007174E6"/>
    <w:rsid w:val="00A552D6"/>
    <w:rsid w:val="00D26908"/>
    <w:rsid w:val="00E80C5A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20EE"/>
  <w15:chartTrackingRefBased/>
  <w15:docId w15:val="{98B911AB-AFEC-43CF-9E1C-D40F8DF2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1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0115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0115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0115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0115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01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1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115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1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1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0115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115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115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115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0115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E80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Lemons, Angela Rae (CDC/NIOSH/HELD)</dc:creator>
  <cp:keywords/>
  <dc:description/>
  <cp:lastModifiedBy>Green, Brett (CDC/NIOSH/HELD)</cp:lastModifiedBy>
  <cp:revision>3</cp:revision>
  <dcterms:created xsi:type="dcterms:W3CDTF">2017-12-04T18:59:00Z</dcterms:created>
  <dcterms:modified xsi:type="dcterms:W3CDTF">2017-12-05T13:29:00Z</dcterms:modified>
</cp:coreProperties>
</file>