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0A" w:rsidRDefault="0008000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D51CFD" w:rsidRDefault="00D51CFD">
      <w:pPr>
        <w:spacing w:after="0" w:line="240" w:lineRule="auto"/>
        <w:rPr>
          <w:rFonts w:ascii="Arial" w:hAnsi="Arial" w:cs="Arial"/>
        </w:rPr>
      </w:pPr>
    </w:p>
    <w:p w:rsidR="00FB0251" w:rsidRDefault="0068431F" w:rsidP="00CA0602">
      <w:pPr>
        <w:rPr>
          <w:rFonts w:ascii="Arial" w:hAnsi="Arial" w:cs="Arial"/>
        </w:rPr>
      </w:pPr>
      <w:proofErr w:type="gramStart"/>
      <w:r w:rsidRPr="0068431F">
        <w:rPr>
          <w:rFonts w:ascii="Arial" w:hAnsi="Arial" w:cs="Arial"/>
          <w:b/>
        </w:rPr>
        <w:t>Appendix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F479F8" w:rsidRDefault="00FB0251" w:rsidP="00CA0602">
      <w:pPr>
        <w:rPr>
          <w:rFonts w:ascii="Arial" w:hAnsi="Arial" w:cs="Arial"/>
        </w:rPr>
      </w:pPr>
      <w:proofErr w:type="gramStart"/>
      <w:r w:rsidRPr="00FB0251">
        <w:rPr>
          <w:rFonts w:ascii="Arial" w:hAnsi="Arial" w:cs="Arial"/>
          <w:b/>
        </w:rPr>
        <w:t>Table 1.</w:t>
      </w:r>
      <w:proofErr w:type="gramEnd"/>
      <w:r w:rsidRPr="00FB0251">
        <w:rPr>
          <w:rFonts w:ascii="Arial" w:hAnsi="Arial" w:cs="Arial"/>
          <w:b/>
        </w:rPr>
        <w:t xml:space="preserve"> </w:t>
      </w:r>
      <w:r w:rsidR="0068431F">
        <w:rPr>
          <w:rFonts w:ascii="Arial" w:hAnsi="Arial" w:cs="Arial"/>
        </w:rPr>
        <w:t xml:space="preserve">Comparison of cluster analysis results for sensitivity analysis using </w:t>
      </w:r>
      <w:proofErr w:type="spellStart"/>
      <w:r w:rsidR="0068431F">
        <w:rPr>
          <w:rFonts w:ascii="Arial" w:hAnsi="Arial" w:cs="Arial"/>
        </w:rPr>
        <w:t>winsorised</w:t>
      </w:r>
      <w:proofErr w:type="spellEnd"/>
      <w:r w:rsidR="0068431F">
        <w:rPr>
          <w:rFonts w:ascii="Arial" w:hAnsi="Arial" w:cs="Arial"/>
        </w:rPr>
        <w:t xml:space="preserve"> data </w:t>
      </w:r>
      <w:r w:rsidR="00CA0602" w:rsidRPr="0068431F">
        <w:rPr>
          <w:rFonts w:ascii="Arial" w:hAnsi="Arial" w:cs="Arial"/>
        </w:rPr>
        <w:t>(</w:t>
      </w:r>
      <w:r w:rsidR="0068431F" w:rsidRPr="0068431F">
        <w:rPr>
          <w:rFonts w:ascii="Arial" w:hAnsi="Arial" w:cs="Arial"/>
        </w:rPr>
        <w:t xml:space="preserve">i.e., data limited to within 3 standard deviations of the mean) versus </w:t>
      </w:r>
      <w:r w:rsidR="0068431F">
        <w:rPr>
          <w:rFonts w:ascii="Arial" w:hAnsi="Arial" w:cs="Arial"/>
        </w:rPr>
        <w:t>non-</w:t>
      </w:r>
      <w:proofErr w:type="spellStart"/>
      <w:r w:rsidR="0068431F" w:rsidRPr="0068431F">
        <w:rPr>
          <w:rFonts w:ascii="Arial" w:hAnsi="Arial" w:cs="Arial"/>
        </w:rPr>
        <w:t>winsori</w:t>
      </w:r>
      <w:r w:rsidR="0068431F">
        <w:rPr>
          <w:rFonts w:ascii="Arial" w:hAnsi="Arial" w:cs="Arial"/>
        </w:rPr>
        <w:t>s</w:t>
      </w:r>
      <w:r w:rsidR="0068431F" w:rsidRPr="0068431F">
        <w:rPr>
          <w:rFonts w:ascii="Arial" w:hAnsi="Arial" w:cs="Arial"/>
        </w:rPr>
        <w:t>ed</w:t>
      </w:r>
      <w:proofErr w:type="spellEnd"/>
      <w:r w:rsidR="0068431F" w:rsidRPr="0068431F">
        <w:rPr>
          <w:rFonts w:ascii="Arial" w:hAnsi="Arial" w:cs="Arial"/>
        </w:rPr>
        <w:t xml:space="preserve"> (raw)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8431F" w:rsidTr="006B61D9">
        <w:tc>
          <w:tcPr>
            <w:tcW w:w="1870" w:type="dxa"/>
          </w:tcPr>
          <w:p w:rsidR="0068431F" w:rsidRDefault="0068431F" w:rsidP="006B61D9">
            <w:pPr>
              <w:rPr>
                <w:rFonts w:ascii="Arial" w:hAnsi="Arial" w:cs="Arial"/>
              </w:rPr>
            </w:pPr>
          </w:p>
        </w:tc>
        <w:tc>
          <w:tcPr>
            <w:tcW w:w="7480" w:type="dxa"/>
            <w:gridSpan w:val="4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cluster categories</w:t>
            </w:r>
          </w:p>
        </w:tc>
      </w:tr>
      <w:tr w:rsidR="0068431F" w:rsidTr="006B61D9">
        <w:tc>
          <w:tcPr>
            <w:tcW w:w="1870" w:type="dxa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Sensitivity analysis cluster categories</w:t>
            </w:r>
          </w:p>
        </w:tc>
        <w:tc>
          <w:tcPr>
            <w:tcW w:w="1870" w:type="dxa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 </w:t>
            </w:r>
          </w:p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(N=261)</w:t>
            </w:r>
          </w:p>
        </w:tc>
        <w:tc>
          <w:tcPr>
            <w:tcW w:w="1870" w:type="dxa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(N=509)</w:t>
            </w:r>
          </w:p>
        </w:tc>
        <w:tc>
          <w:tcPr>
            <w:tcW w:w="1870" w:type="dxa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</w:t>
            </w:r>
          </w:p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(N=348)</w:t>
            </w:r>
          </w:p>
        </w:tc>
        <w:tc>
          <w:tcPr>
            <w:tcW w:w="1870" w:type="dxa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Highest</w:t>
            </w:r>
          </w:p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(N=24)</w:t>
            </w:r>
          </w:p>
        </w:tc>
      </w:tr>
      <w:tr w:rsidR="0068431F" w:rsidTr="006B61D9">
        <w:tc>
          <w:tcPr>
            <w:tcW w:w="1870" w:type="dxa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(N=261)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 (100%)</w:t>
            </w:r>
          </w:p>
        </w:tc>
        <w:tc>
          <w:tcPr>
            <w:tcW w:w="1870" w:type="dxa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0" w:type="dxa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0" w:type="dxa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8431F" w:rsidTr="006B61D9">
        <w:tc>
          <w:tcPr>
            <w:tcW w:w="1870" w:type="dxa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 (N=518)</w:t>
            </w:r>
          </w:p>
        </w:tc>
        <w:tc>
          <w:tcPr>
            <w:tcW w:w="1870" w:type="dxa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 (100%)</w:t>
            </w:r>
          </w:p>
        </w:tc>
        <w:tc>
          <w:tcPr>
            <w:tcW w:w="1870" w:type="dxa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(2.6%)</w:t>
            </w:r>
          </w:p>
        </w:tc>
        <w:tc>
          <w:tcPr>
            <w:tcW w:w="1870" w:type="dxa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8431F" w:rsidTr="006B61D9">
        <w:tc>
          <w:tcPr>
            <w:tcW w:w="1870" w:type="dxa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(N=326)</w:t>
            </w:r>
          </w:p>
        </w:tc>
        <w:tc>
          <w:tcPr>
            <w:tcW w:w="1870" w:type="dxa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0" w:type="dxa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 (93.7%)</w:t>
            </w:r>
          </w:p>
        </w:tc>
        <w:tc>
          <w:tcPr>
            <w:tcW w:w="1870" w:type="dxa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8431F" w:rsidTr="006B61D9">
        <w:tc>
          <w:tcPr>
            <w:tcW w:w="1870" w:type="dxa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Highest (N=37)</w:t>
            </w:r>
          </w:p>
        </w:tc>
        <w:tc>
          <w:tcPr>
            <w:tcW w:w="1870" w:type="dxa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0" w:type="dxa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0" w:type="dxa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(3.7%)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68431F" w:rsidRDefault="0068431F" w:rsidP="006B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(100%)</w:t>
            </w:r>
          </w:p>
        </w:tc>
      </w:tr>
    </w:tbl>
    <w:p w:rsidR="00FB0251" w:rsidRDefault="00FB0251">
      <w:pPr>
        <w:spacing w:after="0" w:line="240" w:lineRule="auto"/>
        <w:rPr>
          <w:rFonts w:ascii="Arial" w:hAnsi="Arial" w:cs="Arial"/>
        </w:rPr>
      </w:pPr>
    </w:p>
    <w:p w:rsidR="00FB0251" w:rsidRDefault="00FB0251" w:rsidP="00FB0251">
      <w:pPr>
        <w:rPr>
          <w:rFonts w:ascii="Arial" w:hAnsi="Arial" w:cs="Arial"/>
          <w:b/>
          <w:u w:val="single"/>
        </w:rPr>
      </w:pPr>
    </w:p>
    <w:p w:rsidR="00FB0251" w:rsidRPr="00FB0251" w:rsidRDefault="00FB0251" w:rsidP="00FB025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SEARCH Study Group Members and Affiliations</w:t>
      </w:r>
    </w:p>
    <w:p w:rsidR="00FB0251" w:rsidRPr="00FB0251" w:rsidRDefault="00FB0251" w:rsidP="00FB0251">
      <w:pPr>
        <w:rPr>
          <w:rFonts w:ascii="Arial" w:hAnsi="Arial" w:cs="Arial"/>
        </w:rPr>
      </w:pPr>
      <w:r w:rsidRPr="00FB0251">
        <w:rPr>
          <w:rFonts w:ascii="Arial" w:hAnsi="Arial" w:cs="Arial"/>
          <w:i/>
          <w:iCs/>
        </w:rPr>
        <w:t>California</w:t>
      </w:r>
      <w:r w:rsidRPr="00FB0251">
        <w:rPr>
          <w:rFonts w:ascii="Arial" w:hAnsi="Arial" w:cs="Arial"/>
        </w:rPr>
        <w:t xml:space="preserve">: Jean M. Lawrence, ScD, MPH, MSSA, Corinna </w:t>
      </w:r>
      <w:proofErr w:type="spellStart"/>
      <w:r w:rsidRPr="00FB0251">
        <w:rPr>
          <w:rFonts w:ascii="Arial" w:hAnsi="Arial" w:cs="Arial"/>
        </w:rPr>
        <w:t>Koebnick</w:t>
      </w:r>
      <w:proofErr w:type="spellEnd"/>
      <w:r w:rsidRPr="00FB0251">
        <w:rPr>
          <w:rFonts w:ascii="Arial" w:hAnsi="Arial" w:cs="Arial"/>
        </w:rPr>
        <w:t xml:space="preserve">, PhD, MSc, Kristi Reynolds, PhD, MPH, Kim </w:t>
      </w:r>
      <w:proofErr w:type="spellStart"/>
      <w:r w:rsidRPr="00FB0251">
        <w:rPr>
          <w:rFonts w:ascii="Arial" w:hAnsi="Arial" w:cs="Arial"/>
        </w:rPr>
        <w:t>Holmquist</w:t>
      </w:r>
      <w:proofErr w:type="spellEnd"/>
      <w:r w:rsidRPr="00FB0251">
        <w:rPr>
          <w:rFonts w:ascii="Arial" w:hAnsi="Arial" w:cs="Arial"/>
        </w:rPr>
        <w:t xml:space="preserve">, </w:t>
      </w:r>
      <w:proofErr w:type="spellStart"/>
      <w:r w:rsidRPr="00FB0251">
        <w:rPr>
          <w:rFonts w:ascii="Arial" w:hAnsi="Arial" w:cs="Arial"/>
        </w:rPr>
        <w:t>MPHc</w:t>
      </w:r>
      <w:proofErr w:type="spellEnd"/>
      <w:r w:rsidRPr="00FB0251">
        <w:rPr>
          <w:rFonts w:ascii="Arial" w:hAnsi="Arial" w:cs="Arial"/>
        </w:rPr>
        <w:t xml:space="preserve">, and Xia Li, MS, for the Department of Research and Evaluation, Kaiser Permanente Southern California, Pasadena; and David J. </w:t>
      </w:r>
      <w:proofErr w:type="spellStart"/>
      <w:r w:rsidRPr="00FB0251">
        <w:rPr>
          <w:rFonts w:ascii="Arial" w:hAnsi="Arial" w:cs="Arial"/>
        </w:rPr>
        <w:t>Pettitt</w:t>
      </w:r>
      <w:proofErr w:type="spellEnd"/>
      <w:r w:rsidRPr="00FB0251">
        <w:rPr>
          <w:rFonts w:ascii="Arial" w:hAnsi="Arial" w:cs="Arial"/>
        </w:rPr>
        <w:t>, MD, Santa Barbara, California. </w:t>
      </w:r>
      <w:r w:rsidRPr="00FB0251">
        <w:rPr>
          <w:rFonts w:ascii="Arial" w:hAnsi="Arial" w:cs="Arial"/>
          <w:i/>
          <w:iCs/>
        </w:rPr>
        <w:t>Colorado</w:t>
      </w:r>
      <w:r w:rsidRPr="00FB0251">
        <w:rPr>
          <w:rFonts w:ascii="Arial" w:hAnsi="Arial" w:cs="Arial"/>
        </w:rPr>
        <w:t xml:space="preserve">: Dana </w:t>
      </w:r>
      <w:proofErr w:type="spellStart"/>
      <w:r w:rsidRPr="00FB0251">
        <w:rPr>
          <w:rFonts w:ascii="Arial" w:hAnsi="Arial" w:cs="Arial"/>
        </w:rPr>
        <w:t>Dabelea</w:t>
      </w:r>
      <w:proofErr w:type="spellEnd"/>
      <w:r w:rsidRPr="00FB0251">
        <w:rPr>
          <w:rFonts w:ascii="Arial" w:hAnsi="Arial" w:cs="Arial"/>
        </w:rPr>
        <w:t xml:space="preserve">, MD, PhD, Richard F. Hamman, MD, </w:t>
      </w:r>
      <w:proofErr w:type="spellStart"/>
      <w:r w:rsidRPr="00FB0251">
        <w:rPr>
          <w:rFonts w:ascii="Arial" w:hAnsi="Arial" w:cs="Arial"/>
        </w:rPr>
        <w:t>DrPH</w:t>
      </w:r>
      <w:proofErr w:type="spellEnd"/>
      <w:r w:rsidRPr="00FB0251">
        <w:rPr>
          <w:rFonts w:ascii="Arial" w:hAnsi="Arial" w:cs="Arial"/>
        </w:rPr>
        <w:t xml:space="preserve">, Lisa </w:t>
      </w:r>
      <w:proofErr w:type="spellStart"/>
      <w:r w:rsidRPr="00FB0251">
        <w:rPr>
          <w:rFonts w:ascii="Arial" w:hAnsi="Arial" w:cs="Arial"/>
        </w:rPr>
        <w:t>Testaverde</w:t>
      </w:r>
      <w:proofErr w:type="spellEnd"/>
      <w:r w:rsidRPr="00FB0251">
        <w:rPr>
          <w:rFonts w:ascii="Arial" w:hAnsi="Arial" w:cs="Arial"/>
        </w:rPr>
        <w:t xml:space="preserve">, MS, Anna </w:t>
      </w:r>
      <w:proofErr w:type="spellStart"/>
      <w:r w:rsidRPr="00FB0251">
        <w:rPr>
          <w:rFonts w:ascii="Arial" w:hAnsi="Arial" w:cs="Arial"/>
        </w:rPr>
        <w:t>Bellatorre</w:t>
      </w:r>
      <w:proofErr w:type="spellEnd"/>
      <w:r w:rsidRPr="00FB0251">
        <w:rPr>
          <w:rFonts w:ascii="Arial" w:hAnsi="Arial" w:cs="Arial"/>
        </w:rPr>
        <w:t xml:space="preserve">, PhD, for the Department of Epidemiology, Colorado School of Public Health, University of Colorado–Denver; </w:t>
      </w:r>
      <w:proofErr w:type="spellStart"/>
      <w:r w:rsidRPr="00FB0251">
        <w:rPr>
          <w:rFonts w:ascii="Arial" w:hAnsi="Arial" w:cs="Arial"/>
        </w:rPr>
        <w:t>Georgeanna</w:t>
      </w:r>
      <w:proofErr w:type="spellEnd"/>
      <w:r w:rsidRPr="00FB0251">
        <w:rPr>
          <w:rFonts w:ascii="Arial" w:hAnsi="Arial" w:cs="Arial"/>
        </w:rPr>
        <w:t xml:space="preserve"> J. </w:t>
      </w:r>
      <w:proofErr w:type="spellStart"/>
      <w:r w:rsidRPr="00FB0251">
        <w:rPr>
          <w:rFonts w:ascii="Arial" w:hAnsi="Arial" w:cs="Arial"/>
        </w:rPr>
        <w:t>Klingensmith</w:t>
      </w:r>
      <w:proofErr w:type="spellEnd"/>
      <w:r w:rsidRPr="00FB0251">
        <w:rPr>
          <w:rFonts w:ascii="Arial" w:hAnsi="Arial" w:cs="Arial"/>
        </w:rPr>
        <w:t xml:space="preserve">, MD, Marian J. </w:t>
      </w:r>
      <w:proofErr w:type="spellStart"/>
      <w:r w:rsidRPr="00FB0251">
        <w:rPr>
          <w:rFonts w:ascii="Arial" w:hAnsi="Arial" w:cs="Arial"/>
        </w:rPr>
        <w:t>Rewers</w:t>
      </w:r>
      <w:proofErr w:type="spellEnd"/>
      <w:r w:rsidRPr="00FB0251">
        <w:rPr>
          <w:rFonts w:ascii="Arial" w:hAnsi="Arial" w:cs="Arial"/>
        </w:rPr>
        <w:t xml:space="preserve">, MD, PhD, David </w:t>
      </w:r>
      <w:proofErr w:type="spellStart"/>
      <w:r w:rsidRPr="00FB0251">
        <w:rPr>
          <w:rFonts w:ascii="Arial" w:hAnsi="Arial" w:cs="Arial"/>
        </w:rPr>
        <w:t>Maahs</w:t>
      </w:r>
      <w:proofErr w:type="spellEnd"/>
      <w:r w:rsidRPr="00FB0251">
        <w:rPr>
          <w:rFonts w:ascii="Arial" w:hAnsi="Arial" w:cs="Arial"/>
        </w:rPr>
        <w:t xml:space="preserve">, MD, and Paul </w:t>
      </w:r>
      <w:proofErr w:type="spellStart"/>
      <w:r w:rsidRPr="00FB0251">
        <w:rPr>
          <w:rFonts w:ascii="Arial" w:hAnsi="Arial" w:cs="Arial"/>
        </w:rPr>
        <w:t>Wadwa</w:t>
      </w:r>
      <w:proofErr w:type="spellEnd"/>
      <w:r w:rsidRPr="00FB0251">
        <w:rPr>
          <w:rFonts w:ascii="Arial" w:hAnsi="Arial" w:cs="Arial"/>
        </w:rPr>
        <w:t xml:space="preserve">, MD, for the Barbara Davis Center for Childhood Diabetes; Stephen Daniels, MD, PhD, Greta </w:t>
      </w:r>
      <w:proofErr w:type="spellStart"/>
      <w:r w:rsidRPr="00FB0251">
        <w:rPr>
          <w:rFonts w:ascii="Arial" w:hAnsi="Arial" w:cs="Arial"/>
        </w:rPr>
        <w:t>Wilkening</w:t>
      </w:r>
      <w:proofErr w:type="spellEnd"/>
      <w:r w:rsidRPr="00FB0251">
        <w:rPr>
          <w:rFonts w:ascii="Arial" w:hAnsi="Arial" w:cs="Arial"/>
        </w:rPr>
        <w:t xml:space="preserve">, </w:t>
      </w:r>
      <w:proofErr w:type="spellStart"/>
      <w:r w:rsidRPr="00FB0251">
        <w:rPr>
          <w:rFonts w:ascii="Arial" w:hAnsi="Arial" w:cs="Arial"/>
        </w:rPr>
        <w:t>PsyD</w:t>
      </w:r>
      <w:proofErr w:type="spellEnd"/>
      <w:r w:rsidRPr="00FB0251">
        <w:rPr>
          <w:rFonts w:ascii="Arial" w:hAnsi="Arial" w:cs="Arial"/>
        </w:rPr>
        <w:t>, Michael G. Kahn, MD, PhD, and Katherine A. Sauder, PhD for the Department of Pediatrics and Children’s Hospital; Clifford A. Bloch, MD, for the Pediatric Endocrine Associates; Jeffrey Powell, MD, MPH, for the Navajo Area Indian Health Promotion Program; and Kathy Love-Osborne, MD, for the Denver Health and Hospital Authority. </w:t>
      </w:r>
      <w:r w:rsidRPr="00FB0251">
        <w:rPr>
          <w:rFonts w:ascii="Arial" w:hAnsi="Arial" w:cs="Arial"/>
          <w:i/>
          <w:iCs/>
        </w:rPr>
        <w:t>Ohio</w:t>
      </w:r>
      <w:r w:rsidRPr="00FB0251">
        <w:rPr>
          <w:rFonts w:ascii="Arial" w:hAnsi="Arial" w:cs="Arial"/>
        </w:rPr>
        <w:t xml:space="preserve">: Lawrence M. Dolan, MD, and Debra A. </w:t>
      </w:r>
      <w:proofErr w:type="spellStart"/>
      <w:r w:rsidRPr="00FB0251">
        <w:rPr>
          <w:rFonts w:ascii="Arial" w:hAnsi="Arial" w:cs="Arial"/>
        </w:rPr>
        <w:t>Standiford</w:t>
      </w:r>
      <w:proofErr w:type="spellEnd"/>
      <w:r w:rsidRPr="00FB0251">
        <w:rPr>
          <w:rFonts w:ascii="Arial" w:hAnsi="Arial" w:cs="Arial"/>
        </w:rPr>
        <w:t>, MSN, CNP, for the Cincinnati Children’s Hospital Medical Center. </w:t>
      </w:r>
      <w:r w:rsidRPr="00FB0251">
        <w:rPr>
          <w:rFonts w:ascii="Arial" w:hAnsi="Arial" w:cs="Arial"/>
          <w:i/>
          <w:iCs/>
        </w:rPr>
        <w:t>North Carolina</w:t>
      </w:r>
      <w:r w:rsidRPr="00FB0251">
        <w:rPr>
          <w:rFonts w:ascii="Arial" w:hAnsi="Arial" w:cs="Arial"/>
        </w:rPr>
        <w:t xml:space="preserve">: Elizabeth J. Mayer-Davis, PhD, Amy </w:t>
      </w:r>
      <w:proofErr w:type="spellStart"/>
      <w:r w:rsidRPr="00FB0251">
        <w:rPr>
          <w:rFonts w:ascii="Arial" w:hAnsi="Arial" w:cs="Arial"/>
        </w:rPr>
        <w:t>Mottl</w:t>
      </w:r>
      <w:proofErr w:type="spellEnd"/>
      <w:r w:rsidRPr="00FB0251">
        <w:rPr>
          <w:rFonts w:ascii="Arial" w:hAnsi="Arial" w:cs="Arial"/>
        </w:rPr>
        <w:t xml:space="preserve">, MD, MPH, and Joan Thomas, MS, RD, for the University of North Carolina, Chapel Hill; James </w:t>
      </w:r>
      <w:proofErr w:type="spellStart"/>
      <w:r w:rsidRPr="00FB0251">
        <w:rPr>
          <w:rFonts w:ascii="Arial" w:hAnsi="Arial" w:cs="Arial"/>
        </w:rPr>
        <w:t>Amrhein</w:t>
      </w:r>
      <w:proofErr w:type="spellEnd"/>
      <w:r w:rsidRPr="00FB0251">
        <w:rPr>
          <w:rFonts w:ascii="Arial" w:hAnsi="Arial" w:cs="Arial"/>
        </w:rPr>
        <w:t>, MD, and Bryce Nelson, MD, for Greenville Health System. </w:t>
      </w:r>
      <w:r w:rsidRPr="00FB0251">
        <w:rPr>
          <w:rFonts w:ascii="Arial" w:hAnsi="Arial" w:cs="Arial"/>
          <w:i/>
          <w:iCs/>
        </w:rPr>
        <w:t>South Carolina:</w:t>
      </w:r>
      <w:r w:rsidRPr="00FB0251">
        <w:rPr>
          <w:rFonts w:ascii="Arial" w:hAnsi="Arial" w:cs="Arial"/>
        </w:rPr>
        <w:t xml:space="preserve"> Anwar Merchant, ScD, Angela D. </w:t>
      </w:r>
      <w:proofErr w:type="spellStart"/>
      <w:r w:rsidRPr="00FB0251">
        <w:rPr>
          <w:rFonts w:ascii="Arial" w:hAnsi="Arial" w:cs="Arial"/>
        </w:rPr>
        <w:t>Liese</w:t>
      </w:r>
      <w:proofErr w:type="spellEnd"/>
      <w:r w:rsidRPr="00FB0251">
        <w:rPr>
          <w:rFonts w:ascii="Arial" w:hAnsi="Arial" w:cs="Arial"/>
        </w:rPr>
        <w:t xml:space="preserve">, PhD, MPH, </w:t>
      </w:r>
      <w:proofErr w:type="spellStart"/>
      <w:r w:rsidRPr="00FB0251">
        <w:rPr>
          <w:rFonts w:ascii="Arial" w:hAnsi="Arial" w:cs="Arial"/>
        </w:rPr>
        <w:t>Malaka</w:t>
      </w:r>
      <w:proofErr w:type="spellEnd"/>
      <w:r w:rsidRPr="00FB0251">
        <w:rPr>
          <w:rFonts w:ascii="Arial" w:hAnsi="Arial" w:cs="Arial"/>
        </w:rPr>
        <w:t xml:space="preserve"> Jackson, MD, and Lisa Knight, MD, for the University of South Carolina; Deborah Bowlby, MD, for the Medical University of South Carolina. </w:t>
      </w:r>
      <w:r w:rsidRPr="00FB0251">
        <w:rPr>
          <w:rFonts w:ascii="Arial" w:hAnsi="Arial" w:cs="Arial"/>
          <w:i/>
          <w:iCs/>
        </w:rPr>
        <w:t>Washington</w:t>
      </w:r>
      <w:r w:rsidRPr="00FB0251">
        <w:rPr>
          <w:rFonts w:ascii="Arial" w:hAnsi="Arial" w:cs="Arial"/>
        </w:rPr>
        <w:t xml:space="preserve">: Catherine </w:t>
      </w:r>
      <w:proofErr w:type="spellStart"/>
      <w:r w:rsidRPr="00FB0251">
        <w:rPr>
          <w:rFonts w:ascii="Arial" w:hAnsi="Arial" w:cs="Arial"/>
        </w:rPr>
        <w:t>Pihoker</w:t>
      </w:r>
      <w:proofErr w:type="spellEnd"/>
      <w:r w:rsidRPr="00FB0251">
        <w:rPr>
          <w:rFonts w:ascii="Arial" w:hAnsi="Arial" w:cs="Arial"/>
        </w:rPr>
        <w:t xml:space="preserve">, MD, Maryam </w:t>
      </w:r>
      <w:proofErr w:type="spellStart"/>
      <w:r w:rsidRPr="00FB0251">
        <w:rPr>
          <w:rFonts w:ascii="Arial" w:hAnsi="Arial" w:cs="Arial"/>
        </w:rPr>
        <w:t>Afkarian</w:t>
      </w:r>
      <w:proofErr w:type="spellEnd"/>
      <w:r w:rsidRPr="00FB0251">
        <w:rPr>
          <w:rFonts w:ascii="Arial" w:hAnsi="Arial" w:cs="Arial"/>
        </w:rPr>
        <w:t xml:space="preserve">, MD, </w:t>
      </w:r>
      <w:proofErr w:type="spellStart"/>
      <w:r w:rsidRPr="00FB0251">
        <w:rPr>
          <w:rFonts w:ascii="Arial" w:hAnsi="Arial" w:cs="Arial"/>
        </w:rPr>
        <w:t>Irl</w:t>
      </w:r>
      <w:proofErr w:type="spellEnd"/>
      <w:r w:rsidRPr="00FB0251">
        <w:rPr>
          <w:rFonts w:ascii="Arial" w:hAnsi="Arial" w:cs="Arial"/>
        </w:rPr>
        <w:t xml:space="preserve"> Hirsch, MD, </w:t>
      </w:r>
      <w:proofErr w:type="spellStart"/>
      <w:r w:rsidRPr="00FB0251">
        <w:rPr>
          <w:rFonts w:ascii="Arial" w:hAnsi="Arial" w:cs="Arial"/>
        </w:rPr>
        <w:t>Lenna</w:t>
      </w:r>
      <w:proofErr w:type="spellEnd"/>
      <w:r w:rsidRPr="00FB0251">
        <w:rPr>
          <w:rFonts w:ascii="Arial" w:hAnsi="Arial" w:cs="Arial"/>
        </w:rPr>
        <w:t xml:space="preserve"> L. Liu, MD, MPH, John Neff, MD, Grace Kim, MD, Craig Taplin, MD, </w:t>
      </w:r>
      <w:proofErr w:type="spellStart"/>
      <w:r w:rsidRPr="00FB0251">
        <w:rPr>
          <w:rFonts w:ascii="Arial" w:hAnsi="Arial" w:cs="Arial"/>
        </w:rPr>
        <w:t>Debika</w:t>
      </w:r>
      <w:proofErr w:type="spellEnd"/>
      <w:r w:rsidRPr="00FB0251">
        <w:rPr>
          <w:rFonts w:ascii="Arial" w:hAnsi="Arial" w:cs="Arial"/>
        </w:rPr>
        <w:t xml:space="preserve"> Nandi-</w:t>
      </w:r>
      <w:proofErr w:type="spellStart"/>
      <w:r w:rsidRPr="00FB0251">
        <w:rPr>
          <w:rFonts w:ascii="Arial" w:hAnsi="Arial" w:cs="Arial"/>
        </w:rPr>
        <w:t>Munshi</w:t>
      </w:r>
      <w:proofErr w:type="spellEnd"/>
      <w:r w:rsidRPr="00FB0251">
        <w:rPr>
          <w:rFonts w:ascii="Arial" w:hAnsi="Arial" w:cs="Arial"/>
        </w:rPr>
        <w:t xml:space="preserve">, MD, Joyce Yi-Frazier, PhD, Lina </w:t>
      </w:r>
      <w:proofErr w:type="spellStart"/>
      <w:r w:rsidRPr="00FB0251">
        <w:rPr>
          <w:rFonts w:ascii="Arial" w:hAnsi="Arial" w:cs="Arial"/>
        </w:rPr>
        <w:t>Merjaneh</w:t>
      </w:r>
      <w:proofErr w:type="spellEnd"/>
      <w:r w:rsidRPr="00FB0251">
        <w:rPr>
          <w:rFonts w:ascii="Arial" w:hAnsi="Arial" w:cs="Arial"/>
        </w:rPr>
        <w:t xml:space="preserve">, MD, and </w:t>
      </w:r>
      <w:proofErr w:type="spellStart"/>
      <w:r w:rsidRPr="00FB0251">
        <w:rPr>
          <w:rFonts w:ascii="Arial" w:hAnsi="Arial" w:cs="Arial"/>
        </w:rPr>
        <w:t>Davene</w:t>
      </w:r>
      <w:proofErr w:type="spellEnd"/>
      <w:r w:rsidRPr="00FB0251">
        <w:rPr>
          <w:rFonts w:ascii="Arial" w:hAnsi="Arial" w:cs="Arial"/>
        </w:rPr>
        <w:t xml:space="preserve"> Wright, PhD, for the University of Washington; Beth Loots, MPH, MSW, Natalie Beauregard, BA, Sue Kearns, RN, Mary </w:t>
      </w:r>
      <w:proofErr w:type="spellStart"/>
      <w:r w:rsidRPr="00FB0251">
        <w:rPr>
          <w:rFonts w:ascii="Arial" w:hAnsi="Arial" w:cs="Arial"/>
        </w:rPr>
        <w:t>Klingsheim</w:t>
      </w:r>
      <w:proofErr w:type="spellEnd"/>
      <w:r w:rsidRPr="00FB0251">
        <w:rPr>
          <w:rFonts w:ascii="Arial" w:hAnsi="Arial" w:cs="Arial"/>
        </w:rPr>
        <w:t xml:space="preserve">, RN, and Michael </w:t>
      </w:r>
      <w:proofErr w:type="spellStart"/>
      <w:r w:rsidRPr="00FB0251">
        <w:rPr>
          <w:rFonts w:ascii="Arial" w:hAnsi="Arial" w:cs="Arial"/>
        </w:rPr>
        <w:t>Pascual</w:t>
      </w:r>
      <w:proofErr w:type="spellEnd"/>
      <w:r w:rsidRPr="00FB0251">
        <w:rPr>
          <w:rFonts w:ascii="Arial" w:hAnsi="Arial" w:cs="Arial"/>
        </w:rPr>
        <w:t xml:space="preserve">, BA, for Seattle Children’s Hospital; and Carla </w:t>
      </w:r>
      <w:proofErr w:type="spellStart"/>
      <w:r w:rsidRPr="00FB0251">
        <w:rPr>
          <w:rFonts w:ascii="Arial" w:hAnsi="Arial" w:cs="Arial"/>
        </w:rPr>
        <w:t>Greenbaum</w:t>
      </w:r>
      <w:proofErr w:type="spellEnd"/>
      <w:r w:rsidRPr="00FB0251">
        <w:rPr>
          <w:rFonts w:ascii="Arial" w:hAnsi="Arial" w:cs="Arial"/>
        </w:rPr>
        <w:t xml:space="preserve">, MD, for </w:t>
      </w:r>
      <w:proofErr w:type="spellStart"/>
      <w:r w:rsidRPr="00FB0251">
        <w:rPr>
          <w:rFonts w:ascii="Arial" w:hAnsi="Arial" w:cs="Arial"/>
        </w:rPr>
        <w:t>Benaroya</w:t>
      </w:r>
      <w:proofErr w:type="spellEnd"/>
      <w:r w:rsidRPr="00FB0251">
        <w:rPr>
          <w:rFonts w:ascii="Arial" w:hAnsi="Arial" w:cs="Arial"/>
        </w:rPr>
        <w:t xml:space="preserve"> Research Institute. </w:t>
      </w:r>
      <w:r w:rsidRPr="00FB0251">
        <w:rPr>
          <w:rFonts w:ascii="Arial" w:hAnsi="Arial" w:cs="Arial"/>
          <w:i/>
          <w:iCs/>
        </w:rPr>
        <w:t>Centers for Disease Control and Prevention</w:t>
      </w:r>
      <w:r w:rsidRPr="00FB0251">
        <w:rPr>
          <w:rFonts w:ascii="Arial" w:hAnsi="Arial" w:cs="Arial"/>
        </w:rPr>
        <w:t xml:space="preserve">: Giuseppina </w:t>
      </w:r>
      <w:proofErr w:type="spellStart"/>
      <w:r w:rsidRPr="00FB0251">
        <w:rPr>
          <w:rFonts w:ascii="Arial" w:hAnsi="Arial" w:cs="Arial"/>
        </w:rPr>
        <w:t>Imperatore</w:t>
      </w:r>
      <w:proofErr w:type="spellEnd"/>
      <w:r w:rsidRPr="00FB0251">
        <w:rPr>
          <w:rFonts w:ascii="Arial" w:hAnsi="Arial" w:cs="Arial"/>
        </w:rPr>
        <w:t xml:space="preserve">, MD, PhD, and Sharon H. </w:t>
      </w:r>
      <w:proofErr w:type="spellStart"/>
      <w:r w:rsidRPr="00FB0251">
        <w:rPr>
          <w:rFonts w:ascii="Arial" w:hAnsi="Arial" w:cs="Arial"/>
        </w:rPr>
        <w:t>Saydah</w:t>
      </w:r>
      <w:proofErr w:type="spellEnd"/>
      <w:r w:rsidRPr="00FB0251">
        <w:rPr>
          <w:rFonts w:ascii="Arial" w:hAnsi="Arial" w:cs="Arial"/>
        </w:rPr>
        <w:t>, PhD. </w:t>
      </w:r>
      <w:r w:rsidRPr="00FB0251">
        <w:rPr>
          <w:rFonts w:ascii="Arial" w:hAnsi="Arial" w:cs="Arial"/>
          <w:i/>
          <w:iCs/>
        </w:rPr>
        <w:t>National Institute of Diabetes and Digestive and Kidney Diseases, NIH</w:t>
      </w:r>
      <w:r w:rsidRPr="00FB0251">
        <w:rPr>
          <w:rFonts w:ascii="Arial" w:hAnsi="Arial" w:cs="Arial"/>
        </w:rPr>
        <w:t xml:space="preserve">: Barbara Linder, </w:t>
      </w:r>
      <w:r w:rsidRPr="00FB0251">
        <w:rPr>
          <w:rFonts w:ascii="Arial" w:hAnsi="Arial" w:cs="Arial"/>
        </w:rPr>
        <w:lastRenderedPageBreak/>
        <w:t>MD, PhD. </w:t>
      </w:r>
      <w:r w:rsidRPr="00FB0251">
        <w:rPr>
          <w:rFonts w:ascii="Arial" w:hAnsi="Arial" w:cs="Arial"/>
          <w:i/>
          <w:iCs/>
        </w:rPr>
        <w:t>Central Laboratory</w:t>
      </w:r>
      <w:r w:rsidRPr="00FB0251">
        <w:rPr>
          <w:rFonts w:ascii="Arial" w:hAnsi="Arial" w:cs="Arial"/>
        </w:rPr>
        <w:t xml:space="preserve">: </w:t>
      </w:r>
      <w:proofErr w:type="spellStart"/>
      <w:r w:rsidRPr="00FB0251">
        <w:rPr>
          <w:rFonts w:ascii="Arial" w:hAnsi="Arial" w:cs="Arial"/>
        </w:rPr>
        <w:t>Santica</w:t>
      </w:r>
      <w:proofErr w:type="spellEnd"/>
      <w:r w:rsidRPr="00FB0251">
        <w:rPr>
          <w:rFonts w:ascii="Arial" w:hAnsi="Arial" w:cs="Arial"/>
        </w:rPr>
        <w:t xml:space="preserve"> M. </w:t>
      </w:r>
      <w:proofErr w:type="spellStart"/>
      <w:r w:rsidRPr="00FB0251">
        <w:rPr>
          <w:rFonts w:ascii="Arial" w:hAnsi="Arial" w:cs="Arial"/>
        </w:rPr>
        <w:t>Marcovina</w:t>
      </w:r>
      <w:proofErr w:type="spellEnd"/>
      <w:r w:rsidRPr="00FB0251">
        <w:rPr>
          <w:rFonts w:ascii="Arial" w:hAnsi="Arial" w:cs="Arial"/>
        </w:rPr>
        <w:t xml:space="preserve">, PhD, ScD, Vinod P. Gaur, PhD, Greg </w:t>
      </w:r>
      <w:proofErr w:type="spellStart"/>
      <w:r w:rsidRPr="00FB0251">
        <w:rPr>
          <w:rFonts w:ascii="Arial" w:hAnsi="Arial" w:cs="Arial"/>
        </w:rPr>
        <w:t>Strylewicz</w:t>
      </w:r>
      <w:proofErr w:type="spellEnd"/>
      <w:r w:rsidRPr="00FB0251">
        <w:rPr>
          <w:rFonts w:ascii="Arial" w:hAnsi="Arial" w:cs="Arial"/>
        </w:rPr>
        <w:t xml:space="preserve">, PhD, and Jessica </w:t>
      </w:r>
      <w:proofErr w:type="spellStart"/>
      <w:r w:rsidRPr="00FB0251">
        <w:rPr>
          <w:rFonts w:ascii="Arial" w:hAnsi="Arial" w:cs="Arial"/>
        </w:rPr>
        <w:t>Harting</w:t>
      </w:r>
      <w:proofErr w:type="spellEnd"/>
      <w:r w:rsidRPr="00FB0251">
        <w:rPr>
          <w:rFonts w:ascii="Arial" w:hAnsi="Arial" w:cs="Arial"/>
        </w:rPr>
        <w:t xml:space="preserve"> for the University of Washington Northwest Lipid Research Laboratories. </w:t>
      </w:r>
      <w:r w:rsidRPr="00FB0251">
        <w:rPr>
          <w:rFonts w:ascii="Arial" w:hAnsi="Arial" w:cs="Arial"/>
          <w:i/>
          <w:iCs/>
        </w:rPr>
        <w:t>Coordinating Center</w:t>
      </w:r>
      <w:r w:rsidRPr="00FB0251">
        <w:rPr>
          <w:rFonts w:ascii="Arial" w:hAnsi="Arial" w:cs="Arial"/>
        </w:rPr>
        <w:t xml:space="preserve">: Ralph </w:t>
      </w:r>
      <w:proofErr w:type="spellStart"/>
      <w:r w:rsidRPr="00FB0251">
        <w:rPr>
          <w:rFonts w:ascii="Arial" w:hAnsi="Arial" w:cs="Arial"/>
        </w:rPr>
        <w:t>D’Agostino</w:t>
      </w:r>
      <w:proofErr w:type="spellEnd"/>
      <w:r w:rsidRPr="00FB0251">
        <w:rPr>
          <w:rFonts w:ascii="Arial" w:hAnsi="Arial" w:cs="Arial"/>
        </w:rPr>
        <w:t xml:space="preserve"> Jr, PhD, Lynne E. </w:t>
      </w:r>
      <w:proofErr w:type="spellStart"/>
      <w:r w:rsidRPr="00FB0251">
        <w:rPr>
          <w:rFonts w:ascii="Arial" w:hAnsi="Arial" w:cs="Arial"/>
        </w:rPr>
        <w:t>Wagenknecht</w:t>
      </w:r>
      <w:proofErr w:type="spellEnd"/>
      <w:r w:rsidRPr="00FB0251">
        <w:rPr>
          <w:rFonts w:ascii="Arial" w:hAnsi="Arial" w:cs="Arial"/>
        </w:rPr>
        <w:t xml:space="preserve">, </w:t>
      </w:r>
      <w:proofErr w:type="spellStart"/>
      <w:r w:rsidRPr="00FB0251">
        <w:rPr>
          <w:rFonts w:ascii="Arial" w:hAnsi="Arial" w:cs="Arial"/>
        </w:rPr>
        <w:t>DrPH</w:t>
      </w:r>
      <w:proofErr w:type="spellEnd"/>
      <w:r w:rsidRPr="00FB0251">
        <w:rPr>
          <w:rFonts w:ascii="Arial" w:hAnsi="Arial" w:cs="Arial"/>
        </w:rPr>
        <w:t xml:space="preserve">, Ronny Bell, PhD, MS, Jasmin Divers, PhD, Timothy Morgan, PhD, Beth </w:t>
      </w:r>
      <w:proofErr w:type="spellStart"/>
      <w:r w:rsidRPr="00FB0251">
        <w:rPr>
          <w:rFonts w:ascii="Arial" w:hAnsi="Arial" w:cs="Arial"/>
        </w:rPr>
        <w:t>Reboussin</w:t>
      </w:r>
      <w:proofErr w:type="spellEnd"/>
      <w:r w:rsidRPr="00FB0251">
        <w:rPr>
          <w:rFonts w:ascii="Arial" w:hAnsi="Arial" w:cs="Arial"/>
        </w:rPr>
        <w:t xml:space="preserve">, PhD, </w:t>
      </w:r>
      <w:proofErr w:type="spellStart"/>
      <w:r w:rsidRPr="00FB0251">
        <w:rPr>
          <w:rFonts w:ascii="Arial" w:hAnsi="Arial" w:cs="Arial"/>
        </w:rPr>
        <w:t>Leora</w:t>
      </w:r>
      <w:proofErr w:type="spellEnd"/>
      <w:r w:rsidRPr="00FB0251">
        <w:rPr>
          <w:rFonts w:ascii="Arial" w:hAnsi="Arial" w:cs="Arial"/>
        </w:rPr>
        <w:t xml:space="preserve"> </w:t>
      </w:r>
      <w:proofErr w:type="spellStart"/>
      <w:r w:rsidRPr="00FB0251">
        <w:rPr>
          <w:rFonts w:ascii="Arial" w:hAnsi="Arial" w:cs="Arial"/>
        </w:rPr>
        <w:t>Henkin</w:t>
      </w:r>
      <w:proofErr w:type="spellEnd"/>
      <w:r w:rsidRPr="00FB0251">
        <w:rPr>
          <w:rFonts w:ascii="Arial" w:hAnsi="Arial" w:cs="Arial"/>
        </w:rPr>
        <w:t xml:space="preserve">, MPH, MEd, Maureen T. Goldstein, BA, Carrie Williams, MA, CCRP, Scott </w:t>
      </w:r>
      <w:proofErr w:type="spellStart"/>
      <w:r w:rsidRPr="00FB0251">
        <w:rPr>
          <w:rFonts w:ascii="Arial" w:hAnsi="Arial" w:cs="Arial"/>
        </w:rPr>
        <w:t>Isom</w:t>
      </w:r>
      <w:proofErr w:type="spellEnd"/>
      <w:r w:rsidRPr="00FB0251">
        <w:rPr>
          <w:rFonts w:ascii="Arial" w:hAnsi="Arial" w:cs="Arial"/>
        </w:rPr>
        <w:t>, MS, Jeanette Stafford, MS, and June Pierce, AB, for Wake Forest School of Medicine.</w:t>
      </w:r>
    </w:p>
    <w:p w:rsidR="00FB0251" w:rsidRDefault="00FB0251" w:rsidP="00CA0602">
      <w:pPr>
        <w:rPr>
          <w:rFonts w:ascii="Arial" w:hAnsi="Arial" w:cs="Arial"/>
        </w:rPr>
      </w:pPr>
    </w:p>
    <w:sectPr w:rsidR="00FB025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67" w:rsidRDefault="007E4B67" w:rsidP="00373958">
      <w:pPr>
        <w:spacing w:after="0" w:line="240" w:lineRule="auto"/>
      </w:pPr>
      <w:r>
        <w:separator/>
      </w:r>
    </w:p>
  </w:endnote>
  <w:endnote w:type="continuationSeparator" w:id="0">
    <w:p w:rsidR="007E4B67" w:rsidRDefault="007E4B67" w:rsidP="00373958">
      <w:pPr>
        <w:spacing w:after="0" w:line="240" w:lineRule="auto"/>
      </w:pPr>
      <w:r>
        <w:continuationSeparator/>
      </w:r>
    </w:p>
  </w:endnote>
  <w:endnote w:type="continuationNotice" w:id="1">
    <w:p w:rsidR="007E4B67" w:rsidRDefault="007E4B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67" w:rsidRPr="00373958" w:rsidRDefault="007E4B67">
    <w:pPr>
      <w:pStyle w:val="Footer"/>
      <w:jc w:val="center"/>
      <w:rPr>
        <w:rFonts w:ascii="Arial" w:hAnsi="Arial" w:cs="Arial"/>
      </w:rPr>
    </w:pPr>
    <w:r w:rsidRPr="00373958">
      <w:rPr>
        <w:rFonts w:ascii="Arial" w:hAnsi="Arial" w:cs="Arial"/>
      </w:rPr>
      <w:fldChar w:fldCharType="begin"/>
    </w:r>
    <w:r w:rsidRPr="00373958">
      <w:rPr>
        <w:rFonts w:ascii="Arial" w:hAnsi="Arial" w:cs="Arial"/>
      </w:rPr>
      <w:instrText xml:space="preserve"> PAGE   \* MERGEFORMAT </w:instrText>
    </w:r>
    <w:r w:rsidRPr="00373958">
      <w:rPr>
        <w:rFonts w:ascii="Arial" w:hAnsi="Arial" w:cs="Arial"/>
      </w:rPr>
      <w:fldChar w:fldCharType="separate"/>
    </w:r>
    <w:r w:rsidR="00D51CFD">
      <w:rPr>
        <w:rFonts w:ascii="Arial" w:hAnsi="Arial" w:cs="Arial"/>
        <w:noProof/>
      </w:rPr>
      <w:t>2</w:t>
    </w:r>
    <w:r w:rsidRPr="00373958">
      <w:rPr>
        <w:rFonts w:ascii="Arial" w:hAnsi="Arial" w:cs="Arial"/>
        <w:noProof/>
      </w:rPr>
      <w:fldChar w:fldCharType="end"/>
    </w:r>
  </w:p>
  <w:p w:rsidR="007E4B67" w:rsidRDefault="007E4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67" w:rsidRDefault="007E4B67" w:rsidP="00373958">
      <w:pPr>
        <w:spacing w:after="0" w:line="240" w:lineRule="auto"/>
      </w:pPr>
      <w:r>
        <w:separator/>
      </w:r>
    </w:p>
  </w:footnote>
  <w:footnote w:type="continuationSeparator" w:id="0">
    <w:p w:rsidR="007E4B67" w:rsidRDefault="007E4B67" w:rsidP="00373958">
      <w:pPr>
        <w:spacing w:after="0" w:line="240" w:lineRule="auto"/>
      </w:pPr>
      <w:r>
        <w:continuationSeparator/>
      </w:r>
    </w:p>
  </w:footnote>
  <w:footnote w:type="continuationNotice" w:id="1">
    <w:p w:rsidR="007E4B67" w:rsidRDefault="007E4B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67" w:rsidRDefault="007E4B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461"/>
    <w:multiLevelType w:val="hybridMultilevel"/>
    <w:tmpl w:val="D748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A4755"/>
    <w:multiLevelType w:val="hybridMultilevel"/>
    <w:tmpl w:val="9276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D5520"/>
    <w:multiLevelType w:val="hybridMultilevel"/>
    <w:tmpl w:val="D748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sswepp0h5vppieaaw0xrvrfvdd2905dva95&quot;&gt;UCD Endnote Library - Current&lt;record-ids&gt;&lt;item&gt;1296&lt;/item&gt;&lt;item&gt;1345&lt;/item&gt;&lt;item&gt;1514&lt;/item&gt;&lt;item&gt;1804&lt;/item&gt;&lt;item&gt;1816&lt;/item&gt;&lt;item&gt;1817&lt;/item&gt;&lt;item&gt;1818&lt;/item&gt;&lt;item&gt;1819&lt;/item&gt;&lt;item&gt;1820&lt;/item&gt;&lt;item&gt;1821&lt;/item&gt;&lt;item&gt;1822&lt;/item&gt;&lt;item&gt;1823&lt;/item&gt;&lt;item&gt;1826&lt;/item&gt;&lt;item&gt;1827&lt;/item&gt;&lt;item&gt;1834&lt;/item&gt;&lt;item&gt;1844&lt;/item&gt;&lt;item&gt;1981&lt;/item&gt;&lt;item&gt;1982&lt;/item&gt;&lt;item&gt;2125&lt;/item&gt;&lt;item&gt;2126&lt;/item&gt;&lt;/record-ids&gt;&lt;/item&gt;&lt;/Libraries&gt;"/>
  </w:docVars>
  <w:rsids>
    <w:rsidRoot w:val="007C182E"/>
    <w:rsid w:val="0000722C"/>
    <w:rsid w:val="00020173"/>
    <w:rsid w:val="0002253C"/>
    <w:rsid w:val="0002626D"/>
    <w:rsid w:val="00030379"/>
    <w:rsid w:val="00033346"/>
    <w:rsid w:val="00034826"/>
    <w:rsid w:val="00034B56"/>
    <w:rsid w:val="00035691"/>
    <w:rsid w:val="00035F91"/>
    <w:rsid w:val="00050782"/>
    <w:rsid w:val="00053D31"/>
    <w:rsid w:val="00060D75"/>
    <w:rsid w:val="0006301A"/>
    <w:rsid w:val="00066CB3"/>
    <w:rsid w:val="00076C74"/>
    <w:rsid w:val="0008000A"/>
    <w:rsid w:val="00081110"/>
    <w:rsid w:val="00081990"/>
    <w:rsid w:val="00083728"/>
    <w:rsid w:val="000846E1"/>
    <w:rsid w:val="000859D9"/>
    <w:rsid w:val="00085CB8"/>
    <w:rsid w:val="000876FF"/>
    <w:rsid w:val="000927AD"/>
    <w:rsid w:val="00094F2B"/>
    <w:rsid w:val="000A18D1"/>
    <w:rsid w:val="000A473B"/>
    <w:rsid w:val="000B0D56"/>
    <w:rsid w:val="000B0DAE"/>
    <w:rsid w:val="000D658F"/>
    <w:rsid w:val="000D72F4"/>
    <w:rsid w:val="000E7A47"/>
    <w:rsid w:val="000F1F31"/>
    <w:rsid w:val="000F4978"/>
    <w:rsid w:val="000F51B6"/>
    <w:rsid w:val="000F6ACD"/>
    <w:rsid w:val="00100BC4"/>
    <w:rsid w:val="0010362B"/>
    <w:rsid w:val="00103D89"/>
    <w:rsid w:val="00104036"/>
    <w:rsid w:val="00104B88"/>
    <w:rsid w:val="00105107"/>
    <w:rsid w:val="00106CC5"/>
    <w:rsid w:val="00106D95"/>
    <w:rsid w:val="001074F3"/>
    <w:rsid w:val="00115415"/>
    <w:rsid w:val="0011651E"/>
    <w:rsid w:val="00120ECD"/>
    <w:rsid w:val="00124977"/>
    <w:rsid w:val="0012629A"/>
    <w:rsid w:val="00140F43"/>
    <w:rsid w:val="00156449"/>
    <w:rsid w:val="00165DD9"/>
    <w:rsid w:val="00170199"/>
    <w:rsid w:val="001703D6"/>
    <w:rsid w:val="00170E55"/>
    <w:rsid w:val="00176887"/>
    <w:rsid w:val="00181355"/>
    <w:rsid w:val="00183416"/>
    <w:rsid w:val="001858E6"/>
    <w:rsid w:val="001901F2"/>
    <w:rsid w:val="0019289A"/>
    <w:rsid w:val="00193BB6"/>
    <w:rsid w:val="001966CE"/>
    <w:rsid w:val="001C018E"/>
    <w:rsid w:val="001C22B5"/>
    <w:rsid w:val="001C288A"/>
    <w:rsid w:val="001C79A1"/>
    <w:rsid w:val="001D08D7"/>
    <w:rsid w:val="001E1F34"/>
    <w:rsid w:val="001E632F"/>
    <w:rsid w:val="001E7ACD"/>
    <w:rsid w:val="001F4660"/>
    <w:rsid w:val="0020093D"/>
    <w:rsid w:val="002010DD"/>
    <w:rsid w:val="002136A1"/>
    <w:rsid w:val="00214236"/>
    <w:rsid w:val="00214CCB"/>
    <w:rsid w:val="0021572A"/>
    <w:rsid w:val="002162EC"/>
    <w:rsid w:val="00220A51"/>
    <w:rsid w:val="00220AB6"/>
    <w:rsid w:val="00223C5E"/>
    <w:rsid w:val="00225F0D"/>
    <w:rsid w:val="0023156A"/>
    <w:rsid w:val="002366D3"/>
    <w:rsid w:val="00237C05"/>
    <w:rsid w:val="00246EC2"/>
    <w:rsid w:val="00255324"/>
    <w:rsid w:val="002570D3"/>
    <w:rsid w:val="002713CC"/>
    <w:rsid w:val="00272CE3"/>
    <w:rsid w:val="00272F72"/>
    <w:rsid w:val="002775C4"/>
    <w:rsid w:val="002805B0"/>
    <w:rsid w:val="00282646"/>
    <w:rsid w:val="002841A5"/>
    <w:rsid w:val="0028424A"/>
    <w:rsid w:val="002878A2"/>
    <w:rsid w:val="002951D1"/>
    <w:rsid w:val="00296E05"/>
    <w:rsid w:val="002970F7"/>
    <w:rsid w:val="002A1F3D"/>
    <w:rsid w:val="002A3F6E"/>
    <w:rsid w:val="002B3C07"/>
    <w:rsid w:val="002B4E69"/>
    <w:rsid w:val="002B6E06"/>
    <w:rsid w:val="002B7D41"/>
    <w:rsid w:val="002C0DE6"/>
    <w:rsid w:val="002C1FD7"/>
    <w:rsid w:val="002C64BF"/>
    <w:rsid w:val="002D1239"/>
    <w:rsid w:val="002D415E"/>
    <w:rsid w:val="002D5B03"/>
    <w:rsid w:val="002D7A14"/>
    <w:rsid w:val="002E0891"/>
    <w:rsid w:val="002E3559"/>
    <w:rsid w:val="002E6D1A"/>
    <w:rsid w:val="002F2C81"/>
    <w:rsid w:val="002F392A"/>
    <w:rsid w:val="0030210F"/>
    <w:rsid w:val="0030437C"/>
    <w:rsid w:val="0030581C"/>
    <w:rsid w:val="00307654"/>
    <w:rsid w:val="00316A8B"/>
    <w:rsid w:val="00317098"/>
    <w:rsid w:val="0032319A"/>
    <w:rsid w:val="0032374B"/>
    <w:rsid w:val="0032655E"/>
    <w:rsid w:val="00331F48"/>
    <w:rsid w:val="003329A1"/>
    <w:rsid w:val="00333792"/>
    <w:rsid w:val="00335E5F"/>
    <w:rsid w:val="003438A2"/>
    <w:rsid w:val="00357EE7"/>
    <w:rsid w:val="00361F6D"/>
    <w:rsid w:val="00367978"/>
    <w:rsid w:val="00373958"/>
    <w:rsid w:val="0037514C"/>
    <w:rsid w:val="00375AE4"/>
    <w:rsid w:val="00382F90"/>
    <w:rsid w:val="00397E42"/>
    <w:rsid w:val="003A28F1"/>
    <w:rsid w:val="003A4BAA"/>
    <w:rsid w:val="003A53CD"/>
    <w:rsid w:val="003A68D6"/>
    <w:rsid w:val="003A6B6A"/>
    <w:rsid w:val="003B37BC"/>
    <w:rsid w:val="003B46C2"/>
    <w:rsid w:val="003C24F0"/>
    <w:rsid w:val="003D774F"/>
    <w:rsid w:val="003E1631"/>
    <w:rsid w:val="003E3A75"/>
    <w:rsid w:val="003E3AF6"/>
    <w:rsid w:val="003F64F9"/>
    <w:rsid w:val="003F7112"/>
    <w:rsid w:val="003F7B43"/>
    <w:rsid w:val="0040140B"/>
    <w:rsid w:val="004037BC"/>
    <w:rsid w:val="00413008"/>
    <w:rsid w:val="004152CE"/>
    <w:rsid w:val="004175DA"/>
    <w:rsid w:val="0042048E"/>
    <w:rsid w:val="00422AD0"/>
    <w:rsid w:val="004378CC"/>
    <w:rsid w:val="0044090E"/>
    <w:rsid w:val="004425CA"/>
    <w:rsid w:val="004446E0"/>
    <w:rsid w:val="00445755"/>
    <w:rsid w:val="004539E9"/>
    <w:rsid w:val="00460404"/>
    <w:rsid w:val="00461738"/>
    <w:rsid w:val="00462236"/>
    <w:rsid w:val="004630E0"/>
    <w:rsid w:val="0046521A"/>
    <w:rsid w:val="0047081E"/>
    <w:rsid w:val="00471BDA"/>
    <w:rsid w:val="00473341"/>
    <w:rsid w:val="00475186"/>
    <w:rsid w:val="00480833"/>
    <w:rsid w:val="00487E4E"/>
    <w:rsid w:val="004902CD"/>
    <w:rsid w:val="00491AE2"/>
    <w:rsid w:val="00493E7D"/>
    <w:rsid w:val="00495072"/>
    <w:rsid w:val="004A02D4"/>
    <w:rsid w:val="004A15A7"/>
    <w:rsid w:val="004A34D6"/>
    <w:rsid w:val="004B7367"/>
    <w:rsid w:val="004C279C"/>
    <w:rsid w:val="004D271D"/>
    <w:rsid w:val="004D3FC8"/>
    <w:rsid w:val="004D756B"/>
    <w:rsid w:val="004E729C"/>
    <w:rsid w:val="004F0405"/>
    <w:rsid w:val="004F38A4"/>
    <w:rsid w:val="004F5AB8"/>
    <w:rsid w:val="004F609E"/>
    <w:rsid w:val="00502461"/>
    <w:rsid w:val="005025CE"/>
    <w:rsid w:val="005034B8"/>
    <w:rsid w:val="00506103"/>
    <w:rsid w:val="00507B3C"/>
    <w:rsid w:val="00507B76"/>
    <w:rsid w:val="00512C13"/>
    <w:rsid w:val="00513D9B"/>
    <w:rsid w:val="0052434C"/>
    <w:rsid w:val="0052520B"/>
    <w:rsid w:val="00536AB8"/>
    <w:rsid w:val="00542C89"/>
    <w:rsid w:val="00551FEC"/>
    <w:rsid w:val="00552913"/>
    <w:rsid w:val="00555013"/>
    <w:rsid w:val="0056518A"/>
    <w:rsid w:val="00567E86"/>
    <w:rsid w:val="00572A67"/>
    <w:rsid w:val="005835B6"/>
    <w:rsid w:val="00585C61"/>
    <w:rsid w:val="00590F8B"/>
    <w:rsid w:val="0059236C"/>
    <w:rsid w:val="0059295F"/>
    <w:rsid w:val="00596402"/>
    <w:rsid w:val="00596671"/>
    <w:rsid w:val="005A039F"/>
    <w:rsid w:val="005A167E"/>
    <w:rsid w:val="005A1BB2"/>
    <w:rsid w:val="005B1677"/>
    <w:rsid w:val="005B2AE7"/>
    <w:rsid w:val="005B37FB"/>
    <w:rsid w:val="005B45C9"/>
    <w:rsid w:val="005C173C"/>
    <w:rsid w:val="005C45E6"/>
    <w:rsid w:val="005C6E01"/>
    <w:rsid w:val="005D1C54"/>
    <w:rsid w:val="005D735F"/>
    <w:rsid w:val="005E211D"/>
    <w:rsid w:val="005E38D5"/>
    <w:rsid w:val="005F2104"/>
    <w:rsid w:val="005F2CC9"/>
    <w:rsid w:val="005F4E8C"/>
    <w:rsid w:val="005F5566"/>
    <w:rsid w:val="005F77F6"/>
    <w:rsid w:val="0060157A"/>
    <w:rsid w:val="00603953"/>
    <w:rsid w:val="00606F62"/>
    <w:rsid w:val="0060765E"/>
    <w:rsid w:val="00610D3E"/>
    <w:rsid w:val="006201AF"/>
    <w:rsid w:val="00623565"/>
    <w:rsid w:val="006245D3"/>
    <w:rsid w:val="00625C7B"/>
    <w:rsid w:val="00627FF2"/>
    <w:rsid w:val="0063042C"/>
    <w:rsid w:val="0063406C"/>
    <w:rsid w:val="006405E6"/>
    <w:rsid w:val="006439E6"/>
    <w:rsid w:val="006536DD"/>
    <w:rsid w:val="00657CD8"/>
    <w:rsid w:val="00662EC9"/>
    <w:rsid w:val="00664C00"/>
    <w:rsid w:val="006706D2"/>
    <w:rsid w:val="006809BE"/>
    <w:rsid w:val="00680DAC"/>
    <w:rsid w:val="00681E18"/>
    <w:rsid w:val="0068418F"/>
    <w:rsid w:val="0068431F"/>
    <w:rsid w:val="0068459B"/>
    <w:rsid w:val="006920DA"/>
    <w:rsid w:val="0069552D"/>
    <w:rsid w:val="00697742"/>
    <w:rsid w:val="00697FB0"/>
    <w:rsid w:val="006A70C1"/>
    <w:rsid w:val="006B08E7"/>
    <w:rsid w:val="006B307B"/>
    <w:rsid w:val="006C10FF"/>
    <w:rsid w:val="006C13BA"/>
    <w:rsid w:val="006C22CE"/>
    <w:rsid w:val="006C23DE"/>
    <w:rsid w:val="006C2CB6"/>
    <w:rsid w:val="006C4AE6"/>
    <w:rsid w:val="006D327E"/>
    <w:rsid w:val="006D43C7"/>
    <w:rsid w:val="006D7396"/>
    <w:rsid w:val="006D791C"/>
    <w:rsid w:val="006E0AC0"/>
    <w:rsid w:val="006E4B58"/>
    <w:rsid w:val="00702DAA"/>
    <w:rsid w:val="00705A67"/>
    <w:rsid w:val="007073C1"/>
    <w:rsid w:val="00710C7E"/>
    <w:rsid w:val="00713288"/>
    <w:rsid w:val="0071354D"/>
    <w:rsid w:val="0071507F"/>
    <w:rsid w:val="0071524B"/>
    <w:rsid w:val="00716E15"/>
    <w:rsid w:val="00721316"/>
    <w:rsid w:val="00722301"/>
    <w:rsid w:val="007346CE"/>
    <w:rsid w:val="00740EFE"/>
    <w:rsid w:val="00742025"/>
    <w:rsid w:val="0074382E"/>
    <w:rsid w:val="00746A32"/>
    <w:rsid w:val="00751AB7"/>
    <w:rsid w:val="00756908"/>
    <w:rsid w:val="007570D9"/>
    <w:rsid w:val="007652B1"/>
    <w:rsid w:val="0076544D"/>
    <w:rsid w:val="00766022"/>
    <w:rsid w:val="00774F6A"/>
    <w:rsid w:val="007769E1"/>
    <w:rsid w:val="00777606"/>
    <w:rsid w:val="0078063D"/>
    <w:rsid w:val="007829A6"/>
    <w:rsid w:val="007842C3"/>
    <w:rsid w:val="00785213"/>
    <w:rsid w:val="00785C41"/>
    <w:rsid w:val="007916BA"/>
    <w:rsid w:val="007973AA"/>
    <w:rsid w:val="0079742E"/>
    <w:rsid w:val="007A0312"/>
    <w:rsid w:val="007A1825"/>
    <w:rsid w:val="007A46BD"/>
    <w:rsid w:val="007B52CB"/>
    <w:rsid w:val="007C182E"/>
    <w:rsid w:val="007D109D"/>
    <w:rsid w:val="007D4E55"/>
    <w:rsid w:val="007E1D14"/>
    <w:rsid w:val="007E4B67"/>
    <w:rsid w:val="007F3BB2"/>
    <w:rsid w:val="007F3F77"/>
    <w:rsid w:val="00804601"/>
    <w:rsid w:val="00810F96"/>
    <w:rsid w:val="00826DFB"/>
    <w:rsid w:val="00832BA2"/>
    <w:rsid w:val="00836A98"/>
    <w:rsid w:val="008417AA"/>
    <w:rsid w:val="00851190"/>
    <w:rsid w:val="00856B24"/>
    <w:rsid w:val="008614BD"/>
    <w:rsid w:val="0086515B"/>
    <w:rsid w:val="00865AD8"/>
    <w:rsid w:val="008676CD"/>
    <w:rsid w:val="008705A8"/>
    <w:rsid w:val="00871DA1"/>
    <w:rsid w:val="0087589F"/>
    <w:rsid w:val="008821FF"/>
    <w:rsid w:val="00882A07"/>
    <w:rsid w:val="00890267"/>
    <w:rsid w:val="008959E4"/>
    <w:rsid w:val="00896C6E"/>
    <w:rsid w:val="008B4202"/>
    <w:rsid w:val="008D129C"/>
    <w:rsid w:val="008D2108"/>
    <w:rsid w:val="008D437B"/>
    <w:rsid w:val="008D6036"/>
    <w:rsid w:val="008E0314"/>
    <w:rsid w:val="008E237B"/>
    <w:rsid w:val="008E562A"/>
    <w:rsid w:val="008F1B27"/>
    <w:rsid w:val="008F7412"/>
    <w:rsid w:val="009025C5"/>
    <w:rsid w:val="009103A2"/>
    <w:rsid w:val="009107E8"/>
    <w:rsid w:val="00915D19"/>
    <w:rsid w:val="009337B0"/>
    <w:rsid w:val="0093457C"/>
    <w:rsid w:val="00941FCE"/>
    <w:rsid w:val="00944AFF"/>
    <w:rsid w:val="009456FF"/>
    <w:rsid w:val="0094747B"/>
    <w:rsid w:val="00952143"/>
    <w:rsid w:val="009615B8"/>
    <w:rsid w:val="00962396"/>
    <w:rsid w:val="00964981"/>
    <w:rsid w:val="009774B6"/>
    <w:rsid w:val="00980BD6"/>
    <w:rsid w:val="009840A4"/>
    <w:rsid w:val="009872AC"/>
    <w:rsid w:val="00991E1F"/>
    <w:rsid w:val="00992E40"/>
    <w:rsid w:val="009A37D8"/>
    <w:rsid w:val="009A486D"/>
    <w:rsid w:val="009A4A2A"/>
    <w:rsid w:val="009A5E95"/>
    <w:rsid w:val="009A614A"/>
    <w:rsid w:val="009C2E73"/>
    <w:rsid w:val="009C3946"/>
    <w:rsid w:val="009D710E"/>
    <w:rsid w:val="009E432F"/>
    <w:rsid w:val="009E7171"/>
    <w:rsid w:val="009F141A"/>
    <w:rsid w:val="009F309F"/>
    <w:rsid w:val="00A140DC"/>
    <w:rsid w:val="00A1573B"/>
    <w:rsid w:val="00A1782B"/>
    <w:rsid w:val="00A23222"/>
    <w:rsid w:val="00A23D00"/>
    <w:rsid w:val="00A247E0"/>
    <w:rsid w:val="00A251F1"/>
    <w:rsid w:val="00A313C3"/>
    <w:rsid w:val="00A31877"/>
    <w:rsid w:val="00A4498F"/>
    <w:rsid w:val="00A520A6"/>
    <w:rsid w:val="00A6407F"/>
    <w:rsid w:val="00A6409F"/>
    <w:rsid w:val="00A73330"/>
    <w:rsid w:val="00A828A8"/>
    <w:rsid w:val="00A85B2F"/>
    <w:rsid w:val="00A85DC6"/>
    <w:rsid w:val="00A91126"/>
    <w:rsid w:val="00A924BA"/>
    <w:rsid w:val="00A93C1D"/>
    <w:rsid w:val="00A948DE"/>
    <w:rsid w:val="00A97DC6"/>
    <w:rsid w:val="00AA37EB"/>
    <w:rsid w:val="00AA3BEA"/>
    <w:rsid w:val="00AA4558"/>
    <w:rsid w:val="00AA5EC6"/>
    <w:rsid w:val="00AA7A98"/>
    <w:rsid w:val="00AB012C"/>
    <w:rsid w:val="00AB439B"/>
    <w:rsid w:val="00AC0FA5"/>
    <w:rsid w:val="00AD06DF"/>
    <w:rsid w:val="00AD4BBD"/>
    <w:rsid w:val="00AD56FC"/>
    <w:rsid w:val="00AD67EB"/>
    <w:rsid w:val="00B021F0"/>
    <w:rsid w:val="00B0323D"/>
    <w:rsid w:val="00B05BB6"/>
    <w:rsid w:val="00B075EA"/>
    <w:rsid w:val="00B17941"/>
    <w:rsid w:val="00B2064A"/>
    <w:rsid w:val="00B20B52"/>
    <w:rsid w:val="00B24185"/>
    <w:rsid w:val="00B32F83"/>
    <w:rsid w:val="00B345BE"/>
    <w:rsid w:val="00B477A2"/>
    <w:rsid w:val="00B47D18"/>
    <w:rsid w:val="00B52312"/>
    <w:rsid w:val="00B52890"/>
    <w:rsid w:val="00B55992"/>
    <w:rsid w:val="00B5670C"/>
    <w:rsid w:val="00B64B09"/>
    <w:rsid w:val="00B64C93"/>
    <w:rsid w:val="00B71676"/>
    <w:rsid w:val="00B71BFC"/>
    <w:rsid w:val="00B720C9"/>
    <w:rsid w:val="00B72818"/>
    <w:rsid w:val="00B82FF6"/>
    <w:rsid w:val="00B840F5"/>
    <w:rsid w:val="00B863E0"/>
    <w:rsid w:val="00B86E27"/>
    <w:rsid w:val="00B973C9"/>
    <w:rsid w:val="00B97547"/>
    <w:rsid w:val="00BA0B16"/>
    <w:rsid w:val="00BA3599"/>
    <w:rsid w:val="00BB018E"/>
    <w:rsid w:val="00BB33D8"/>
    <w:rsid w:val="00BC5DC7"/>
    <w:rsid w:val="00BC7621"/>
    <w:rsid w:val="00BD3546"/>
    <w:rsid w:val="00BD3C33"/>
    <w:rsid w:val="00BD5CD4"/>
    <w:rsid w:val="00BF1CC9"/>
    <w:rsid w:val="00BF2485"/>
    <w:rsid w:val="00BF2AE3"/>
    <w:rsid w:val="00BF2FF2"/>
    <w:rsid w:val="00C000A4"/>
    <w:rsid w:val="00C02612"/>
    <w:rsid w:val="00C05BEF"/>
    <w:rsid w:val="00C07605"/>
    <w:rsid w:val="00C07ADA"/>
    <w:rsid w:val="00C1166F"/>
    <w:rsid w:val="00C17D1A"/>
    <w:rsid w:val="00C21A45"/>
    <w:rsid w:val="00C32932"/>
    <w:rsid w:val="00C34A2B"/>
    <w:rsid w:val="00C40E85"/>
    <w:rsid w:val="00C410B4"/>
    <w:rsid w:val="00C4311A"/>
    <w:rsid w:val="00C44BF7"/>
    <w:rsid w:val="00C46E30"/>
    <w:rsid w:val="00C52843"/>
    <w:rsid w:val="00C57A6D"/>
    <w:rsid w:val="00C62EC6"/>
    <w:rsid w:val="00C63692"/>
    <w:rsid w:val="00C65145"/>
    <w:rsid w:val="00C665C5"/>
    <w:rsid w:val="00C66A37"/>
    <w:rsid w:val="00C705F4"/>
    <w:rsid w:val="00C72075"/>
    <w:rsid w:val="00C82C15"/>
    <w:rsid w:val="00C9565F"/>
    <w:rsid w:val="00CA0602"/>
    <w:rsid w:val="00CA2C72"/>
    <w:rsid w:val="00CB039B"/>
    <w:rsid w:val="00CB1572"/>
    <w:rsid w:val="00CB17C7"/>
    <w:rsid w:val="00CB3B8F"/>
    <w:rsid w:val="00CC0A0A"/>
    <w:rsid w:val="00CC42E7"/>
    <w:rsid w:val="00CC5D5C"/>
    <w:rsid w:val="00CC628E"/>
    <w:rsid w:val="00CD3BCB"/>
    <w:rsid w:val="00CD7F13"/>
    <w:rsid w:val="00CE2955"/>
    <w:rsid w:val="00CE30AD"/>
    <w:rsid w:val="00CE3311"/>
    <w:rsid w:val="00CF04B4"/>
    <w:rsid w:val="00CF1441"/>
    <w:rsid w:val="00CF218C"/>
    <w:rsid w:val="00CF2FF7"/>
    <w:rsid w:val="00CF356E"/>
    <w:rsid w:val="00CF3FE3"/>
    <w:rsid w:val="00CF4DB6"/>
    <w:rsid w:val="00D011F0"/>
    <w:rsid w:val="00D02148"/>
    <w:rsid w:val="00D02FAC"/>
    <w:rsid w:val="00D03E27"/>
    <w:rsid w:val="00D053BD"/>
    <w:rsid w:val="00D060C5"/>
    <w:rsid w:val="00D10649"/>
    <w:rsid w:val="00D11EF4"/>
    <w:rsid w:val="00D14EF0"/>
    <w:rsid w:val="00D15290"/>
    <w:rsid w:val="00D229B1"/>
    <w:rsid w:val="00D22B1F"/>
    <w:rsid w:val="00D22BFF"/>
    <w:rsid w:val="00D24BF2"/>
    <w:rsid w:val="00D264FA"/>
    <w:rsid w:val="00D277A2"/>
    <w:rsid w:val="00D301B3"/>
    <w:rsid w:val="00D30442"/>
    <w:rsid w:val="00D36AA7"/>
    <w:rsid w:val="00D4175F"/>
    <w:rsid w:val="00D43ADC"/>
    <w:rsid w:val="00D4574A"/>
    <w:rsid w:val="00D46AE4"/>
    <w:rsid w:val="00D5101E"/>
    <w:rsid w:val="00D51CFD"/>
    <w:rsid w:val="00D568A3"/>
    <w:rsid w:val="00D57DB4"/>
    <w:rsid w:val="00D60042"/>
    <w:rsid w:val="00D62F62"/>
    <w:rsid w:val="00D62F8D"/>
    <w:rsid w:val="00D63028"/>
    <w:rsid w:val="00D727B7"/>
    <w:rsid w:val="00DA2C42"/>
    <w:rsid w:val="00DA2FBE"/>
    <w:rsid w:val="00DA32DB"/>
    <w:rsid w:val="00DA3A01"/>
    <w:rsid w:val="00DA4104"/>
    <w:rsid w:val="00DB2B23"/>
    <w:rsid w:val="00DB78A9"/>
    <w:rsid w:val="00DB7EBE"/>
    <w:rsid w:val="00DC00D0"/>
    <w:rsid w:val="00DC0F7C"/>
    <w:rsid w:val="00DC2CF4"/>
    <w:rsid w:val="00DC325C"/>
    <w:rsid w:val="00DC32C3"/>
    <w:rsid w:val="00DC37D0"/>
    <w:rsid w:val="00DC6001"/>
    <w:rsid w:val="00DD3307"/>
    <w:rsid w:val="00DD6A37"/>
    <w:rsid w:val="00DE12C9"/>
    <w:rsid w:val="00DE2F18"/>
    <w:rsid w:val="00DE3CC9"/>
    <w:rsid w:val="00DE409A"/>
    <w:rsid w:val="00DF3119"/>
    <w:rsid w:val="00DF4052"/>
    <w:rsid w:val="00DF4459"/>
    <w:rsid w:val="00DF5BEF"/>
    <w:rsid w:val="00DF69B7"/>
    <w:rsid w:val="00DF6BDD"/>
    <w:rsid w:val="00E022E5"/>
    <w:rsid w:val="00E034D3"/>
    <w:rsid w:val="00E0763B"/>
    <w:rsid w:val="00E07F03"/>
    <w:rsid w:val="00E157A8"/>
    <w:rsid w:val="00E20A7F"/>
    <w:rsid w:val="00E264E7"/>
    <w:rsid w:val="00E3084A"/>
    <w:rsid w:val="00E32D78"/>
    <w:rsid w:val="00E47A49"/>
    <w:rsid w:val="00E546E6"/>
    <w:rsid w:val="00E55DBC"/>
    <w:rsid w:val="00E55F77"/>
    <w:rsid w:val="00E56F5F"/>
    <w:rsid w:val="00E63FF2"/>
    <w:rsid w:val="00E65F7A"/>
    <w:rsid w:val="00E65FD3"/>
    <w:rsid w:val="00E72B1B"/>
    <w:rsid w:val="00E813D3"/>
    <w:rsid w:val="00E85372"/>
    <w:rsid w:val="00E85F47"/>
    <w:rsid w:val="00E86138"/>
    <w:rsid w:val="00E97269"/>
    <w:rsid w:val="00EA1019"/>
    <w:rsid w:val="00EA21C1"/>
    <w:rsid w:val="00EB70BB"/>
    <w:rsid w:val="00EC054E"/>
    <w:rsid w:val="00EC252A"/>
    <w:rsid w:val="00EC7654"/>
    <w:rsid w:val="00ED0447"/>
    <w:rsid w:val="00ED17F9"/>
    <w:rsid w:val="00EE2A82"/>
    <w:rsid w:val="00EE4231"/>
    <w:rsid w:val="00F044DA"/>
    <w:rsid w:val="00F04775"/>
    <w:rsid w:val="00F049FF"/>
    <w:rsid w:val="00F15825"/>
    <w:rsid w:val="00F16279"/>
    <w:rsid w:val="00F20D34"/>
    <w:rsid w:val="00F216B4"/>
    <w:rsid w:val="00F22ACD"/>
    <w:rsid w:val="00F23777"/>
    <w:rsid w:val="00F2447A"/>
    <w:rsid w:val="00F2705E"/>
    <w:rsid w:val="00F27E65"/>
    <w:rsid w:val="00F41008"/>
    <w:rsid w:val="00F4207D"/>
    <w:rsid w:val="00F43D35"/>
    <w:rsid w:val="00F4460B"/>
    <w:rsid w:val="00F46B07"/>
    <w:rsid w:val="00F479F8"/>
    <w:rsid w:val="00F509CC"/>
    <w:rsid w:val="00F52940"/>
    <w:rsid w:val="00F55F23"/>
    <w:rsid w:val="00F62CFB"/>
    <w:rsid w:val="00F72A74"/>
    <w:rsid w:val="00F734F6"/>
    <w:rsid w:val="00F768E4"/>
    <w:rsid w:val="00F76E81"/>
    <w:rsid w:val="00F84AA1"/>
    <w:rsid w:val="00F84DE1"/>
    <w:rsid w:val="00F865B5"/>
    <w:rsid w:val="00F90DD8"/>
    <w:rsid w:val="00F95BA5"/>
    <w:rsid w:val="00F96F5B"/>
    <w:rsid w:val="00FA2F60"/>
    <w:rsid w:val="00FA72CA"/>
    <w:rsid w:val="00FB0251"/>
    <w:rsid w:val="00FB048F"/>
    <w:rsid w:val="00FC1C24"/>
    <w:rsid w:val="00FC20B9"/>
    <w:rsid w:val="00FC447A"/>
    <w:rsid w:val="00FC7429"/>
    <w:rsid w:val="00FE2579"/>
    <w:rsid w:val="00FE2BC2"/>
    <w:rsid w:val="00FE6B5F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C20B9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link w:val="EndNoteBibliographyTitle"/>
    <w:rsid w:val="00FC20B9"/>
    <w:rPr>
      <w:rFonts w:ascii="Arial" w:hAnsi="Arial" w:cs="Arial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FC20B9"/>
    <w:pPr>
      <w:spacing w:line="24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link w:val="EndNoteBibliography"/>
    <w:rsid w:val="00FC20B9"/>
    <w:rPr>
      <w:rFonts w:ascii="Arial" w:hAnsi="Arial" w:cs="Arial"/>
      <w:noProof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373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958"/>
  </w:style>
  <w:style w:type="paragraph" w:styleId="Footer">
    <w:name w:val="footer"/>
    <w:basedOn w:val="Normal"/>
    <w:link w:val="FooterChar"/>
    <w:uiPriority w:val="99"/>
    <w:unhideWhenUsed/>
    <w:rsid w:val="00373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58"/>
  </w:style>
  <w:style w:type="table" w:styleId="TableGrid">
    <w:name w:val="Table Grid"/>
    <w:basedOn w:val="TableNormal"/>
    <w:uiPriority w:val="39"/>
    <w:rsid w:val="00B9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7E4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C2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22C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D77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E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7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F6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296E05"/>
    <w:rPr>
      <w:sz w:val="22"/>
      <w:szCs w:val="22"/>
    </w:rPr>
  </w:style>
  <w:style w:type="paragraph" w:customStyle="1" w:styleId="Default">
    <w:name w:val="Default"/>
    <w:rsid w:val="00E72B1B"/>
    <w:pPr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72B1B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72B1B"/>
    <w:rPr>
      <w:rFonts w:cs="Gotham"/>
      <w:color w:val="000000"/>
      <w:sz w:val="20"/>
      <w:szCs w:val="20"/>
    </w:rPr>
  </w:style>
  <w:style w:type="character" w:styleId="Hyperlink">
    <w:name w:val="Hyperlink"/>
    <w:uiPriority w:val="99"/>
    <w:unhideWhenUsed/>
    <w:rsid w:val="00E0763B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3F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3FF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C20B9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link w:val="EndNoteBibliographyTitle"/>
    <w:rsid w:val="00FC20B9"/>
    <w:rPr>
      <w:rFonts w:ascii="Arial" w:hAnsi="Arial" w:cs="Arial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FC20B9"/>
    <w:pPr>
      <w:spacing w:line="24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link w:val="EndNoteBibliography"/>
    <w:rsid w:val="00FC20B9"/>
    <w:rPr>
      <w:rFonts w:ascii="Arial" w:hAnsi="Arial" w:cs="Arial"/>
      <w:noProof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373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958"/>
  </w:style>
  <w:style w:type="paragraph" w:styleId="Footer">
    <w:name w:val="footer"/>
    <w:basedOn w:val="Normal"/>
    <w:link w:val="FooterChar"/>
    <w:uiPriority w:val="99"/>
    <w:unhideWhenUsed/>
    <w:rsid w:val="00373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58"/>
  </w:style>
  <w:style w:type="table" w:styleId="TableGrid">
    <w:name w:val="Table Grid"/>
    <w:basedOn w:val="TableNormal"/>
    <w:uiPriority w:val="39"/>
    <w:rsid w:val="00B9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7E4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C2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22C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D77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E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7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F6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296E05"/>
    <w:rPr>
      <w:sz w:val="22"/>
      <w:szCs w:val="22"/>
    </w:rPr>
  </w:style>
  <w:style w:type="paragraph" w:customStyle="1" w:styleId="Default">
    <w:name w:val="Default"/>
    <w:rsid w:val="00E72B1B"/>
    <w:pPr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72B1B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72B1B"/>
    <w:rPr>
      <w:rFonts w:cs="Gotham"/>
      <w:color w:val="000000"/>
      <w:sz w:val="20"/>
      <w:szCs w:val="20"/>
    </w:rPr>
  </w:style>
  <w:style w:type="character" w:styleId="Hyperlink">
    <w:name w:val="Hyperlink"/>
    <w:uiPriority w:val="99"/>
    <w:unhideWhenUsed/>
    <w:rsid w:val="00E0763B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3F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3F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795EA-EFB4-4DF2-B5CC-A7DDE77C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 Sauder</dc:creator>
  <cp:keywords/>
  <cp:lastModifiedBy>ccatubig</cp:lastModifiedBy>
  <cp:revision>3</cp:revision>
  <cp:lastPrinted>2018-01-20T15:08:00Z</cp:lastPrinted>
  <dcterms:created xsi:type="dcterms:W3CDTF">2018-09-14T20:38:00Z</dcterms:created>
  <dcterms:modified xsi:type="dcterms:W3CDTF">2018-11-07T10:41:00Z</dcterms:modified>
</cp:coreProperties>
</file>