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C3" w:rsidRDefault="004111C3" w:rsidP="0000362A">
      <w:pPr>
        <w:pStyle w:val="Default"/>
        <w:spacing w:line="360" w:lineRule="auto"/>
        <w:jc w:val="both"/>
        <w:rPr>
          <w:rFonts w:asciiTheme="minorHAnsi" w:hAnsiTheme="minorHAnsi" w:cs="Arial"/>
          <w:b/>
          <w:sz w:val="22"/>
          <w:szCs w:val="22"/>
        </w:rPr>
      </w:pPr>
      <w:r>
        <w:rPr>
          <w:rFonts w:asciiTheme="minorHAnsi" w:hAnsiTheme="minorHAnsi" w:cs="Arial"/>
          <w:b/>
          <w:sz w:val="22"/>
          <w:szCs w:val="22"/>
        </w:rPr>
        <w:t>Supplementary figure captions:</w:t>
      </w:r>
    </w:p>
    <w:p w:rsidR="004111C3" w:rsidRDefault="004111C3" w:rsidP="0000362A">
      <w:pPr>
        <w:pStyle w:val="Default"/>
        <w:spacing w:line="360" w:lineRule="auto"/>
        <w:jc w:val="both"/>
        <w:rPr>
          <w:rFonts w:asciiTheme="minorHAnsi" w:hAnsiTheme="minorHAnsi" w:cs="Arial"/>
          <w:b/>
          <w:sz w:val="22"/>
          <w:szCs w:val="22"/>
        </w:rPr>
      </w:pPr>
    </w:p>
    <w:p w:rsidR="0000362A" w:rsidRDefault="0000362A" w:rsidP="0000362A">
      <w:pPr>
        <w:pStyle w:val="Default"/>
        <w:spacing w:line="360" w:lineRule="auto"/>
        <w:jc w:val="both"/>
        <w:rPr>
          <w:rFonts w:asciiTheme="minorHAnsi" w:hAnsiTheme="minorHAnsi" w:cs="Arial"/>
          <w:bCs/>
          <w:sz w:val="22"/>
          <w:szCs w:val="22"/>
        </w:rPr>
      </w:pPr>
      <w:bookmarkStart w:id="0" w:name="_GoBack"/>
      <w:bookmarkEnd w:id="0"/>
      <w:r w:rsidRPr="000728E9">
        <w:rPr>
          <w:rFonts w:asciiTheme="minorHAnsi" w:hAnsiTheme="minorHAnsi" w:cs="Arial"/>
          <w:b/>
          <w:sz w:val="22"/>
          <w:szCs w:val="22"/>
        </w:rPr>
        <w:t>Figure S1</w:t>
      </w:r>
      <w:r>
        <w:rPr>
          <w:rFonts w:asciiTheme="minorHAnsi" w:hAnsiTheme="minorHAnsi" w:cs="Arial"/>
          <w:bCs/>
          <w:sz w:val="22"/>
          <w:szCs w:val="22"/>
        </w:rPr>
        <w:t xml:space="preserve">. Surveys </w:t>
      </w:r>
      <w:r w:rsidRPr="000728E9">
        <w:rPr>
          <w:rFonts w:asciiTheme="minorHAnsi" w:hAnsiTheme="minorHAnsi" w:cs="Arial"/>
          <w:bCs/>
          <w:sz w:val="22"/>
          <w:szCs w:val="22"/>
        </w:rPr>
        <w:t>included in this article grouped by income category and indicating sample sizes available for serum and RBC folate</w:t>
      </w:r>
      <w:r>
        <w:rPr>
          <w:rFonts w:asciiTheme="minorHAnsi" w:hAnsiTheme="minorHAnsi" w:cs="Arial"/>
          <w:bCs/>
          <w:sz w:val="22"/>
          <w:szCs w:val="22"/>
        </w:rPr>
        <w:t xml:space="preserve">. </w:t>
      </w:r>
      <w:r w:rsidRPr="00825C1C">
        <w:rPr>
          <w:rFonts w:asciiTheme="minorHAnsi" w:hAnsiTheme="minorHAnsi" w:cs="Arial"/>
          <w:bCs/>
          <w:sz w:val="22"/>
          <w:szCs w:val="22"/>
        </w:rPr>
        <w:t>Grey bars indicate serum</w:t>
      </w:r>
      <w:r>
        <w:rPr>
          <w:rFonts w:asciiTheme="minorHAnsi" w:hAnsiTheme="minorHAnsi" w:cs="Arial"/>
          <w:bCs/>
          <w:sz w:val="22"/>
          <w:szCs w:val="22"/>
        </w:rPr>
        <w:t>/plasma</w:t>
      </w:r>
      <w:r w:rsidRPr="00825C1C">
        <w:rPr>
          <w:rFonts w:asciiTheme="minorHAnsi" w:hAnsiTheme="minorHAnsi" w:cs="Arial"/>
          <w:bCs/>
          <w:sz w:val="22"/>
          <w:szCs w:val="22"/>
        </w:rPr>
        <w:t xml:space="preserve"> folate and black bars indicate RBC folate.</w:t>
      </w:r>
    </w:p>
    <w:p w:rsidR="004111C3" w:rsidRDefault="004111C3" w:rsidP="004111C3">
      <w:pPr>
        <w:pStyle w:val="Default"/>
        <w:spacing w:line="360" w:lineRule="auto"/>
        <w:jc w:val="both"/>
        <w:rPr>
          <w:rFonts w:asciiTheme="minorHAnsi" w:hAnsiTheme="minorHAnsi" w:cs="Arial"/>
          <w:bCs/>
          <w:sz w:val="22"/>
          <w:szCs w:val="22"/>
        </w:rPr>
      </w:pPr>
      <w:r>
        <w:rPr>
          <w:rFonts w:asciiTheme="minorHAnsi" w:hAnsiTheme="minorHAnsi" w:cs="Arial"/>
          <w:b/>
          <w:bCs/>
          <w:sz w:val="22"/>
          <w:szCs w:val="22"/>
        </w:rPr>
        <w:br/>
      </w:r>
      <w:r w:rsidR="0000362A">
        <w:rPr>
          <w:rFonts w:asciiTheme="minorHAnsi" w:hAnsiTheme="minorHAnsi" w:cs="Arial"/>
          <w:b/>
          <w:bCs/>
          <w:sz w:val="22"/>
          <w:szCs w:val="22"/>
        </w:rPr>
        <w:t>Figure S2</w:t>
      </w:r>
      <w:bookmarkStart w:id="1" w:name="_Hlk520814256"/>
      <w:r w:rsidR="0000362A">
        <w:rPr>
          <w:rFonts w:asciiTheme="minorHAnsi" w:hAnsiTheme="minorHAnsi" w:cs="Arial"/>
          <w:b/>
          <w:bCs/>
          <w:sz w:val="22"/>
          <w:szCs w:val="22"/>
        </w:rPr>
        <w:t xml:space="preserve">. </w:t>
      </w:r>
      <w:r w:rsidR="0000362A" w:rsidRPr="004B773A">
        <w:rPr>
          <w:rFonts w:asciiTheme="minorHAnsi" w:hAnsiTheme="minorHAnsi" w:cs="Arial"/>
          <w:bCs/>
          <w:sz w:val="22"/>
          <w:szCs w:val="22"/>
        </w:rPr>
        <w:t>Reported mean serum/plasma folate concentrations in women of reproductive age by survey, indicating an interpretation of the data based on the assay used in the survey relative to the CDC MBA</w:t>
      </w:r>
      <w:r w:rsidR="0000362A" w:rsidRPr="004B773A">
        <w:rPr>
          <w:rFonts w:asciiTheme="minorHAnsi" w:hAnsiTheme="minorHAnsi" w:cs="Arial"/>
          <w:bCs/>
          <w:sz w:val="22"/>
          <w:szCs w:val="22"/>
          <w:vertAlign w:val="subscript"/>
        </w:rPr>
        <w:t>C</w:t>
      </w:r>
      <w:r w:rsidR="0000362A">
        <w:rPr>
          <w:rFonts w:asciiTheme="minorHAnsi" w:hAnsiTheme="minorHAnsi" w:cs="Arial"/>
          <w:bCs/>
          <w:sz w:val="22"/>
          <w:szCs w:val="22"/>
        </w:rPr>
        <w:t xml:space="preserve">. </w:t>
      </w:r>
      <w:bookmarkEnd w:id="1"/>
      <w:r w:rsidR="0000362A" w:rsidRPr="004B773A">
        <w:rPr>
          <w:rFonts w:asciiTheme="minorHAnsi" w:hAnsiTheme="minorHAnsi" w:cs="Arial"/>
          <w:bCs/>
          <w:sz w:val="22"/>
          <w:szCs w:val="22"/>
        </w:rPr>
        <w:t xml:space="preserve">Data from one of two </w:t>
      </w:r>
      <w:r w:rsidRPr="004B773A">
        <w:rPr>
          <w:rFonts w:asciiTheme="minorHAnsi" w:hAnsiTheme="minorHAnsi" w:cs="Arial"/>
          <w:bCs/>
          <w:sz w:val="22"/>
          <w:szCs w:val="22"/>
        </w:rPr>
        <w:t>proficiency-testing</w:t>
      </w:r>
      <w:r w:rsidR="0000362A" w:rsidRPr="004B773A">
        <w:rPr>
          <w:rFonts w:asciiTheme="minorHAnsi" w:hAnsiTheme="minorHAnsi" w:cs="Arial"/>
          <w:bCs/>
          <w:sz w:val="22"/>
          <w:szCs w:val="22"/>
        </w:rPr>
        <w:t xml:space="preserve"> programs </w:t>
      </w:r>
      <w:proofErr w:type="gramStart"/>
      <w:r w:rsidR="0000362A" w:rsidRPr="004B773A">
        <w:rPr>
          <w:rFonts w:asciiTheme="minorHAnsi" w:hAnsiTheme="minorHAnsi" w:cs="Arial"/>
          <w:bCs/>
          <w:sz w:val="22"/>
          <w:szCs w:val="22"/>
        </w:rPr>
        <w:t>were used</w:t>
      </w:r>
      <w:proofErr w:type="gramEnd"/>
      <w:r w:rsidR="0000362A" w:rsidRPr="004B773A">
        <w:rPr>
          <w:rFonts w:asciiTheme="minorHAnsi" w:hAnsiTheme="minorHAnsi" w:cs="Arial"/>
          <w:bCs/>
          <w:sz w:val="22"/>
          <w:szCs w:val="22"/>
        </w:rPr>
        <w:t xml:space="preserve"> to compare the performance of the survey assay with the performance of the CDC MBA</w:t>
      </w:r>
      <w:r w:rsidR="0000362A" w:rsidRPr="004B773A">
        <w:rPr>
          <w:rFonts w:asciiTheme="minorHAnsi" w:hAnsiTheme="minorHAnsi" w:cs="Arial"/>
          <w:bCs/>
          <w:sz w:val="22"/>
          <w:szCs w:val="22"/>
          <w:vertAlign w:val="subscript"/>
        </w:rPr>
        <w:t>C</w:t>
      </w:r>
      <w:r w:rsidR="0000362A" w:rsidRPr="004B773A">
        <w:rPr>
          <w:rFonts w:asciiTheme="minorHAnsi" w:hAnsiTheme="minorHAnsi" w:cs="Arial"/>
          <w:bCs/>
          <w:sz w:val="22"/>
          <w:szCs w:val="22"/>
        </w:rPr>
        <w:t xml:space="preserve"> calibrated with 5-methyl-THF as the comparison assay</w:t>
      </w:r>
      <w:r w:rsidR="0000362A">
        <w:rPr>
          <w:rFonts w:asciiTheme="minorHAnsi" w:hAnsiTheme="minorHAnsi" w:cs="Arial"/>
          <w:bCs/>
          <w:sz w:val="22"/>
          <w:szCs w:val="22"/>
        </w:rPr>
        <w:t xml:space="preserve">. </w:t>
      </w:r>
      <w:r w:rsidR="0000362A" w:rsidRPr="004B773A">
        <w:rPr>
          <w:rFonts w:asciiTheme="minorHAnsi" w:hAnsiTheme="minorHAnsi" w:cs="Arial"/>
          <w:bCs/>
          <w:sz w:val="22"/>
          <w:szCs w:val="22"/>
        </w:rPr>
        <w:t>In the proficiency testing programs, each participating laboratory applies its assay to the same panel of samples, allowing us to estimate an “assay factor</w:t>
      </w:r>
      <w:r w:rsidR="0000362A">
        <w:rPr>
          <w:rFonts w:asciiTheme="minorHAnsi" w:hAnsiTheme="minorHAnsi" w:cs="Arial"/>
          <w:bCs/>
          <w:sz w:val="22"/>
          <w:szCs w:val="22"/>
        </w:rPr>
        <w:t>,”</w:t>
      </w:r>
      <w:r w:rsidR="0000362A" w:rsidRPr="004B773A">
        <w:rPr>
          <w:rFonts w:asciiTheme="minorHAnsi" w:hAnsiTheme="minorHAnsi" w:cs="Arial"/>
          <w:bCs/>
          <w:sz w:val="22"/>
          <w:szCs w:val="22"/>
        </w:rPr>
        <w:t xml:space="preserve"> or the extent to which </w:t>
      </w:r>
      <w:proofErr w:type="gramStart"/>
      <w:r w:rsidR="0000362A" w:rsidRPr="004B773A">
        <w:rPr>
          <w:rFonts w:asciiTheme="minorHAnsi" w:hAnsiTheme="minorHAnsi" w:cs="Arial"/>
          <w:bCs/>
          <w:sz w:val="22"/>
          <w:szCs w:val="22"/>
        </w:rPr>
        <w:t>one assay</w:t>
      </w:r>
      <w:proofErr w:type="gramEnd"/>
      <w:r w:rsidR="0000362A" w:rsidRPr="004B773A">
        <w:rPr>
          <w:rFonts w:asciiTheme="minorHAnsi" w:hAnsiTheme="minorHAnsi" w:cs="Arial"/>
          <w:bCs/>
          <w:sz w:val="22"/>
          <w:szCs w:val="22"/>
        </w:rPr>
        <w:t xml:space="preserve"> measures higher or lower than another, by calculating the ratio of the survey assay’s results to the CDC MBA</w:t>
      </w:r>
      <w:r w:rsidR="0000362A" w:rsidRPr="004B773A">
        <w:rPr>
          <w:rFonts w:asciiTheme="minorHAnsi" w:hAnsiTheme="minorHAnsi" w:cs="Arial"/>
          <w:bCs/>
          <w:sz w:val="22"/>
          <w:szCs w:val="22"/>
          <w:vertAlign w:val="subscript"/>
        </w:rPr>
        <w:t>C</w:t>
      </w:r>
      <w:r w:rsidR="0000362A">
        <w:rPr>
          <w:rFonts w:asciiTheme="minorHAnsi" w:hAnsiTheme="minorHAnsi" w:cs="Arial"/>
          <w:bCs/>
          <w:sz w:val="22"/>
          <w:szCs w:val="22"/>
        </w:rPr>
        <w:t xml:space="preserve">. </w:t>
      </w:r>
      <w:r w:rsidR="0000362A" w:rsidRPr="004B773A">
        <w:rPr>
          <w:rFonts w:asciiTheme="minorHAnsi" w:hAnsiTheme="minorHAnsi" w:cs="Arial"/>
          <w:bCs/>
          <w:sz w:val="22"/>
          <w:szCs w:val="22"/>
        </w:rPr>
        <w:t>Abbreviations: CDC, US Centers for Disease Control and Prevention; MBA</w:t>
      </w:r>
      <w:r w:rsidR="0000362A" w:rsidRPr="004B773A">
        <w:rPr>
          <w:rFonts w:asciiTheme="minorHAnsi" w:hAnsiTheme="minorHAnsi" w:cs="Arial"/>
          <w:bCs/>
          <w:sz w:val="22"/>
          <w:szCs w:val="22"/>
          <w:vertAlign w:val="subscript"/>
        </w:rPr>
        <w:t>C</w:t>
      </w:r>
      <w:r w:rsidR="0000362A" w:rsidRPr="004B773A">
        <w:rPr>
          <w:rFonts w:asciiTheme="minorHAnsi" w:hAnsiTheme="minorHAnsi" w:cs="Arial"/>
          <w:bCs/>
          <w:sz w:val="22"/>
          <w:szCs w:val="22"/>
        </w:rPr>
        <w:t>, contemporary microbiologic assay.</w:t>
      </w:r>
      <w:r>
        <w:rPr>
          <w:rFonts w:asciiTheme="minorHAnsi" w:hAnsiTheme="minorHAnsi" w:cs="Arial"/>
          <w:bCs/>
          <w:sz w:val="22"/>
          <w:szCs w:val="22"/>
        </w:rPr>
        <w:t xml:space="preserve"> </w:t>
      </w:r>
      <w:r w:rsidRPr="004B773A">
        <w:rPr>
          <w:rFonts w:asciiTheme="minorHAnsi" w:hAnsiTheme="minorHAnsi" w:cs="Arial"/>
          <w:bCs/>
          <w:sz w:val="22"/>
          <w:szCs w:val="22"/>
        </w:rPr>
        <w:t xml:space="preserve">The abbreviation after each survey indicates the economy: E1, low income; E2 lower-middle income; E3, upper-middle income; E4, high income. </w:t>
      </w:r>
    </w:p>
    <w:p w:rsidR="004111C3" w:rsidRDefault="004111C3" w:rsidP="0000362A">
      <w:pPr>
        <w:pStyle w:val="Default"/>
        <w:spacing w:line="360" w:lineRule="auto"/>
        <w:jc w:val="both"/>
        <w:rPr>
          <w:rFonts w:asciiTheme="minorHAnsi" w:hAnsiTheme="minorHAnsi" w:cs="Arial"/>
          <w:b/>
          <w:bCs/>
          <w:sz w:val="22"/>
          <w:szCs w:val="22"/>
        </w:rPr>
      </w:pPr>
    </w:p>
    <w:p w:rsidR="004111C3" w:rsidRDefault="0000362A" w:rsidP="004111C3">
      <w:pPr>
        <w:pStyle w:val="Default"/>
        <w:spacing w:line="360" w:lineRule="auto"/>
        <w:jc w:val="both"/>
        <w:rPr>
          <w:rFonts w:asciiTheme="minorHAnsi" w:hAnsiTheme="minorHAnsi" w:cs="Arial"/>
          <w:bCs/>
          <w:sz w:val="22"/>
          <w:szCs w:val="22"/>
        </w:rPr>
      </w:pPr>
      <w:r w:rsidRPr="004B773A">
        <w:rPr>
          <w:rFonts w:asciiTheme="minorHAnsi" w:hAnsiTheme="minorHAnsi" w:cs="Arial"/>
          <w:b/>
          <w:bCs/>
          <w:sz w:val="22"/>
          <w:szCs w:val="22"/>
        </w:rPr>
        <w:t>Figure S3.</w:t>
      </w:r>
      <w:r w:rsidRPr="004B773A">
        <w:rPr>
          <w:rFonts w:asciiTheme="minorHAnsi" w:hAnsiTheme="minorHAnsi" w:cs="Arial"/>
          <w:bCs/>
          <w:sz w:val="22"/>
          <w:szCs w:val="22"/>
        </w:rPr>
        <w:t xml:space="preserve"> Reported mean red blood cell folate concentrations in women of reproductive age by survey, indicating an interpretation of the data based on the assay used in the survey relative to the CDC MBA</w:t>
      </w:r>
      <w:r w:rsidRPr="004B773A">
        <w:rPr>
          <w:rFonts w:asciiTheme="minorHAnsi" w:hAnsiTheme="minorHAnsi" w:cs="Arial"/>
          <w:bCs/>
          <w:sz w:val="22"/>
          <w:szCs w:val="22"/>
          <w:vertAlign w:val="subscript"/>
        </w:rPr>
        <w:t>C</w:t>
      </w:r>
      <w:r w:rsidRPr="004B773A">
        <w:rPr>
          <w:rFonts w:asciiTheme="minorHAnsi" w:hAnsiTheme="minorHAnsi" w:cs="Arial"/>
          <w:bCs/>
          <w:sz w:val="22"/>
          <w:szCs w:val="22"/>
        </w:rPr>
        <w:t xml:space="preserve">. Data from one of two </w:t>
      </w:r>
      <w:r w:rsidR="004111C3" w:rsidRPr="004B773A">
        <w:rPr>
          <w:rFonts w:asciiTheme="minorHAnsi" w:hAnsiTheme="minorHAnsi" w:cs="Arial"/>
          <w:bCs/>
          <w:sz w:val="22"/>
          <w:szCs w:val="22"/>
        </w:rPr>
        <w:t>proficiency-testing</w:t>
      </w:r>
      <w:r w:rsidRPr="004B773A">
        <w:rPr>
          <w:rFonts w:asciiTheme="minorHAnsi" w:hAnsiTheme="minorHAnsi" w:cs="Arial"/>
          <w:bCs/>
          <w:sz w:val="22"/>
          <w:szCs w:val="22"/>
        </w:rPr>
        <w:t xml:space="preserve"> programs </w:t>
      </w:r>
      <w:proofErr w:type="gramStart"/>
      <w:r w:rsidRPr="004B773A">
        <w:rPr>
          <w:rFonts w:asciiTheme="minorHAnsi" w:hAnsiTheme="minorHAnsi" w:cs="Arial"/>
          <w:bCs/>
          <w:sz w:val="22"/>
          <w:szCs w:val="22"/>
        </w:rPr>
        <w:t>were used</w:t>
      </w:r>
      <w:proofErr w:type="gramEnd"/>
      <w:r w:rsidRPr="004B773A">
        <w:rPr>
          <w:rFonts w:asciiTheme="minorHAnsi" w:hAnsiTheme="minorHAnsi" w:cs="Arial"/>
          <w:bCs/>
          <w:sz w:val="22"/>
          <w:szCs w:val="22"/>
        </w:rPr>
        <w:t xml:space="preserve"> to compare the performance of the survey assay with the performance of the CDC MBA</w:t>
      </w:r>
      <w:r w:rsidRPr="004B773A">
        <w:rPr>
          <w:rFonts w:asciiTheme="minorHAnsi" w:hAnsiTheme="minorHAnsi" w:cs="Arial"/>
          <w:bCs/>
          <w:sz w:val="22"/>
          <w:szCs w:val="22"/>
          <w:vertAlign w:val="subscript"/>
        </w:rPr>
        <w:t>C</w:t>
      </w:r>
      <w:r w:rsidRPr="004B773A">
        <w:rPr>
          <w:rFonts w:asciiTheme="minorHAnsi" w:hAnsiTheme="minorHAnsi" w:cs="Arial"/>
          <w:bCs/>
          <w:sz w:val="22"/>
          <w:szCs w:val="22"/>
        </w:rPr>
        <w:t xml:space="preserve"> calibrated with 5-methyl-THF as the comparison assay</w:t>
      </w:r>
      <w:r>
        <w:rPr>
          <w:rFonts w:asciiTheme="minorHAnsi" w:hAnsiTheme="minorHAnsi" w:cs="Arial"/>
          <w:bCs/>
          <w:sz w:val="22"/>
          <w:szCs w:val="22"/>
        </w:rPr>
        <w:t xml:space="preserve">. </w:t>
      </w:r>
      <w:r w:rsidRPr="004B773A">
        <w:rPr>
          <w:rFonts w:asciiTheme="minorHAnsi" w:hAnsiTheme="minorHAnsi" w:cs="Arial"/>
          <w:bCs/>
          <w:sz w:val="22"/>
          <w:szCs w:val="22"/>
        </w:rPr>
        <w:t>In the proficiency testing programs, each participating laboratory applies its assay to the same panel of samples, allowing us to estimate an “assay factor</w:t>
      </w:r>
      <w:r>
        <w:rPr>
          <w:rFonts w:asciiTheme="minorHAnsi" w:hAnsiTheme="minorHAnsi" w:cs="Arial"/>
          <w:bCs/>
          <w:sz w:val="22"/>
          <w:szCs w:val="22"/>
        </w:rPr>
        <w:t>,”</w:t>
      </w:r>
      <w:r w:rsidRPr="004B773A">
        <w:rPr>
          <w:rFonts w:asciiTheme="minorHAnsi" w:hAnsiTheme="minorHAnsi" w:cs="Arial"/>
          <w:bCs/>
          <w:sz w:val="22"/>
          <w:szCs w:val="22"/>
        </w:rPr>
        <w:t xml:space="preserve"> or the extent to which </w:t>
      </w:r>
      <w:proofErr w:type="gramStart"/>
      <w:r w:rsidRPr="004B773A">
        <w:rPr>
          <w:rFonts w:asciiTheme="minorHAnsi" w:hAnsiTheme="minorHAnsi" w:cs="Arial"/>
          <w:bCs/>
          <w:sz w:val="22"/>
          <w:szCs w:val="22"/>
        </w:rPr>
        <w:t>one assay</w:t>
      </w:r>
      <w:proofErr w:type="gramEnd"/>
      <w:r w:rsidRPr="004B773A">
        <w:rPr>
          <w:rFonts w:asciiTheme="minorHAnsi" w:hAnsiTheme="minorHAnsi" w:cs="Arial"/>
          <w:bCs/>
          <w:sz w:val="22"/>
          <w:szCs w:val="22"/>
        </w:rPr>
        <w:t xml:space="preserve"> measures higher or lower than another, by calculating the ratio of the survey assay’s results to the CDC MBA</w:t>
      </w:r>
      <w:r w:rsidRPr="004B773A">
        <w:rPr>
          <w:rFonts w:asciiTheme="minorHAnsi" w:hAnsiTheme="minorHAnsi" w:cs="Arial"/>
          <w:bCs/>
          <w:sz w:val="22"/>
          <w:szCs w:val="22"/>
          <w:vertAlign w:val="subscript"/>
        </w:rPr>
        <w:t>C</w:t>
      </w:r>
      <w:r>
        <w:rPr>
          <w:rFonts w:asciiTheme="minorHAnsi" w:hAnsiTheme="minorHAnsi" w:cs="Arial"/>
          <w:bCs/>
          <w:sz w:val="22"/>
          <w:szCs w:val="22"/>
        </w:rPr>
        <w:t xml:space="preserve">. </w:t>
      </w:r>
      <w:r w:rsidRPr="004B773A">
        <w:rPr>
          <w:rFonts w:asciiTheme="minorHAnsi" w:hAnsiTheme="minorHAnsi" w:cs="Arial"/>
          <w:bCs/>
          <w:sz w:val="22"/>
          <w:szCs w:val="22"/>
        </w:rPr>
        <w:t>Abbreviations: CDC, US Centers for Disease Control and Prevention; MBA</w:t>
      </w:r>
      <w:r w:rsidRPr="004B773A">
        <w:rPr>
          <w:rFonts w:asciiTheme="minorHAnsi" w:hAnsiTheme="minorHAnsi" w:cs="Arial"/>
          <w:bCs/>
          <w:sz w:val="22"/>
          <w:szCs w:val="22"/>
          <w:vertAlign w:val="subscript"/>
        </w:rPr>
        <w:t>C</w:t>
      </w:r>
      <w:r w:rsidRPr="004B773A">
        <w:rPr>
          <w:rFonts w:asciiTheme="minorHAnsi" w:hAnsiTheme="minorHAnsi" w:cs="Arial"/>
          <w:bCs/>
          <w:sz w:val="22"/>
          <w:szCs w:val="22"/>
        </w:rPr>
        <w:t>, contemporary microbiologic assay.</w:t>
      </w:r>
      <w:r w:rsidR="004111C3" w:rsidRPr="004111C3">
        <w:rPr>
          <w:rFonts w:asciiTheme="minorHAnsi" w:hAnsiTheme="minorHAnsi" w:cs="Arial"/>
          <w:bCs/>
          <w:sz w:val="22"/>
          <w:szCs w:val="22"/>
        </w:rPr>
        <w:t xml:space="preserve"> </w:t>
      </w:r>
      <w:r w:rsidR="004111C3" w:rsidRPr="004B773A">
        <w:rPr>
          <w:rFonts w:asciiTheme="minorHAnsi" w:hAnsiTheme="minorHAnsi" w:cs="Arial"/>
          <w:bCs/>
          <w:sz w:val="22"/>
          <w:szCs w:val="22"/>
        </w:rPr>
        <w:t xml:space="preserve">The abbreviation after each survey indicates the economy: E1, low income; E2 lower-middle income; E3, upper-middle income; E4, high income. </w:t>
      </w:r>
    </w:p>
    <w:p w:rsidR="0000362A" w:rsidRPr="004B773A" w:rsidRDefault="0000362A" w:rsidP="0000362A">
      <w:pPr>
        <w:pStyle w:val="Default"/>
        <w:spacing w:line="360" w:lineRule="auto"/>
        <w:jc w:val="both"/>
        <w:rPr>
          <w:rFonts w:asciiTheme="minorHAnsi" w:hAnsiTheme="minorHAnsi" w:cs="Arial"/>
          <w:bCs/>
          <w:sz w:val="22"/>
          <w:szCs w:val="22"/>
        </w:rPr>
      </w:pPr>
    </w:p>
    <w:p w:rsidR="0000362A" w:rsidRDefault="0000362A" w:rsidP="0000362A">
      <w:pPr>
        <w:pStyle w:val="Default"/>
        <w:spacing w:line="360" w:lineRule="auto"/>
        <w:rPr>
          <w:rFonts w:asciiTheme="minorHAnsi" w:hAnsiTheme="minorHAnsi" w:cs="Arial"/>
          <w:bCs/>
          <w:sz w:val="22"/>
          <w:szCs w:val="22"/>
        </w:rPr>
      </w:pPr>
    </w:p>
    <w:p w:rsidR="0000362A" w:rsidRPr="000671A0" w:rsidRDefault="0000362A" w:rsidP="0000362A">
      <w:pPr>
        <w:pStyle w:val="Default"/>
        <w:spacing w:line="360" w:lineRule="auto"/>
        <w:rPr>
          <w:rFonts w:asciiTheme="minorHAnsi" w:hAnsiTheme="minorHAnsi" w:cs="Arial"/>
          <w:bCs/>
          <w:sz w:val="22"/>
          <w:szCs w:val="22"/>
        </w:rPr>
      </w:pPr>
    </w:p>
    <w:p w:rsidR="004377D0" w:rsidRDefault="00DA167C"/>
    <w:sectPr w:rsidR="0043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2A"/>
    <w:rsid w:val="0000362A"/>
    <w:rsid w:val="004111C3"/>
    <w:rsid w:val="007908D4"/>
    <w:rsid w:val="008D0566"/>
    <w:rsid w:val="00C82564"/>
    <w:rsid w:val="00DA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7455"/>
  <w15:chartTrackingRefBased/>
  <w15:docId w15:val="{E30970EC-CECB-46F2-BF0F-EE4981F6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62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Murphy</dc:creator>
  <cp:keywords/>
  <dc:description/>
  <cp:lastModifiedBy>Anar Murphy</cp:lastModifiedBy>
  <cp:revision>3</cp:revision>
  <dcterms:created xsi:type="dcterms:W3CDTF">2018-08-08T20:42:00Z</dcterms:created>
  <dcterms:modified xsi:type="dcterms:W3CDTF">2018-08-08T20:43:00Z</dcterms:modified>
</cp:coreProperties>
</file>