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577A1" w14:textId="77777777" w:rsidR="009439E3" w:rsidRPr="009439E3" w:rsidRDefault="009439E3" w:rsidP="00C47231">
      <w:pPr>
        <w:spacing w:after="0" w:line="360" w:lineRule="auto"/>
        <w:jc w:val="both"/>
        <w:rPr>
          <w:rFonts w:cs="Arial"/>
          <w:b/>
          <w:bCs/>
          <w:sz w:val="26"/>
          <w:szCs w:val="26"/>
        </w:rPr>
      </w:pPr>
      <w:bookmarkStart w:id="0" w:name="_GoBack"/>
      <w:bookmarkEnd w:id="0"/>
      <w:r w:rsidRPr="009439E3">
        <w:rPr>
          <w:rFonts w:cs="Arial"/>
          <w:b/>
          <w:bCs/>
          <w:sz w:val="26"/>
          <w:szCs w:val="26"/>
        </w:rPr>
        <w:t>Su</w:t>
      </w:r>
      <w:r w:rsidR="00C47231">
        <w:rPr>
          <w:rFonts w:cs="Arial"/>
          <w:b/>
          <w:bCs/>
          <w:sz w:val="26"/>
          <w:szCs w:val="26"/>
        </w:rPr>
        <w:t>pporting</w:t>
      </w:r>
      <w:r w:rsidRPr="009439E3">
        <w:rPr>
          <w:rFonts w:cs="Arial"/>
          <w:b/>
          <w:bCs/>
          <w:sz w:val="26"/>
          <w:szCs w:val="26"/>
        </w:rPr>
        <w:t xml:space="preserve"> information</w:t>
      </w:r>
    </w:p>
    <w:p w14:paraId="391B0A8B" w14:textId="60A99D5C" w:rsidR="00AB615E" w:rsidRPr="00C47231" w:rsidRDefault="00C47231" w:rsidP="00143B9F">
      <w:pPr>
        <w:spacing w:after="0" w:line="36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Appendix S2.  </w:t>
      </w:r>
      <w:r w:rsidR="00777409">
        <w:rPr>
          <w:rFonts w:cs="Arial"/>
          <w:b/>
          <w:bCs/>
        </w:rPr>
        <w:t xml:space="preserve">Assessment of possible bias in </w:t>
      </w:r>
      <w:r w:rsidR="00AD25FC">
        <w:rPr>
          <w:rFonts w:cs="Arial"/>
          <w:b/>
          <w:bCs/>
        </w:rPr>
        <w:t xml:space="preserve">folate concentrations and </w:t>
      </w:r>
      <w:r w:rsidR="00777409">
        <w:rPr>
          <w:rFonts w:cs="Arial"/>
          <w:b/>
          <w:bCs/>
        </w:rPr>
        <w:t>prevalence estimates due to the choice of assay</w:t>
      </w:r>
      <w:r w:rsidR="00375385">
        <w:rPr>
          <w:rFonts w:cs="Arial"/>
          <w:b/>
          <w:bCs/>
        </w:rPr>
        <w:t xml:space="preserve"> and cut-off(s)</w:t>
      </w:r>
    </w:p>
    <w:p w14:paraId="5D705308" w14:textId="0F2D41F0" w:rsidR="00AB615E" w:rsidRDefault="00AB615E" w:rsidP="00143B9F">
      <w:pPr>
        <w:spacing w:after="0" w:line="360" w:lineRule="auto"/>
        <w:jc w:val="both"/>
        <w:rPr>
          <w:rFonts w:cs="Arial"/>
        </w:rPr>
      </w:pPr>
      <w:r w:rsidRPr="00805BCF">
        <w:rPr>
          <w:rFonts w:cs="Arial"/>
        </w:rPr>
        <w:t xml:space="preserve">Different </w:t>
      </w:r>
      <w:r w:rsidR="00777409">
        <w:rPr>
          <w:rFonts w:cs="Arial"/>
        </w:rPr>
        <w:t>assay</w:t>
      </w:r>
      <w:r w:rsidR="007A3111">
        <w:rPr>
          <w:rFonts w:cs="Arial"/>
        </w:rPr>
        <w:t>s</w:t>
      </w:r>
      <w:r w:rsidR="00777409">
        <w:rPr>
          <w:rFonts w:cs="Arial"/>
        </w:rPr>
        <w:t xml:space="preserve"> </w:t>
      </w:r>
      <w:r w:rsidRPr="00805BCF">
        <w:rPr>
          <w:rFonts w:cs="Arial"/>
        </w:rPr>
        <w:t>were used in these surveys for the measurement of serum</w:t>
      </w:r>
      <w:r>
        <w:rPr>
          <w:rFonts w:cs="Arial"/>
        </w:rPr>
        <w:t>, plasma</w:t>
      </w:r>
      <w:r w:rsidRPr="00805BCF">
        <w:rPr>
          <w:rFonts w:cs="Arial"/>
        </w:rPr>
        <w:t xml:space="preserve"> and/or RBC folate. </w:t>
      </w:r>
      <w:r w:rsidR="00D124EE">
        <w:rPr>
          <w:rFonts w:cs="Arial"/>
        </w:rPr>
        <w:t xml:space="preserve"> </w:t>
      </w:r>
      <w:r w:rsidRPr="00805BCF">
        <w:rPr>
          <w:rFonts w:cs="Arial"/>
        </w:rPr>
        <w:t xml:space="preserve">The three main </w:t>
      </w:r>
      <w:r w:rsidR="007A3111">
        <w:rPr>
          <w:rFonts w:cs="Arial"/>
        </w:rPr>
        <w:t xml:space="preserve">assay types </w:t>
      </w:r>
      <w:r>
        <w:rPr>
          <w:rFonts w:cs="Arial"/>
        </w:rPr>
        <w:t xml:space="preserve">were </w:t>
      </w:r>
      <w:r w:rsidR="00CC0EB1">
        <w:rPr>
          <w:rFonts w:cs="Arial"/>
        </w:rPr>
        <w:t>the microbiologic assay (</w:t>
      </w:r>
      <w:r>
        <w:rPr>
          <w:rFonts w:cs="Arial"/>
        </w:rPr>
        <w:t>MBA</w:t>
      </w:r>
      <w:r w:rsidR="00CC0EB1">
        <w:rPr>
          <w:rFonts w:cs="Arial"/>
        </w:rPr>
        <w:t>)</w:t>
      </w:r>
      <w:r w:rsidRPr="00805BCF">
        <w:rPr>
          <w:rFonts w:cs="Arial"/>
        </w:rPr>
        <w:t xml:space="preserve">, protein-binding assay (PBA), and high-performance liquid chromatography coupled to tandem mass spectrometry (HPLC-MS/MS). </w:t>
      </w:r>
      <w:r w:rsidR="00D124EE">
        <w:rPr>
          <w:rFonts w:cs="Arial"/>
        </w:rPr>
        <w:t xml:space="preserve"> </w:t>
      </w:r>
      <w:r w:rsidR="007A3111">
        <w:rPr>
          <w:rFonts w:cs="Arial"/>
        </w:rPr>
        <w:t>Each a</w:t>
      </w:r>
      <w:r w:rsidR="00777409">
        <w:rPr>
          <w:rFonts w:cs="Arial"/>
        </w:rPr>
        <w:t xml:space="preserve">ssay </w:t>
      </w:r>
      <w:r w:rsidR="007A3111">
        <w:rPr>
          <w:rFonts w:cs="Arial"/>
        </w:rPr>
        <w:t xml:space="preserve">type displayed </w:t>
      </w:r>
      <w:r w:rsidR="00777409">
        <w:rPr>
          <w:rFonts w:cs="Arial"/>
        </w:rPr>
        <w:t xml:space="preserve">variations.  </w:t>
      </w:r>
      <w:r w:rsidRPr="00805BCF">
        <w:rPr>
          <w:rFonts w:cs="Arial"/>
        </w:rPr>
        <w:t xml:space="preserve">For the MBA, we specified </w:t>
      </w:r>
      <w:r w:rsidR="00607E92">
        <w:rPr>
          <w:rFonts w:cs="Arial"/>
        </w:rPr>
        <w:t>if it was a traditional (use of wild-type microorganism; MBA</w:t>
      </w:r>
      <w:r w:rsidR="00607E92">
        <w:rPr>
          <w:rFonts w:cs="Arial"/>
          <w:vertAlign w:val="subscript"/>
        </w:rPr>
        <w:t>T</w:t>
      </w:r>
      <w:r w:rsidR="00607E92">
        <w:rPr>
          <w:rFonts w:cs="Arial"/>
        </w:rPr>
        <w:t>) or contemporary (use of chloramphenicol-resistant strain; MBA</w:t>
      </w:r>
      <w:r w:rsidR="00607E92">
        <w:rPr>
          <w:rFonts w:cs="Arial"/>
          <w:vertAlign w:val="subscript"/>
        </w:rPr>
        <w:t>C</w:t>
      </w:r>
      <w:r w:rsidR="00607E92">
        <w:rPr>
          <w:rFonts w:cs="Arial"/>
        </w:rPr>
        <w:t>) assay</w:t>
      </w:r>
      <w:r w:rsidR="00777409">
        <w:rPr>
          <w:rFonts w:cs="Arial"/>
        </w:rPr>
        <w:t>,</w:t>
      </w:r>
      <w:r w:rsidR="00607E92">
        <w:rPr>
          <w:rFonts w:cs="Arial"/>
        </w:rPr>
        <w:t xml:space="preserve"> and </w:t>
      </w:r>
      <w:r w:rsidR="00777409">
        <w:rPr>
          <w:rFonts w:cs="Arial"/>
        </w:rPr>
        <w:t xml:space="preserve">we specified </w:t>
      </w:r>
      <w:r w:rsidRPr="00805BCF">
        <w:rPr>
          <w:rFonts w:cs="Arial"/>
        </w:rPr>
        <w:t xml:space="preserve">the </w:t>
      </w:r>
      <w:r w:rsidR="00607E92">
        <w:rPr>
          <w:rFonts w:cs="Arial"/>
        </w:rPr>
        <w:t xml:space="preserve">type of </w:t>
      </w:r>
      <w:r w:rsidRPr="00805BCF">
        <w:rPr>
          <w:rFonts w:cs="Arial"/>
        </w:rPr>
        <w:t xml:space="preserve">calibrator used (folic acid or </w:t>
      </w:r>
      <w:r>
        <w:rPr>
          <w:rFonts w:cs="Arial"/>
        </w:rPr>
        <w:t>5-methyltetrahydrofolate [</w:t>
      </w:r>
      <w:r w:rsidRPr="00805BCF">
        <w:rPr>
          <w:rFonts w:cs="Arial"/>
        </w:rPr>
        <w:t>5-methyl-THF</w:t>
      </w:r>
      <w:r>
        <w:rPr>
          <w:rFonts w:cs="Arial"/>
        </w:rPr>
        <w:t>]</w:t>
      </w:r>
      <w:r w:rsidRPr="00805BCF">
        <w:rPr>
          <w:rFonts w:cs="Arial"/>
        </w:rPr>
        <w:t>). For the PBA, we specified whether the detection was radiometr</w:t>
      </w:r>
      <w:r>
        <w:rPr>
          <w:rFonts w:cs="Arial"/>
        </w:rPr>
        <w:t xml:space="preserve">ic </w:t>
      </w:r>
      <w:r w:rsidR="00777409">
        <w:rPr>
          <w:rFonts w:cs="Arial"/>
        </w:rPr>
        <w:t>(</w:t>
      </w:r>
      <w:r>
        <w:rPr>
          <w:rFonts w:cs="Arial"/>
        </w:rPr>
        <w:t xml:space="preserve">i.e., radioimmunoassay </w:t>
      </w:r>
      <w:r w:rsidR="00777409">
        <w:rPr>
          <w:rFonts w:cs="Arial"/>
        </w:rPr>
        <w:t>[</w:t>
      </w:r>
      <w:r>
        <w:rPr>
          <w:rFonts w:cs="Arial"/>
        </w:rPr>
        <w:t>RIA</w:t>
      </w:r>
      <w:r w:rsidR="00777409">
        <w:rPr>
          <w:rFonts w:cs="Arial"/>
        </w:rPr>
        <w:t>])</w:t>
      </w:r>
      <w:r w:rsidRPr="00805BCF">
        <w:rPr>
          <w:rFonts w:cs="Arial"/>
        </w:rPr>
        <w:t xml:space="preserve"> or non-radiometric </w:t>
      </w:r>
      <w:r w:rsidR="00777409">
        <w:rPr>
          <w:rFonts w:cs="Arial"/>
        </w:rPr>
        <w:t>(</w:t>
      </w:r>
      <w:r w:rsidRPr="00805BCF">
        <w:rPr>
          <w:rFonts w:cs="Arial"/>
        </w:rPr>
        <w:t xml:space="preserve">i.e., immunoassay </w:t>
      </w:r>
      <w:r w:rsidR="00777409">
        <w:rPr>
          <w:rFonts w:cs="Arial"/>
        </w:rPr>
        <w:t>[</w:t>
      </w:r>
      <w:r w:rsidRPr="00805BCF">
        <w:rPr>
          <w:rFonts w:cs="Arial"/>
        </w:rPr>
        <w:t>IA</w:t>
      </w:r>
      <w:r w:rsidR="00777409">
        <w:rPr>
          <w:rFonts w:cs="Arial"/>
        </w:rPr>
        <w:t>])</w:t>
      </w:r>
      <w:r w:rsidR="00777409" w:rsidRPr="00805BCF">
        <w:rPr>
          <w:rFonts w:cs="Arial"/>
        </w:rPr>
        <w:t xml:space="preserve">. </w:t>
      </w:r>
      <w:r w:rsidRPr="00805BCF">
        <w:rPr>
          <w:rFonts w:cs="Arial"/>
        </w:rPr>
        <w:t xml:space="preserve">The detection principle of most folate immunoassays is chemiluminescence, </w:t>
      </w:r>
      <w:r>
        <w:rPr>
          <w:rFonts w:cs="Arial"/>
        </w:rPr>
        <w:t>but</w:t>
      </w:r>
      <w:r w:rsidRPr="00805BCF">
        <w:rPr>
          <w:rFonts w:cs="Arial"/>
        </w:rPr>
        <w:t xml:space="preserve"> some are based on electro-chemiluminescence or fluorescence polarization. </w:t>
      </w:r>
      <w:r>
        <w:rPr>
          <w:rFonts w:cs="Arial"/>
        </w:rPr>
        <w:t xml:space="preserve">However, knowing the detection principle does not help to interpret assay </w:t>
      </w:r>
      <w:r w:rsidR="001A0384">
        <w:rPr>
          <w:rFonts w:cs="Arial"/>
        </w:rPr>
        <w:t xml:space="preserve">bias </w:t>
      </w:r>
      <w:r>
        <w:rPr>
          <w:rFonts w:cs="Arial"/>
        </w:rPr>
        <w:t xml:space="preserve">and was therefore not specified. </w:t>
      </w:r>
      <w:r w:rsidRPr="00805BCF">
        <w:rPr>
          <w:rFonts w:cs="Arial"/>
        </w:rPr>
        <w:t>We specif</w:t>
      </w:r>
      <w:r w:rsidR="00D97BB0">
        <w:rPr>
          <w:rFonts w:cs="Arial"/>
        </w:rPr>
        <w:t>ied</w:t>
      </w:r>
      <w:r>
        <w:rPr>
          <w:rFonts w:cs="Arial"/>
        </w:rPr>
        <w:t xml:space="preserve"> </w:t>
      </w:r>
      <w:r w:rsidRPr="00805BCF">
        <w:rPr>
          <w:rFonts w:cs="Arial"/>
        </w:rPr>
        <w:t>the manufacturer or instrument platform for PBA-type assays (e</w:t>
      </w:r>
      <w:r w:rsidRPr="004633C7">
        <w:rPr>
          <w:rFonts w:cs="Arial"/>
        </w:rPr>
        <w:t>.g., Roche E170)</w:t>
      </w:r>
      <w:r w:rsidR="00777409">
        <w:rPr>
          <w:rFonts w:cs="Arial"/>
        </w:rPr>
        <w:t>,</w:t>
      </w:r>
      <w:r>
        <w:rPr>
          <w:rFonts w:cs="Arial"/>
        </w:rPr>
        <w:t xml:space="preserve"> because this information </w:t>
      </w:r>
      <w:r w:rsidR="00777409">
        <w:rPr>
          <w:rFonts w:cs="Arial"/>
        </w:rPr>
        <w:t>assists in the</w:t>
      </w:r>
      <w:r>
        <w:rPr>
          <w:rFonts w:cs="Arial"/>
        </w:rPr>
        <w:t xml:space="preserve"> interpretation of </w:t>
      </w:r>
      <w:r w:rsidR="00DF6981">
        <w:rPr>
          <w:rFonts w:cs="Arial"/>
        </w:rPr>
        <w:t xml:space="preserve">possible </w:t>
      </w:r>
      <w:r>
        <w:rPr>
          <w:rFonts w:cs="Arial"/>
        </w:rPr>
        <w:t xml:space="preserve">assay </w:t>
      </w:r>
      <w:r w:rsidR="001A0384">
        <w:rPr>
          <w:rFonts w:cs="Arial"/>
        </w:rPr>
        <w:t>bias</w:t>
      </w:r>
      <w:r w:rsidRPr="00805BCF">
        <w:rPr>
          <w:rFonts w:cs="Arial"/>
        </w:rPr>
        <w:t>.</w:t>
      </w:r>
    </w:p>
    <w:p w14:paraId="1F715CE5" w14:textId="4864E70C" w:rsidR="00AD25FC" w:rsidRDefault="00AB615E" w:rsidP="00143B9F">
      <w:pPr>
        <w:spacing w:after="0" w:line="360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As noted, </w:t>
      </w:r>
      <w:r w:rsidR="00777409">
        <w:rPr>
          <w:rFonts w:cs="Arial"/>
        </w:rPr>
        <w:t>assays that measure</w:t>
      </w:r>
      <w:r w:rsidRPr="00E637EF">
        <w:rPr>
          <w:rFonts w:cs="Arial"/>
        </w:rPr>
        <w:t xml:space="preserve"> folate status show poor comparability among and sometimes even within the same </w:t>
      </w:r>
      <w:r w:rsidR="009E77B3">
        <w:rPr>
          <w:rFonts w:cs="Arial"/>
        </w:rPr>
        <w:t>assay type</w:t>
      </w:r>
      <w:r w:rsidRPr="00E637EF">
        <w:rPr>
          <w:rFonts w:cs="Arial"/>
        </w:rPr>
        <w:t xml:space="preserve">, posing challenges in comparing data across </w:t>
      </w:r>
      <w:r w:rsidR="000F5299">
        <w:rPr>
          <w:rFonts w:cs="Arial"/>
        </w:rPr>
        <w:t>surveys</w:t>
      </w:r>
      <w:r w:rsidR="000F5299" w:rsidRPr="00E637EF">
        <w:rPr>
          <w:rFonts w:cs="Arial"/>
        </w:rPr>
        <w:t xml:space="preserve"> </w:t>
      </w:r>
      <w:r w:rsidRPr="00E637EF">
        <w:rPr>
          <w:rFonts w:cs="Arial"/>
        </w:rPr>
        <w:t>and over time.</w:t>
      </w:r>
      <w:r w:rsidR="00D124EE">
        <w:rPr>
          <w:rFonts w:cs="Arial"/>
        </w:rPr>
        <w:t xml:space="preserve"> </w:t>
      </w:r>
      <w:r w:rsidR="00194E72">
        <w:rPr>
          <w:rFonts w:cs="Arial"/>
        </w:rPr>
        <w:t>T</w:t>
      </w:r>
      <w:r w:rsidR="00AD25FC" w:rsidRPr="00E637EF">
        <w:rPr>
          <w:rFonts w:cs="Arial"/>
        </w:rPr>
        <w:t xml:space="preserve">o </w:t>
      </w:r>
      <w:r w:rsidR="00194E72">
        <w:rPr>
          <w:rFonts w:cs="Arial"/>
        </w:rPr>
        <w:t xml:space="preserve">allow better comparisons across surveys, </w:t>
      </w:r>
      <w:r w:rsidR="00AD25FC" w:rsidRPr="00E637EF">
        <w:rPr>
          <w:rFonts w:cs="Arial"/>
        </w:rPr>
        <w:t>we used data from two proficiency testing programs</w:t>
      </w:r>
      <w:r w:rsidR="00AD25FC">
        <w:rPr>
          <w:rFonts w:cs="Arial"/>
        </w:rPr>
        <w:t xml:space="preserve"> to compare the </w:t>
      </w:r>
      <w:r w:rsidR="00CC0EB1">
        <w:rPr>
          <w:rFonts w:cs="Arial"/>
        </w:rPr>
        <w:t>performance of the assay used in</w:t>
      </w:r>
      <w:r w:rsidR="00AD25FC">
        <w:rPr>
          <w:rFonts w:cs="Arial"/>
        </w:rPr>
        <w:t xml:space="preserve"> any given survey with the </w:t>
      </w:r>
      <w:r w:rsidR="00194E72">
        <w:rPr>
          <w:rFonts w:cs="Arial"/>
        </w:rPr>
        <w:t>results</w:t>
      </w:r>
      <w:r w:rsidR="00AD25FC">
        <w:rPr>
          <w:rFonts w:cs="Arial"/>
        </w:rPr>
        <w:t xml:space="preserve"> of a single comparison assay, the CDC MBA</w:t>
      </w:r>
      <w:r w:rsidR="00AD25FC" w:rsidRPr="00194E72">
        <w:rPr>
          <w:rFonts w:cs="Arial"/>
          <w:vertAlign w:val="subscript"/>
        </w:rPr>
        <w:t>C</w:t>
      </w:r>
      <w:r w:rsidR="006E4EAE">
        <w:rPr>
          <w:rFonts w:cs="Arial"/>
        </w:rPr>
        <w:t xml:space="preserve"> (using 5-methylTHF as calibrator)</w:t>
      </w:r>
      <w:r w:rsidR="00036342">
        <w:rPr>
          <w:rFonts w:cs="Arial"/>
        </w:rPr>
        <w:t xml:space="preserve">. </w:t>
      </w:r>
      <w:r w:rsidR="00194E72">
        <w:rPr>
          <w:rFonts w:cs="Arial"/>
        </w:rPr>
        <w:t xml:space="preserve">This allowed us to </w:t>
      </w:r>
      <w:r w:rsidR="002F66DD">
        <w:rPr>
          <w:rFonts w:cs="Arial"/>
        </w:rPr>
        <w:t>estimate</w:t>
      </w:r>
      <w:r w:rsidR="0096455D">
        <w:rPr>
          <w:rFonts w:cs="Arial"/>
        </w:rPr>
        <w:t xml:space="preserve"> an</w:t>
      </w:r>
      <w:r w:rsidR="00C33190">
        <w:rPr>
          <w:rFonts w:cs="Arial"/>
        </w:rPr>
        <w:t xml:space="preserve"> “assay factor”</w:t>
      </w:r>
      <w:r w:rsidR="00C33190" w:rsidRPr="00C33190">
        <w:rPr>
          <w:rFonts w:cs="Arial"/>
        </w:rPr>
        <w:t xml:space="preserve"> </w:t>
      </w:r>
      <w:r w:rsidR="00C33190">
        <w:rPr>
          <w:rFonts w:cs="Arial"/>
        </w:rPr>
        <w:t xml:space="preserve">(reported in Tables 2-5), </w:t>
      </w:r>
      <w:r w:rsidR="009C16C1">
        <w:rPr>
          <w:rFonts w:cs="Arial"/>
        </w:rPr>
        <w:t>calculate</w:t>
      </w:r>
      <w:r w:rsidR="00C33190">
        <w:rPr>
          <w:rFonts w:cs="Arial"/>
        </w:rPr>
        <w:t>d</w:t>
      </w:r>
      <w:r w:rsidR="009C16C1">
        <w:rPr>
          <w:rFonts w:cs="Arial"/>
        </w:rPr>
        <w:t xml:space="preserve"> </w:t>
      </w:r>
      <w:r w:rsidR="00C33190">
        <w:rPr>
          <w:rFonts w:cs="Arial"/>
        </w:rPr>
        <w:t xml:space="preserve">as </w:t>
      </w:r>
      <w:r w:rsidR="009C16C1">
        <w:rPr>
          <w:rFonts w:cs="Arial"/>
        </w:rPr>
        <w:t xml:space="preserve">the ratio of the survey assay </w:t>
      </w:r>
      <w:r w:rsidR="00B52E5F">
        <w:rPr>
          <w:rFonts w:cs="Arial"/>
        </w:rPr>
        <w:t xml:space="preserve">results </w:t>
      </w:r>
      <w:r w:rsidR="009C16C1">
        <w:rPr>
          <w:rFonts w:cs="Arial"/>
        </w:rPr>
        <w:t xml:space="preserve">to the </w:t>
      </w:r>
      <w:r w:rsidR="00C530DA">
        <w:rPr>
          <w:rFonts w:cs="Arial"/>
        </w:rPr>
        <w:t>CDC MBA</w:t>
      </w:r>
      <w:r w:rsidR="00C530DA" w:rsidRPr="00194E72">
        <w:rPr>
          <w:rFonts w:cs="Arial"/>
          <w:vertAlign w:val="subscript"/>
        </w:rPr>
        <w:t>C</w:t>
      </w:r>
      <w:r w:rsidR="00B52E5F">
        <w:rPr>
          <w:rFonts w:cs="Arial"/>
        </w:rPr>
        <w:t xml:space="preserve"> results</w:t>
      </w:r>
      <w:r w:rsidR="00194E72">
        <w:rPr>
          <w:rFonts w:cs="Arial"/>
        </w:rPr>
        <w:t xml:space="preserve">. </w:t>
      </w:r>
      <w:r w:rsidR="00C530DA">
        <w:rPr>
          <w:rFonts w:cs="Arial"/>
        </w:rPr>
        <w:t>We considered the survey assay to measure similar to the CDC MBA</w:t>
      </w:r>
      <w:r w:rsidR="00C530DA" w:rsidRPr="00194E72">
        <w:rPr>
          <w:rFonts w:cs="Arial"/>
          <w:vertAlign w:val="subscript"/>
        </w:rPr>
        <w:t>C</w:t>
      </w:r>
      <w:r w:rsidR="00C530DA">
        <w:rPr>
          <w:rFonts w:cs="Arial"/>
        </w:rPr>
        <w:t xml:space="preserve"> if 0.85 &lt; “assay factor” &lt;1.15, to measure higher tha</w:t>
      </w:r>
      <w:r w:rsidR="00633401">
        <w:rPr>
          <w:rFonts w:cs="Arial"/>
        </w:rPr>
        <w:t>n</w:t>
      </w:r>
      <w:r w:rsidR="00C530DA">
        <w:rPr>
          <w:rFonts w:cs="Arial"/>
        </w:rPr>
        <w:t xml:space="preserve"> the CDC MBA</w:t>
      </w:r>
      <w:r w:rsidR="00C530DA" w:rsidRPr="00194E72">
        <w:rPr>
          <w:rFonts w:cs="Arial"/>
          <w:vertAlign w:val="subscript"/>
        </w:rPr>
        <w:t>C</w:t>
      </w:r>
      <w:r w:rsidR="00C530DA">
        <w:rPr>
          <w:rFonts w:cs="Arial"/>
        </w:rPr>
        <w:t xml:space="preserve"> if “assay factor” </w:t>
      </w:r>
      <w:r w:rsidR="00D9742F">
        <w:rPr>
          <w:rFonts w:cs="Arial"/>
        </w:rPr>
        <w:t>≥1.15, and to measure lower than</w:t>
      </w:r>
      <w:r w:rsidR="00C530DA">
        <w:rPr>
          <w:rFonts w:cs="Arial"/>
        </w:rPr>
        <w:t xml:space="preserve"> the CDC MBA</w:t>
      </w:r>
      <w:r w:rsidR="00C530DA" w:rsidRPr="00194E72">
        <w:rPr>
          <w:rFonts w:cs="Arial"/>
          <w:vertAlign w:val="subscript"/>
        </w:rPr>
        <w:t>C</w:t>
      </w:r>
      <w:r w:rsidR="00C530DA">
        <w:rPr>
          <w:rFonts w:cs="Arial"/>
        </w:rPr>
        <w:t xml:space="preserve"> if “assay factor” ≤0.85. </w:t>
      </w:r>
      <w:r w:rsidR="00194E72">
        <w:rPr>
          <w:rFonts w:cs="Arial"/>
        </w:rPr>
        <w:t xml:space="preserve">Additionally, because prevalence estimates for folate deficiency and insufficiency may be biased if they are based on a cut-off derived using a different assay, we also </w:t>
      </w:r>
      <w:r w:rsidR="002F66DD">
        <w:rPr>
          <w:rFonts w:cs="Arial"/>
        </w:rPr>
        <w:t>estimated</w:t>
      </w:r>
      <w:r w:rsidR="0096455D">
        <w:rPr>
          <w:rFonts w:cs="Arial"/>
        </w:rPr>
        <w:t xml:space="preserve"> a</w:t>
      </w:r>
      <w:r w:rsidR="00194E72">
        <w:rPr>
          <w:rFonts w:cs="Arial"/>
        </w:rPr>
        <w:t xml:space="preserve"> </w:t>
      </w:r>
      <w:r w:rsidR="00D76F46">
        <w:rPr>
          <w:rFonts w:cs="Arial"/>
        </w:rPr>
        <w:t xml:space="preserve">“cut-off factor” </w:t>
      </w:r>
      <w:r w:rsidR="007B1A15">
        <w:rPr>
          <w:rFonts w:cs="Arial"/>
        </w:rPr>
        <w:t>(reported in Tables 2-5)</w:t>
      </w:r>
      <w:r w:rsidR="001E6BAE">
        <w:rPr>
          <w:rFonts w:cs="Arial"/>
        </w:rPr>
        <w:t>, calculated</w:t>
      </w:r>
      <w:r w:rsidR="007B1A15">
        <w:rPr>
          <w:rFonts w:cs="Arial"/>
        </w:rPr>
        <w:t xml:space="preserve"> </w:t>
      </w:r>
      <w:r w:rsidR="00D76F46">
        <w:rPr>
          <w:rFonts w:cs="Arial"/>
        </w:rPr>
        <w:t xml:space="preserve">as the </w:t>
      </w:r>
      <w:r w:rsidR="00194E72">
        <w:rPr>
          <w:rFonts w:cs="Arial"/>
        </w:rPr>
        <w:t>ratio of the survey cut-off to the recommended MBA</w:t>
      </w:r>
      <w:r w:rsidR="00194E72">
        <w:rPr>
          <w:rFonts w:cs="Arial"/>
          <w:vertAlign w:val="subscript"/>
        </w:rPr>
        <w:t>C</w:t>
      </w:r>
      <w:r w:rsidR="00194E72">
        <w:rPr>
          <w:rFonts w:cs="Arial"/>
        </w:rPr>
        <w:t xml:space="preserve"> cut-off </w:t>
      </w:r>
      <w:r w:rsidR="004D4F0C">
        <w:rPr>
          <w:rFonts w:cs="Arial"/>
        </w:rPr>
        <w:t xml:space="preserve">(e.g., &lt;7 nmol/L for serum deficiency, &lt;305 nmol/L for RBC deficiency, or &lt;748 nmol/L for RBC insufficiency). </w:t>
      </w:r>
      <w:r w:rsidR="00D97BB0">
        <w:rPr>
          <w:rFonts w:cs="Arial"/>
        </w:rPr>
        <w:t xml:space="preserve">Lastly, we </w:t>
      </w:r>
      <w:r w:rsidR="002F66DD">
        <w:rPr>
          <w:rFonts w:cs="Arial"/>
        </w:rPr>
        <w:t>estimated</w:t>
      </w:r>
      <w:r w:rsidR="00D76F46">
        <w:rPr>
          <w:rFonts w:cs="Arial"/>
        </w:rPr>
        <w:t xml:space="preserve"> </w:t>
      </w:r>
      <w:r w:rsidR="0096455D">
        <w:rPr>
          <w:rFonts w:cs="Arial"/>
        </w:rPr>
        <w:t>a</w:t>
      </w:r>
      <w:r w:rsidR="00D76F46">
        <w:rPr>
          <w:rFonts w:cs="Arial"/>
        </w:rPr>
        <w:t xml:space="preserve"> “prevalence factor” </w:t>
      </w:r>
      <w:r w:rsidR="007B1A15">
        <w:rPr>
          <w:rFonts w:cs="Arial"/>
        </w:rPr>
        <w:t xml:space="preserve">(reported in Tables 2-5) </w:t>
      </w:r>
      <w:r w:rsidR="00D76F46">
        <w:rPr>
          <w:rFonts w:cs="Arial"/>
        </w:rPr>
        <w:t xml:space="preserve">which is </w:t>
      </w:r>
      <w:r w:rsidR="004D4F0C">
        <w:rPr>
          <w:rFonts w:cs="Arial"/>
        </w:rPr>
        <w:t>the</w:t>
      </w:r>
      <w:r w:rsidR="00D76F46">
        <w:rPr>
          <w:rFonts w:cs="Arial"/>
        </w:rPr>
        <w:t xml:space="preserve"> combination of the </w:t>
      </w:r>
      <w:r w:rsidR="002F66DD">
        <w:rPr>
          <w:rFonts w:cs="Arial"/>
        </w:rPr>
        <w:t xml:space="preserve">other two </w:t>
      </w:r>
      <w:r w:rsidR="00D76F46">
        <w:rPr>
          <w:rFonts w:cs="Arial"/>
        </w:rPr>
        <w:t>factor</w:t>
      </w:r>
      <w:r w:rsidR="002F66DD">
        <w:rPr>
          <w:rFonts w:cs="Arial"/>
        </w:rPr>
        <w:t>s</w:t>
      </w:r>
      <w:r w:rsidR="00D76F46">
        <w:rPr>
          <w:rFonts w:cs="Arial"/>
        </w:rPr>
        <w:t xml:space="preserve"> and was calculated by </w:t>
      </w:r>
      <w:r w:rsidR="00D97BB0">
        <w:rPr>
          <w:rFonts w:cs="Arial"/>
        </w:rPr>
        <w:t>divid</w:t>
      </w:r>
      <w:r w:rsidR="00D76F46">
        <w:rPr>
          <w:rFonts w:cs="Arial"/>
        </w:rPr>
        <w:t>ing</w:t>
      </w:r>
      <w:r w:rsidR="00D97BB0">
        <w:rPr>
          <w:rFonts w:cs="Arial"/>
        </w:rPr>
        <w:t xml:space="preserve"> the </w:t>
      </w:r>
      <w:r w:rsidR="007B1A15">
        <w:rPr>
          <w:rFonts w:cs="Arial"/>
        </w:rPr>
        <w:t>“</w:t>
      </w:r>
      <w:r w:rsidR="00D76F46">
        <w:rPr>
          <w:rFonts w:cs="Arial"/>
        </w:rPr>
        <w:t>assay factor</w:t>
      </w:r>
      <w:r w:rsidR="007B1A15">
        <w:rPr>
          <w:rFonts w:cs="Arial"/>
        </w:rPr>
        <w:t>”</w:t>
      </w:r>
      <w:r w:rsidR="00D97BB0">
        <w:rPr>
          <w:rFonts w:cs="Arial"/>
        </w:rPr>
        <w:t xml:space="preserve"> by the </w:t>
      </w:r>
      <w:r w:rsidR="007B1A15">
        <w:rPr>
          <w:rFonts w:cs="Arial"/>
        </w:rPr>
        <w:t>“</w:t>
      </w:r>
      <w:r w:rsidR="00D76F46">
        <w:rPr>
          <w:rFonts w:cs="Arial"/>
        </w:rPr>
        <w:t>cut-off factor</w:t>
      </w:r>
      <w:r w:rsidR="007B1A15">
        <w:rPr>
          <w:rFonts w:cs="Arial"/>
        </w:rPr>
        <w:t>”</w:t>
      </w:r>
      <w:r w:rsidR="00D97BB0">
        <w:rPr>
          <w:rFonts w:cs="Arial"/>
        </w:rPr>
        <w:t xml:space="preserve">. </w:t>
      </w:r>
      <w:r w:rsidR="00194E72" w:rsidRPr="00194E72">
        <w:rPr>
          <w:rFonts w:cs="Arial"/>
        </w:rPr>
        <w:t>By having a general understanding of how the various assays perform</w:t>
      </w:r>
      <w:r w:rsidR="0096455D">
        <w:rPr>
          <w:rFonts w:cs="Arial"/>
        </w:rPr>
        <w:t>ed</w:t>
      </w:r>
      <w:r w:rsidR="00194E72" w:rsidRPr="00194E72">
        <w:rPr>
          <w:rFonts w:cs="Arial"/>
        </w:rPr>
        <w:t xml:space="preserve"> relative to the </w:t>
      </w:r>
      <w:r w:rsidR="009C16C1">
        <w:rPr>
          <w:rFonts w:cs="Arial"/>
        </w:rPr>
        <w:t>MBA</w:t>
      </w:r>
      <w:r w:rsidR="009C16C1">
        <w:rPr>
          <w:rFonts w:cs="Arial"/>
          <w:vertAlign w:val="subscript"/>
        </w:rPr>
        <w:t>C</w:t>
      </w:r>
      <w:r w:rsidR="00194E72" w:rsidRPr="00194E72">
        <w:rPr>
          <w:rFonts w:cs="Arial"/>
        </w:rPr>
        <w:t xml:space="preserve">, and </w:t>
      </w:r>
      <w:r w:rsidR="00B52E5F">
        <w:rPr>
          <w:rFonts w:cs="Arial"/>
        </w:rPr>
        <w:t>by</w:t>
      </w:r>
      <w:r w:rsidR="00194E72" w:rsidRPr="00194E72">
        <w:rPr>
          <w:rFonts w:cs="Arial"/>
        </w:rPr>
        <w:t xml:space="preserve"> considering the cut-off values used in each survey for defining folate deficiency or insufficiency, we could better assess whether the reported prevalence estimates </w:t>
      </w:r>
      <w:r w:rsidR="0096455D">
        <w:rPr>
          <w:rFonts w:cs="Arial"/>
        </w:rPr>
        <w:t>we</w:t>
      </w:r>
      <w:r w:rsidR="00194E72" w:rsidRPr="00194E72">
        <w:rPr>
          <w:rFonts w:cs="Arial"/>
        </w:rPr>
        <w:t xml:space="preserve">re likely correct </w:t>
      </w:r>
      <w:r w:rsidR="007B1A15">
        <w:rPr>
          <w:rFonts w:cs="Arial"/>
        </w:rPr>
        <w:t xml:space="preserve">(0.85 &lt; “prevalence factor” &lt;1.15) </w:t>
      </w:r>
      <w:r w:rsidR="00194E72" w:rsidRPr="00194E72">
        <w:rPr>
          <w:rFonts w:cs="Arial"/>
        </w:rPr>
        <w:t xml:space="preserve">or may represent an under- </w:t>
      </w:r>
      <w:r w:rsidR="007B1A15">
        <w:rPr>
          <w:rFonts w:cs="Arial"/>
        </w:rPr>
        <w:t xml:space="preserve">(“prevalence factor” ≥1.15) </w:t>
      </w:r>
      <w:r w:rsidR="00194E72" w:rsidRPr="00194E72">
        <w:rPr>
          <w:rFonts w:cs="Arial"/>
        </w:rPr>
        <w:t>or overestimation</w:t>
      </w:r>
      <w:r w:rsidR="007B1A15">
        <w:rPr>
          <w:rFonts w:cs="Arial"/>
        </w:rPr>
        <w:t xml:space="preserve"> (“prevalence factor” ≤0.85)</w:t>
      </w:r>
      <w:r w:rsidR="00AD25FC">
        <w:rPr>
          <w:rFonts w:cs="Arial"/>
        </w:rPr>
        <w:t xml:space="preserve">.  </w:t>
      </w:r>
    </w:p>
    <w:p w14:paraId="71AE81BF" w14:textId="7099B6D0" w:rsidR="00BB6C65" w:rsidRPr="00532434" w:rsidRDefault="00302F72" w:rsidP="00A47C73">
      <w:pPr>
        <w:spacing w:after="0" w:line="360" w:lineRule="auto"/>
        <w:ind w:firstLine="720"/>
        <w:jc w:val="both"/>
        <w:rPr>
          <w:rFonts w:cs="Arial"/>
          <w:vertAlign w:val="superscript"/>
        </w:rPr>
      </w:pPr>
      <w:r w:rsidRPr="00302F72">
        <w:rPr>
          <w:rFonts w:cs="Arial"/>
        </w:rPr>
        <w:lastRenderedPageBreak/>
        <w:t xml:space="preserve">As noted above, data from two proficiency testing programs was used for assessing </w:t>
      </w:r>
      <w:r>
        <w:rPr>
          <w:rFonts w:cs="Arial"/>
        </w:rPr>
        <w:t>possible assay bias</w:t>
      </w:r>
      <w:r w:rsidRPr="00302F72">
        <w:rPr>
          <w:rFonts w:cs="Arial"/>
        </w:rPr>
        <w:t>.</w:t>
      </w:r>
      <w:r>
        <w:rPr>
          <w:rFonts w:cs="Arial"/>
        </w:rPr>
        <w:t xml:space="preserve">  </w:t>
      </w:r>
      <w:r w:rsidR="00AD25FC">
        <w:rPr>
          <w:rFonts w:cs="Arial"/>
        </w:rPr>
        <w:t>T</w:t>
      </w:r>
      <w:r w:rsidR="00AD25FC" w:rsidRPr="00E637EF">
        <w:rPr>
          <w:rFonts w:cs="Arial"/>
        </w:rPr>
        <w:t>he College of American Pathologists (CAP) Ligand Survey</w:t>
      </w:r>
      <w:r w:rsidR="00AD25FC">
        <w:rPr>
          <w:rFonts w:cs="Arial"/>
        </w:rPr>
        <w:t xml:space="preserve"> </w:t>
      </w:r>
      <w:r w:rsidR="00B51F30">
        <w:rPr>
          <w:rFonts w:cs="Arial"/>
        </w:rPr>
        <w:t>(</w:t>
      </w:r>
      <w:hyperlink r:id="rId6" w:history="1">
        <w:r w:rsidR="00B51F30" w:rsidRPr="00D4486B">
          <w:rPr>
            <w:rStyle w:val="Hyperlink"/>
            <w:rFonts w:cs="Arial"/>
          </w:rPr>
          <w:t>http://www.cap.org</w:t>
        </w:r>
      </w:hyperlink>
      <w:r w:rsidR="00B51F30">
        <w:rPr>
          <w:rFonts w:cs="Arial"/>
        </w:rPr>
        <w:t xml:space="preserve">) </w:t>
      </w:r>
      <w:r w:rsidR="00AD25FC">
        <w:rPr>
          <w:rFonts w:cs="Arial"/>
        </w:rPr>
        <w:t>is</w:t>
      </w:r>
      <w:r w:rsidR="00AD25FC" w:rsidRPr="00E637EF">
        <w:rPr>
          <w:rFonts w:cs="Arial"/>
        </w:rPr>
        <w:t xml:space="preserve"> a large proficiency testing program (about 1</w:t>
      </w:r>
      <w:r w:rsidR="00D9742F">
        <w:rPr>
          <w:rFonts w:cs="Arial"/>
        </w:rPr>
        <w:t>,</w:t>
      </w:r>
      <w:r w:rsidR="00AD25FC" w:rsidRPr="00E637EF">
        <w:rPr>
          <w:rFonts w:cs="Arial"/>
        </w:rPr>
        <w:t>000 participating laboratories) that provides refrigerated serum (n=3) or whole blood samples (n=</w:t>
      </w:r>
      <w:r w:rsidR="00AD25FC">
        <w:rPr>
          <w:rFonts w:cs="Arial"/>
        </w:rPr>
        <w:t>2</w:t>
      </w:r>
      <w:r w:rsidR="00AD25FC" w:rsidRPr="00E637EF">
        <w:rPr>
          <w:rFonts w:cs="Arial"/>
        </w:rPr>
        <w:t>) to mainly US-based laboratories three times a year</w:t>
      </w:r>
      <w:r w:rsidR="00AD25FC">
        <w:rPr>
          <w:rFonts w:cs="Arial"/>
        </w:rPr>
        <w:t>. The</w:t>
      </w:r>
      <w:r w:rsidR="00AD25FC" w:rsidRPr="00E637EF">
        <w:rPr>
          <w:rFonts w:cs="Arial"/>
        </w:rPr>
        <w:t xml:space="preserve"> United Kingdom National External Quality Assessment (UK NEQAS)</w:t>
      </w:r>
      <w:r w:rsidR="00AD25FC">
        <w:rPr>
          <w:rFonts w:cs="Arial"/>
        </w:rPr>
        <w:t xml:space="preserve"> </w:t>
      </w:r>
      <w:proofErr w:type="spellStart"/>
      <w:r w:rsidR="00AD25FC">
        <w:rPr>
          <w:rFonts w:cs="Arial"/>
        </w:rPr>
        <w:t>Haematinics</w:t>
      </w:r>
      <w:proofErr w:type="spellEnd"/>
      <w:r w:rsidR="00AD25FC">
        <w:rPr>
          <w:rFonts w:cs="Arial"/>
        </w:rPr>
        <w:t xml:space="preserve"> Survey </w:t>
      </w:r>
      <w:r w:rsidR="00B51F30">
        <w:rPr>
          <w:rFonts w:cs="Arial"/>
        </w:rPr>
        <w:t>(</w:t>
      </w:r>
      <w:hyperlink r:id="rId7" w:history="1">
        <w:r w:rsidR="00B51F30" w:rsidRPr="00D4486B">
          <w:rPr>
            <w:rStyle w:val="Hyperlink"/>
            <w:rFonts w:cs="Arial"/>
          </w:rPr>
          <w:t>https://ukneqas.org.uk/</w:t>
        </w:r>
      </w:hyperlink>
      <w:r w:rsidR="00B51F30">
        <w:rPr>
          <w:rFonts w:cs="Arial"/>
        </w:rPr>
        <w:t xml:space="preserve">) </w:t>
      </w:r>
      <w:r w:rsidR="00AD25FC">
        <w:rPr>
          <w:rFonts w:cs="Arial"/>
        </w:rPr>
        <w:t>is</w:t>
      </w:r>
      <w:r w:rsidR="00AD25FC" w:rsidRPr="00E637EF">
        <w:rPr>
          <w:rFonts w:cs="Arial"/>
        </w:rPr>
        <w:t xml:space="preserve"> a medium proficiency testing program (about 200 participating laboratories) that provides refrigerated serum (n=3) or whole blood samples (n=2) to mainly UK-based laboratories 11 times a year. Because the UK NEQAS program has a much larger </w:t>
      </w:r>
      <w:r w:rsidR="00AD25FC">
        <w:rPr>
          <w:rFonts w:cs="Arial"/>
        </w:rPr>
        <w:t>number</w:t>
      </w:r>
      <w:r w:rsidR="00AD25FC" w:rsidRPr="00E637EF">
        <w:rPr>
          <w:rFonts w:cs="Arial"/>
        </w:rPr>
        <w:t xml:space="preserve"> of data </w:t>
      </w:r>
      <w:r w:rsidR="00AD25FC">
        <w:rPr>
          <w:rFonts w:cs="Arial"/>
        </w:rPr>
        <w:t xml:space="preserve">points </w:t>
      </w:r>
      <w:r w:rsidR="00AD25FC" w:rsidRPr="00E637EF">
        <w:rPr>
          <w:rFonts w:cs="Arial"/>
        </w:rPr>
        <w:t xml:space="preserve">(33 and 22 per year for serum and whole blood, respectively) compared to the CAP program (9 </w:t>
      </w:r>
      <w:r w:rsidR="00AD25FC">
        <w:rPr>
          <w:rFonts w:cs="Arial"/>
        </w:rPr>
        <w:t xml:space="preserve">and 6 </w:t>
      </w:r>
      <w:r w:rsidR="00AD25FC" w:rsidRPr="00E637EF">
        <w:rPr>
          <w:rFonts w:cs="Arial"/>
        </w:rPr>
        <w:t>per year</w:t>
      </w:r>
      <w:r w:rsidR="00AD25FC">
        <w:rPr>
          <w:rFonts w:cs="Arial"/>
        </w:rPr>
        <w:t xml:space="preserve"> for serum and whole blood,</w:t>
      </w:r>
      <w:r w:rsidR="0097157A">
        <w:rPr>
          <w:rFonts w:cs="Arial"/>
        </w:rPr>
        <w:t xml:space="preserve"> r</w:t>
      </w:r>
      <w:r>
        <w:rPr>
          <w:rFonts w:cs="Arial"/>
        </w:rPr>
        <w:t>espectively</w:t>
      </w:r>
      <w:r w:rsidR="00AD25FC" w:rsidRPr="00E637EF">
        <w:rPr>
          <w:rFonts w:cs="Arial"/>
        </w:rPr>
        <w:t xml:space="preserve">), we used information from the UK NEQAS program when possible. </w:t>
      </w:r>
      <w:r w:rsidR="00AD25FC">
        <w:rPr>
          <w:rFonts w:cs="Arial"/>
        </w:rPr>
        <w:t>However, t</w:t>
      </w:r>
      <w:r w:rsidR="00AD25FC" w:rsidRPr="00E637EF">
        <w:rPr>
          <w:rFonts w:cs="Arial"/>
        </w:rPr>
        <w:t>he CDC MBA</w:t>
      </w:r>
      <w:r w:rsidR="00AD25FC">
        <w:rPr>
          <w:rFonts w:cs="Arial"/>
          <w:vertAlign w:val="subscript"/>
        </w:rPr>
        <w:t>C</w:t>
      </w:r>
      <w:r w:rsidR="00AD25FC" w:rsidRPr="00E637EF">
        <w:rPr>
          <w:rFonts w:cs="Arial"/>
        </w:rPr>
        <w:t xml:space="preserve"> participated in the UK NEQAS program </w:t>
      </w:r>
      <w:r w:rsidR="00AD25FC">
        <w:rPr>
          <w:rFonts w:cs="Arial"/>
        </w:rPr>
        <w:t xml:space="preserve">only </w:t>
      </w:r>
      <w:r w:rsidR="00AD25FC" w:rsidRPr="00E637EF">
        <w:rPr>
          <w:rFonts w:cs="Arial"/>
        </w:rPr>
        <w:t>since 2009. The CDC participated in the CAP program up to 2006</w:t>
      </w:r>
      <w:r w:rsidR="00AD25FC">
        <w:rPr>
          <w:rFonts w:cs="Arial"/>
        </w:rPr>
        <w:t xml:space="preserve"> using the Bio-Rad RIA</w:t>
      </w:r>
      <w:r w:rsidR="00AD25FC" w:rsidRPr="00E637EF">
        <w:rPr>
          <w:rFonts w:cs="Arial"/>
        </w:rPr>
        <w:t xml:space="preserve">, when the manufacturer discontinued the assay. </w:t>
      </w:r>
      <w:r w:rsidR="00AD25FC">
        <w:rPr>
          <w:rFonts w:cs="Arial"/>
        </w:rPr>
        <w:t xml:space="preserve">Thus, </w:t>
      </w:r>
      <w:r w:rsidR="00CC0EB1">
        <w:rPr>
          <w:rFonts w:cs="Arial"/>
        </w:rPr>
        <w:t>prior to 2009</w:t>
      </w:r>
      <w:r w:rsidR="00AD25FC">
        <w:rPr>
          <w:rFonts w:cs="Arial"/>
        </w:rPr>
        <w:t>, a survey assay’s performance could be compared to the Bio-Rad RIA, which could then be compared to the CDC MBA</w:t>
      </w:r>
      <w:r w:rsidR="00AD25FC" w:rsidRPr="00194E72">
        <w:rPr>
          <w:rFonts w:cs="Arial"/>
          <w:vertAlign w:val="subscript"/>
        </w:rPr>
        <w:t>C</w:t>
      </w:r>
      <w:r w:rsidR="00AD25FC">
        <w:rPr>
          <w:rFonts w:cs="Arial"/>
        </w:rPr>
        <w:t xml:space="preserve"> because the CDC has well-d</w:t>
      </w:r>
      <w:r w:rsidR="00CC0EB1">
        <w:rPr>
          <w:rFonts w:cs="Arial"/>
        </w:rPr>
        <w:t>ocumented information on how the</w:t>
      </w:r>
      <w:r w:rsidR="00AD25FC">
        <w:rPr>
          <w:rFonts w:cs="Arial"/>
        </w:rPr>
        <w:t>se two assays relate to each other.</w:t>
      </w:r>
      <w:r w:rsidR="00926FB2">
        <w:rPr>
          <w:rFonts w:cs="Arial"/>
          <w:vertAlign w:val="superscript"/>
        </w:rPr>
        <w:t>19</w:t>
      </w:r>
      <w:r w:rsidR="00AD25FC">
        <w:rPr>
          <w:rFonts w:cs="Arial"/>
        </w:rPr>
        <w:t xml:space="preserve"> Whenever possible, w</w:t>
      </w:r>
      <w:r w:rsidR="00AD25FC" w:rsidRPr="00E637EF">
        <w:rPr>
          <w:rFonts w:cs="Arial"/>
        </w:rPr>
        <w:t xml:space="preserve">e utilized </w:t>
      </w:r>
      <w:r w:rsidR="00CC0EB1">
        <w:rPr>
          <w:rFonts w:cs="Arial"/>
        </w:rPr>
        <w:t xml:space="preserve">proficiency testing </w:t>
      </w:r>
      <w:r w:rsidR="00AD25FC" w:rsidRPr="00E637EF">
        <w:rPr>
          <w:rFonts w:cs="Arial"/>
        </w:rPr>
        <w:t>data generated as close as possible in time</w:t>
      </w:r>
      <w:r w:rsidR="00CC0EB1">
        <w:rPr>
          <w:rFonts w:cs="Arial"/>
        </w:rPr>
        <w:t xml:space="preserve"> to when the survey testing was</w:t>
      </w:r>
      <w:r w:rsidR="00AD25FC" w:rsidRPr="00E637EF">
        <w:rPr>
          <w:rFonts w:cs="Arial"/>
        </w:rPr>
        <w:t xml:space="preserve"> performed.</w:t>
      </w:r>
      <w:r w:rsidR="00AD25FC">
        <w:rPr>
          <w:rFonts w:cs="Arial"/>
        </w:rPr>
        <w:t xml:space="preserve"> Unfortunately</w:t>
      </w:r>
      <w:r w:rsidR="00AD25FC" w:rsidRPr="00E637EF">
        <w:rPr>
          <w:rFonts w:cs="Arial"/>
        </w:rPr>
        <w:t xml:space="preserve">, after 2002, too few laboratories </w:t>
      </w:r>
      <w:r w:rsidR="004D4F0C" w:rsidRPr="00E637EF">
        <w:rPr>
          <w:rFonts w:cs="Arial"/>
        </w:rPr>
        <w:t>us</w:t>
      </w:r>
      <w:r w:rsidR="004D4F0C">
        <w:rPr>
          <w:rFonts w:cs="Arial"/>
        </w:rPr>
        <w:t>ing</w:t>
      </w:r>
      <w:r w:rsidR="004D4F0C" w:rsidRPr="00E637EF">
        <w:rPr>
          <w:rFonts w:cs="Arial"/>
        </w:rPr>
        <w:t xml:space="preserve"> the </w:t>
      </w:r>
      <w:r w:rsidR="004D4F0C">
        <w:rPr>
          <w:rFonts w:cs="Arial"/>
        </w:rPr>
        <w:t>Bio-Rad RIA</w:t>
      </w:r>
      <w:r w:rsidR="004D4F0C" w:rsidRPr="00E637EF">
        <w:rPr>
          <w:rFonts w:cs="Arial"/>
        </w:rPr>
        <w:t xml:space="preserve"> or other commercial RIA assays </w:t>
      </w:r>
      <w:r w:rsidR="00AD25FC" w:rsidRPr="00E637EF">
        <w:rPr>
          <w:rFonts w:cs="Arial"/>
        </w:rPr>
        <w:t>participated in the CAP program</w:t>
      </w:r>
      <w:r w:rsidR="00AD25FC">
        <w:rPr>
          <w:rFonts w:cs="Arial"/>
        </w:rPr>
        <w:t>,</w:t>
      </w:r>
      <w:r w:rsidR="00AD25FC" w:rsidRPr="00E637EF">
        <w:rPr>
          <w:rFonts w:cs="Arial"/>
        </w:rPr>
        <w:t xml:space="preserve"> and </w:t>
      </w:r>
      <w:r w:rsidR="00AD25FC">
        <w:rPr>
          <w:rFonts w:cs="Arial"/>
        </w:rPr>
        <w:t xml:space="preserve">so </w:t>
      </w:r>
      <w:r w:rsidR="00AD25FC" w:rsidRPr="00E637EF">
        <w:rPr>
          <w:rFonts w:cs="Arial"/>
        </w:rPr>
        <w:t>the CAP report no longer provided information for th</w:t>
      </w:r>
      <w:r w:rsidR="00AD25FC">
        <w:rPr>
          <w:rFonts w:cs="Arial"/>
        </w:rPr>
        <w:t>ese</w:t>
      </w:r>
      <w:r w:rsidR="00AD25FC" w:rsidRPr="00E637EF">
        <w:rPr>
          <w:rFonts w:cs="Arial"/>
        </w:rPr>
        <w:t xml:space="preserve"> assay</w:t>
      </w:r>
      <w:r w:rsidR="00AD25FC">
        <w:rPr>
          <w:rFonts w:cs="Arial"/>
        </w:rPr>
        <w:t>s</w:t>
      </w:r>
      <w:r w:rsidR="00AD25FC" w:rsidRPr="00E637EF">
        <w:rPr>
          <w:rFonts w:cs="Arial"/>
        </w:rPr>
        <w:t>.</w:t>
      </w:r>
      <w:r w:rsidR="00AD25FC">
        <w:rPr>
          <w:rFonts w:cs="Arial"/>
        </w:rPr>
        <w:t xml:space="preserve"> T</w:t>
      </w:r>
      <w:r w:rsidR="00AD25FC" w:rsidRPr="00E637EF">
        <w:rPr>
          <w:rFonts w:cs="Arial"/>
        </w:rPr>
        <w:t>herefore</w:t>
      </w:r>
      <w:r w:rsidR="00AD25FC">
        <w:rPr>
          <w:rFonts w:cs="Arial"/>
        </w:rPr>
        <w:t>,</w:t>
      </w:r>
      <w:r w:rsidR="00AD25FC" w:rsidRPr="00E637EF">
        <w:rPr>
          <w:rFonts w:cs="Arial"/>
        </w:rPr>
        <w:t xml:space="preserve"> for surveys conducted after 2002</w:t>
      </w:r>
      <w:r w:rsidR="00AD25FC">
        <w:rPr>
          <w:rFonts w:cs="Arial"/>
        </w:rPr>
        <w:t xml:space="preserve"> that used an RIA </w:t>
      </w:r>
      <w:r w:rsidR="001C6043">
        <w:rPr>
          <w:rFonts w:cs="Arial"/>
        </w:rPr>
        <w:t>assay type</w:t>
      </w:r>
      <w:r w:rsidR="00AD25FC">
        <w:rPr>
          <w:rFonts w:cs="Arial"/>
        </w:rPr>
        <w:t>, we</w:t>
      </w:r>
      <w:r w:rsidR="00AD25FC" w:rsidRPr="00E637EF">
        <w:rPr>
          <w:rFonts w:cs="Arial"/>
        </w:rPr>
        <w:t xml:space="preserve"> use</w:t>
      </w:r>
      <w:r w:rsidR="008412B0">
        <w:rPr>
          <w:rFonts w:cs="Arial"/>
        </w:rPr>
        <w:t>d</w:t>
      </w:r>
      <w:r w:rsidR="00AD25FC" w:rsidRPr="00E637EF">
        <w:rPr>
          <w:rFonts w:cs="Arial"/>
        </w:rPr>
        <w:t xml:space="preserve"> the 2002 CAP data</w:t>
      </w:r>
      <w:r w:rsidR="00AD25FC">
        <w:rPr>
          <w:rFonts w:cs="Arial"/>
        </w:rPr>
        <w:t xml:space="preserve"> as a reference</w:t>
      </w:r>
      <w:r w:rsidR="00AD25FC" w:rsidRPr="00E637EF">
        <w:rPr>
          <w:rFonts w:cs="Arial"/>
        </w:rPr>
        <w:t>.</w:t>
      </w:r>
      <w:r w:rsidR="004D4F0C">
        <w:rPr>
          <w:rFonts w:cs="Arial"/>
        </w:rPr>
        <w:t xml:space="preserve"> </w:t>
      </w:r>
      <w:r w:rsidR="001E6BAE">
        <w:rPr>
          <w:rFonts w:cs="Arial"/>
        </w:rPr>
        <w:t xml:space="preserve">For surveys that used an </w:t>
      </w:r>
      <w:r w:rsidR="001E6BAE" w:rsidRPr="00E637EF">
        <w:rPr>
          <w:rFonts w:cs="Arial"/>
        </w:rPr>
        <w:t>MBA</w:t>
      </w:r>
      <w:r w:rsidR="001E6BAE">
        <w:rPr>
          <w:rFonts w:cs="Arial"/>
          <w:vertAlign w:val="subscript"/>
        </w:rPr>
        <w:t>C</w:t>
      </w:r>
      <w:r w:rsidR="00B51F30">
        <w:rPr>
          <w:rFonts w:cs="Arial"/>
          <w:vertAlign w:val="subscript"/>
        </w:rPr>
        <w:t xml:space="preserve"> </w:t>
      </w:r>
      <w:r w:rsidR="00B51F30" w:rsidRPr="00532434">
        <w:rPr>
          <w:rFonts w:cs="Arial"/>
        </w:rPr>
        <w:t>assay</w:t>
      </w:r>
      <w:r w:rsidR="001E6BAE" w:rsidRPr="00B51F30">
        <w:rPr>
          <w:rFonts w:cs="Arial"/>
        </w:rPr>
        <w:t>,</w:t>
      </w:r>
      <w:r w:rsidR="001E6BAE">
        <w:rPr>
          <w:rFonts w:cs="Arial"/>
        </w:rPr>
        <w:t xml:space="preserve"> we used previously reported information on how results compare when the assay is calibrated with folic acid vs. 5-methylTHF.</w:t>
      </w:r>
      <w:r w:rsidR="00926FB2">
        <w:rPr>
          <w:rFonts w:cs="Arial"/>
          <w:vertAlign w:val="superscript"/>
        </w:rPr>
        <w:t>20</w:t>
      </w:r>
    </w:p>
    <w:p w14:paraId="5BC427F6" w14:textId="7F47FB66" w:rsidR="005D524F" w:rsidRDefault="00CE25F6" w:rsidP="00143B9F">
      <w:pPr>
        <w:spacing w:after="0" w:line="360" w:lineRule="auto"/>
        <w:ind w:firstLine="720"/>
        <w:jc w:val="both"/>
        <w:rPr>
          <w:rFonts w:cs="Arial"/>
        </w:rPr>
      </w:pPr>
      <w:r w:rsidRPr="00532434">
        <w:rPr>
          <w:rFonts w:cs="Arial"/>
        </w:rPr>
        <w:t>We illustrate th</w:t>
      </w:r>
      <w:r w:rsidR="00F63DB1" w:rsidRPr="00532434">
        <w:rPr>
          <w:rFonts w:cs="Arial"/>
        </w:rPr>
        <w:t>e</w:t>
      </w:r>
      <w:r w:rsidRPr="00532434">
        <w:rPr>
          <w:rFonts w:cs="Arial"/>
        </w:rPr>
        <w:t xml:space="preserve"> process </w:t>
      </w:r>
      <w:r w:rsidR="00F63DB1" w:rsidRPr="00532434">
        <w:rPr>
          <w:rFonts w:cs="Arial"/>
        </w:rPr>
        <w:t xml:space="preserve">of estimating the “assay factor”, “cutoff factor”, and “prevalence factor” </w:t>
      </w:r>
      <w:r w:rsidRPr="00532434">
        <w:rPr>
          <w:rFonts w:cs="Arial"/>
        </w:rPr>
        <w:t xml:space="preserve">using </w:t>
      </w:r>
      <w:r w:rsidR="00541A3E" w:rsidRPr="00532434">
        <w:rPr>
          <w:rFonts w:cs="Arial"/>
        </w:rPr>
        <w:t>t</w:t>
      </w:r>
      <w:r w:rsidR="00B63C54" w:rsidRPr="00532434">
        <w:rPr>
          <w:rFonts w:cs="Arial"/>
        </w:rPr>
        <w:t>wo</w:t>
      </w:r>
      <w:r w:rsidRPr="00532434">
        <w:rPr>
          <w:rFonts w:cs="Arial"/>
        </w:rPr>
        <w:t xml:space="preserve"> examples.</w:t>
      </w:r>
      <w:r w:rsidR="006C7BAB" w:rsidRPr="00532434">
        <w:rPr>
          <w:rFonts w:cs="Arial"/>
        </w:rPr>
        <w:t xml:space="preserve"> </w:t>
      </w:r>
      <w:r w:rsidR="00451C4E" w:rsidRPr="00532434">
        <w:rPr>
          <w:rFonts w:cs="Arial"/>
        </w:rPr>
        <w:t xml:space="preserve">First, </w:t>
      </w:r>
      <w:r w:rsidR="00451C4E">
        <w:rPr>
          <w:rFonts w:cs="Arial"/>
        </w:rPr>
        <w:t>the 7</w:t>
      </w:r>
      <w:r w:rsidR="00451C4E" w:rsidRPr="006D304A">
        <w:rPr>
          <w:rFonts w:cs="Arial"/>
          <w:vertAlign w:val="superscript"/>
        </w:rPr>
        <w:t>th</w:t>
      </w:r>
      <w:r w:rsidR="00451C4E">
        <w:rPr>
          <w:rFonts w:cs="Arial"/>
        </w:rPr>
        <w:t xml:space="preserve"> National Nutrition Survey in the Philippines reported </w:t>
      </w:r>
      <w:r w:rsidR="006D304A">
        <w:rPr>
          <w:rFonts w:cs="Arial"/>
        </w:rPr>
        <w:t xml:space="preserve">the prevalence of serum folate &lt;7 nmol/L and RBC folate &lt;397 nmol/L as assessed </w:t>
      </w:r>
      <w:r w:rsidR="00451C4E">
        <w:rPr>
          <w:rFonts w:cs="Arial"/>
        </w:rPr>
        <w:t xml:space="preserve">using </w:t>
      </w:r>
      <w:r w:rsidR="005A092B">
        <w:rPr>
          <w:rFonts w:cs="Arial"/>
        </w:rPr>
        <w:t>the DPC Dual Count™</w:t>
      </w:r>
      <w:r w:rsidR="00451C4E">
        <w:rPr>
          <w:rFonts w:cs="Arial"/>
        </w:rPr>
        <w:t xml:space="preserve"> RIA</w:t>
      </w:r>
      <w:r w:rsidR="005A092B">
        <w:rPr>
          <w:rFonts w:cs="Arial"/>
        </w:rPr>
        <w:t xml:space="preserve"> (Table 3)</w:t>
      </w:r>
      <w:r w:rsidR="00451C4E">
        <w:rPr>
          <w:rFonts w:cs="Arial"/>
        </w:rPr>
        <w:t xml:space="preserve">. </w:t>
      </w:r>
      <w:r w:rsidR="005A092B">
        <w:rPr>
          <w:rFonts w:cs="Arial"/>
        </w:rPr>
        <w:t xml:space="preserve">For serum folate, this assay measured 65% higher than the Bio-Rad RIA and the Bio-Rad RIA measured 30% lower than the </w:t>
      </w:r>
      <w:r w:rsidR="005A092B" w:rsidRPr="00E637EF">
        <w:rPr>
          <w:rFonts w:cs="Arial"/>
        </w:rPr>
        <w:t>CDC MBA</w:t>
      </w:r>
      <w:r w:rsidR="005A092B">
        <w:rPr>
          <w:rFonts w:cs="Arial"/>
          <w:vertAlign w:val="subscript"/>
        </w:rPr>
        <w:t>C</w:t>
      </w:r>
      <w:r w:rsidR="005A092B">
        <w:rPr>
          <w:rFonts w:cs="Arial"/>
        </w:rPr>
        <w:t xml:space="preserve">; thus, the “assay factor” was 1.65 * 0.70 = 1.16; in other words, the DPC Dual Count™ RIA measured 16% higher than the </w:t>
      </w:r>
      <w:r w:rsidR="005A092B" w:rsidRPr="00E637EF">
        <w:rPr>
          <w:rFonts w:cs="Arial"/>
        </w:rPr>
        <w:t>CDC MBA</w:t>
      </w:r>
      <w:r w:rsidR="005A092B">
        <w:rPr>
          <w:rFonts w:cs="Arial"/>
          <w:vertAlign w:val="subscript"/>
        </w:rPr>
        <w:t>C</w:t>
      </w:r>
      <w:r w:rsidR="00541A3E">
        <w:rPr>
          <w:rFonts w:cs="Arial"/>
        </w:rPr>
        <w:t xml:space="preserve"> (</w:t>
      </w:r>
      <w:r w:rsidR="00ED6064">
        <w:rPr>
          <w:rFonts w:cs="Arial"/>
        </w:rPr>
        <w:t xml:space="preserve">Supplemental </w:t>
      </w:r>
      <w:r w:rsidR="00541A3E">
        <w:rPr>
          <w:rFonts w:cs="Arial"/>
        </w:rPr>
        <w:t>Table S1</w:t>
      </w:r>
      <w:r w:rsidR="00C201DD">
        <w:rPr>
          <w:rFonts w:cs="Arial"/>
        </w:rPr>
        <w:t>, Supporting Information; online only</w:t>
      </w:r>
      <w:r w:rsidR="00541A3E">
        <w:rPr>
          <w:rFonts w:cs="Arial"/>
        </w:rPr>
        <w:t>)</w:t>
      </w:r>
      <w:r w:rsidR="005A092B">
        <w:rPr>
          <w:rFonts w:cs="Arial"/>
        </w:rPr>
        <w:t xml:space="preserve">. </w:t>
      </w:r>
      <w:r w:rsidR="00541A3E">
        <w:rPr>
          <w:rFonts w:cs="Arial"/>
        </w:rPr>
        <w:t>Because the “cut-off factor” f</w:t>
      </w:r>
      <w:r w:rsidR="00451C4E">
        <w:rPr>
          <w:rFonts w:cs="Arial"/>
        </w:rPr>
        <w:t>or serum folate</w:t>
      </w:r>
      <w:r w:rsidR="00541A3E">
        <w:rPr>
          <w:rFonts w:cs="Arial"/>
        </w:rPr>
        <w:t xml:space="preserve"> was 1 (</w:t>
      </w:r>
      <w:r w:rsidR="00451C4E">
        <w:rPr>
          <w:rFonts w:cs="Arial"/>
        </w:rPr>
        <w:t>survey cut-off was the same as the MBA</w:t>
      </w:r>
      <w:r w:rsidR="00451C4E" w:rsidRPr="001B72C2">
        <w:rPr>
          <w:rFonts w:cs="Arial"/>
          <w:vertAlign w:val="subscript"/>
        </w:rPr>
        <w:t>C</w:t>
      </w:r>
      <w:r w:rsidR="00451C4E">
        <w:rPr>
          <w:rFonts w:cs="Arial"/>
        </w:rPr>
        <w:t xml:space="preserve"> cut-off for deficiency</w:t>
      </w:r>
      <w:r w:rsidR="00541A3E">
        <w:rPr>
          <w:rFonts w:cs="Arial"/>
        </w:rPr>
        <w:t>), the “prevalence factor” was 1.16</w:t>
      </w:r>
      <w:r w:rsidR="00532434">
        <w:rPr>
          <w:rFonts w:cs="Arial"/>
        </w:rPr>
        <w:t xml:space="preserve">.  </w:t>
      </w:r>
      <w:r w:rsidR="00D5618E" w:rsidRPr="00532434">
        <w:rPr>
          <w:rFonts w:cs="Arial"/>
        </w:rPr>
        <w:t xml:space="preserve">Because the </w:t>
      </w:r>
      <w:r w:rsidR="000F3AA5" w:rsidRPr="00532434">
        <w:rPr>
          <w:rFonts w:cs="Arial"/>
        </w:rPr>
        <w:t xml:space="preserve">“prevalence factor” was </w:t>
      </w:r>
      <w:r w:rsidR="008412B0">
        <w:rPr>
          <w:rFonts w:cs="Arial"/>
        </w:rPr>
        <w:t>more than</w:t>
      </w:r>
      <w:r w:rsidR="000F3AA5" w:rsidRPr="00532434">
        <w:rPr>
          <w:rFonts w:cs="Arial"/>
        </w:rPr>
        <w:t xml:space="preserve"> 15% higher than 1,</w:t>
      </w:r>
      <w:r w:rsidR="000F3AA5">
        <w:rPr>
          <w:rFonts w:cs="Arial"/>
        </w:rPr>
        <w:t xml:space="preserve"> </w:t>
      </w:r>
      <w:r w:rsidR="00532434">
        <w:rPr>
          <w:rFonts w:cs="Arial"/>
        </w:rPr>
        <w:t>w</w:t>
      </w:r>
      <w:r w:rsidR="00451C4E">
        <w:rPr>
          <w:rFonts w:cs="Arial"/>
        </w:rPr>
        <w:t xml:space="preserve">e </w:t>
      </w:r>
      <w:r w:rsidR="00541A3E">
        <w:rPr>
          <w:rFonts w:cs="Arial"/>
        </w:rPr>
        <w:t xml:space="preserve">therefore </w:t>
      </w:r>
      <w:r w:rsidR="00451C4E">
        <w:rPr>
          <w:rFonts w:cs="Arial"/>
        </w:rPr>
        <w:t xml:space="preserve">concluded that </w:t>
      </w:r>
      <w:r w:rsidR="00541A3E">
        <w:rPr>
          <w:rFonts w:cs="Arial"/>
        </w:rPr>
        <w:t>the</w:t>
      </w:r>
      <w:r w:rsidR="00451C4E">
        <w:rPr>
          <w:rFonts w:cs="Arial"/>
        </w:rPr>
        <w:t xml:space="preserve"> reported prevalence of serum folate deficiency</w:t>
      </w:r>
      <w:r w:rsidR="003E0292">
        <w:rPr>
          <w:rFonts w:cs="Arial"/>
        </w:rPr>
        <w:t xml:space="preserve"> </w:t>
      </w:r>
      <w:r w:rsidR="00541A3E">
        <w:rPr>
          <w:rFonts w:cs="Arial"/>
        </w:rPr>
        <w:t xml:space="preserve">likely </w:t>
      </w:r>
      <w:r w:rsidR="00451C4E">
        <w:rPr>
          <w:rFonts w:cs="Arial"/>
        </w:rPr>
        <w:t>underestimated</w:t>
      </w:r>
      <w:r w:rsidR="003E0292">
        <w:rPr>
          <w:rFonts w:cs="Arial"/>
        </w:rPr>
        <w:t xml:space="preserve"> deficiency</w:t>
      </w:r>
      <w:r w:rsidR="00451C4E">
        <w:rPr>
          <w:rFonts w:cs="Arial"/>
        </w:rPr>
        <w:t>.</w:t>
      </w:r>
      <w:r w:rsidR="003E0292">
        <w:rPr>
          <w:rFonts w:cs="Arial"/>
        </w:rPr>
        <w:t xml:space="preserve">  However, because </w:t>
      </w:r>
      <w:r w:rsidR="00541A3E">
        <w:rPr>
          <w:rFonts w:cs="Arial"/>
        </w:rPr>
        <w:t xml:space="preserve">we </w:t>
      </w:r>
      <w:r w:rsidR="003E0292">
        <w:rPr>
          <w:rFonts w:cs="Arial"/>
        </w:rPr>
        <w:t xml:space="preserve">had </w:t>
      </w:r>
      <w:r w:rsidR="00541A3E">
        <w:rPr>
          <w:rFonts w:cs="Arial"/>
        </w:rPr>
        <w:t xml:space="preserve">no proficiency testing data for </w:t>
      </w:r>
      <w:r w:rsidR="003E0292">
        <w:rPr>
          <w:rFonts w:cs="Arial"/>
        </w:rPr>
        <w:t xml:space="preserve">RBC folate </w:t>
      </w:r>
      <w:r w:rsidR="00541A3E">
        <w:rPr>
          <w:rFonts w:cs="Arial"/>
        </w:rPr>
        <w:t>for that assay</w:t>
      </w:r>
      <w:r w:rsidR="003E0292">
        <w:rPr>
          <w:rFonts w:cs="Arial"/>
        </w:rPr>
        <w:t xml:space="preserve">, we could not assess </w:t>
      </w:r>
      <w:r w:rsidR="00CC0EB1">
        <w:rPr>
          <w:rFonts w:cs="Arial"/>
        </w:rPr>
        <w:t xml:space="preserve">possible </w:t>
      </w:r>
      <w:r w:rsidR="003E0292">
        <w:rPr>
          <w:rFonts w:cs="Arial"/>
        </w:rPr>
        <w:t>bias in RBC folate deficiency.</w:t>
      </w:r>
      <w:r w:rsidR="00B63C54">
        <w:rPr>
          <w:rFonts w:cs="Arial"/>
        </w:rPr>
        <w:t xml:space="preserve"> </w:t>
      </w:r>
      <w:r w:rsidR="003E0292">
        <w:rPr>
          <w:rFonts w:cs="Arial"/>
        </w:rPr>
        <w:t xml:space="preserve">Second, the 2014 Cambodian Micronutrient survey reported </w:t>
      </w:r>
      <w:r w:rsidR="006D304A">
        <w:rPr>
          <w:rFonts w:cs="Arial"/>
        </w:rPr>
        <w:t xml:space="preserve">the prevalence of serum folate &lt;10 nmol/L as assessed </w:t>
      </w:r>
      <w:r w:rsidR="003E0292">
        <w:rPr>
          <w:rFonts w:cs="Arial"/>
        </w:rPr>
        <w:t xml:space="preserve">using </w:t>
      </w:r>
      <w:r w:rsidR="00541A3E">
        <w:rPr>
          <w:rFonts w:cs="Arial"/>
        </w:rPr>
        <w:t xml:space="preserve">the Roche </w:t>
      </w:r>
      <w:proofErr w:type="spellStart"/>
      <w:r w:rsidR="00541A3E">
        <w:rPr>
          <w:rFonts w:cs="Arial"/>
        </w:rPr>
        <w:t>cobas</w:t>
      </w:r>
      <w:proofErr w:type="spellEnd"/>
      <w:r w:rsidR="00541A3E">
        <w:rPr>
          <w:rFonts w:cs="Arial"/>
        </w:rPr>
        <w:t>® e411</w:t>
      </w:r>
      <w:r w:rsidR="003E0292">
        <w:rPr>
          <w:rFonts w:cs="Arial"/>
        </w:rPr>
        <w:t xml:space="preserve"> IA</w:t>
      </w:r>
      <w:r w:rsidR="00541A3E">
        <w:rPr>
          <w:rFonts w:cs="Arial"/>
        </w:rPr>
        <w:t xml:space="preserve"> (Table 2)</w:t>
      </w:r>
      <w:r w:rsidR="003E0292">
        <w:rPr>
          <w:rFonts w:cs="Arial"/>
        </w:rPr>
        <w:t xml:space="preserve">. </w:t>
      </w:r>
      <w:r w:rsidR="00541A3E">
        <w:rPr>
          <w:rFonts w:cs="Arial"/>
        </w:rPr>
        <w:t>For serum folate, this assay measured 5</w:t>
      </w:r>
      <w:r w:rsidR="00B63C54">
        <w:rPr>
          <w:rFonts w:cs="Arial"/>
        </w:rPr>
        <w:t>9</w:t>
      </w:r>
      <w:r w:rsidR="00541A3E">
        <w:rPr>
          <w:rFonts w:cs="Arial"/>
        </w:rPr>
        <w:t xml:space="preserve">% higher than the </w:t>
      </w:r>
      <w:r w:rsidR="00541A3E" w:rsidRPr="00E637EF">
        <w:rPr>
          <w:rFonts w:cs="Arial"/>
        </w:rPr>
        <w:t>CDC MBA</w:t>
      </w:r>
      <w:r w:rsidR="00541A3E">
        <w:rPr>
          <w:rFonts w:cs="Arial"/>
          <w:vertAlign w:val="subscript"/>
        </w:rPr>
        <w:t>C</w:t>
      </w:r>
      <w:r w:rsidR="000F3AA5">
        <w:rPr>
          <w:rFonts w:cs="Arial"/>
          <w:vertAlign w:val="subscript"/>
        </w:rPr>
        <w:t xml:space="preserve"> </w:t>
      </w:r>
      <w:r w:rsidR="000F3AA5" w:rsidRPr="00C201DD">
        <w:rPr>
          <w:rFonts w:cs="Arial"/>
        </w:rPr>
        <w:t>(Supplemental Table S1</w:t>
      </w:r>
      <w:r w:rsidR="00C201DD">
        <w:rPr>
          <w:rFonts w:cs="Arial"/>
        </w:rPr>
        <w:t>, Supporting Information; online only</w:t>
      </w:r>
      <w:r w:rsidR="000F3AA5" w:rsidRPr="00C201DD">
        <w:rPr>
          <w:rFonts w:cs="Arial"/>
        </w:rPr>
        <w:t>)</w:t>
      </w:r>
      <w:r w:rsidR="00541A3E">
        <w:rPr>
          <w:rFonts w:cs="Arial"/>
        </w:rPr>
        <w:t>; thus, the “assay factor” was 1.5</w:t>
      </w:r>
      <w:r w:rsidR="00B63C54">
        <w:rPr>
          <w:rFonts w:cs="Arial"/>
        </w:rPr>
        <w:t>9</w:t>
      </w:r>
      <w:r w:rsidR="00C201DD">
        <w:rPr>
          <w:rFonts w:cs="Arial"/>
        </w:rPr>
        <w:t xml:space="preserve"> </w:t>
      </w:r>
      <w:r w:rsidR="000F3AA5" w:rsidRPr="00C201DD">
        <w:rPr>
          <w:rFonts w:cs="Arial"/>
        </w:rPr>
        <w:t>(Table 2)</w:t>
      </w:r>
      <w:r w:rsidR="00541A3E" w:rsidRPr="00C201DD">
        <w:rPr>
          <w:rFonts w:cs="Arial"/>
        </w:rPr>
        <w:t>.</w:t>
      </w:r>
      <w:r w:rsidR="00541A3E">
        <w:rPr>
          <w:rFonts w:cs="Arial"/>
        </w:rPr>
        <w:t xml:space="preserve"> </w:t>
      </w:r>
      <w:r w:rsidR="00B63C54">
        <w:rPr>
          <w:rFonts w:cs="Arial"/>
        </w:rPr>
        <w:t>The “cut-off factor” was 1.43 (10/7) and the “prevalence factor” was 1.11 (1.59/1.43).</w:t>
      </w:r>
      <w:r w:rsidR="003E0292">
        <w:rPr>
          <w:rFonts w:cs="Arial"/>
        </w:rPr>
        <w:t xml:space="preserve"> </w:t>
      </w:r>
      <w:r w:rsidR="00B63C54">
        <w:rPr>
          <w:rFonts w:cs="Arial"/>
        </w:rPr>
        <w:t>Because the “prevalence factor” deviated by &lt;15% from 1, we concluded that the reported prevalence of serum folate deficiency was likely correct.</w:t>
      </w:r>
      <w:r w:rsidR="00F63DB1">
        <w:rPr>
          <w:rFonts w:cs="Arial"/>
        </w:rPr>
        <w:t xml:space="preserve"> These two examples show how i</w:t>
      </w:r>
      <w:r w:rsidR="00D9742F">
        <w:rPr>
          <w:rFonts w:cs="Arial"/>
        </w:rPr>
        <w:t>mportant it is to consider both</w:t>
      </w:r>
      <w:r w:rsidR="00F63DB1">
        <w:rPr>
          <w:rFonts w:cs="Arial"/>
        </w:rPr>
        <w:t xml:space="preserve"> how the survey assay measured relative to the </w:t>
      </w:r>
      <w:r w:rsidR="00F63DB1" w:rsidRPr="00E637EF">
        <w:rPr>
          <w:rFonts w:cs="Arial"/>
        </w:rPr>
        <w:t>CDC MBA</w:t>
      </w:r>
      <w:r w:rsidR="00F63DB1">
        <w:rPr>
          <w:rFonts w:cs="Arial"/>
          <w:vertAlign w:val="subscript"/>
        </w:rPr>
        <w:t>C</w:t>
      </w:r>
      <w:r w:rsidR="00F63DB1">
        <w:rPr>
          <w:rFonts w:cs="Arial"/>
        </w:rPr>
        <w:t xml:space="preserve"> and how the survey cut-off compared to the recommended MBA</w:t>
      </w:r>
      <w:r w:rsidR="00F63DB1">
        <w:rPr>
          <w:rFonts w:cs="Arial"/>
          <w:vertAlign w:val="subscript"/>
        </w:rPr>
        <w:t>C</w:t>
      </w:r>
      <w:r w:rsidR="00F63DB1">
        <w:rPr>
          <w:rFonts w:cs="Arial"/>
        </w:rPr>
        <w:t xml:space="preserve"> cut-off, when interpreting prevalence estimates.</w:t>
      </w:r>
    </w:p>
    <w:p w14:paraId="1DBF4495" w14:textId="60171222" w:rsidR="00AB615E" w:rsidRDefault="006D304A" w:rsidP="00143B9F">
      <w:pPr>
        <w:spacing w:after="0" w:line="360" w:lineRule="auto"/>
        <w:ind w:firstLine="720"/>
        <w:jc w:val="both"/>
        <w:rPr>
          <w:rFonts w:cs="Arial"/>
        </w:rPr>
      </w:pPr>
      <w:r>
        <w:rPr>
          <w:rFonts w:cs="Arial"/>
        </w:rPr>
        <w:t>I</w:t>
      </w:r>
      <w:r w:rsidR="00AB615E" w:rsidRPr="00E637EF">
        <w:rPr>
          <w:rFonts w:cs="Arial"/>
        </w:rPr>
        <w:t>n an attempt to simplify the cut</w:t>
      </w:r>
      <w:r w:rsidR="00AB615E">
        <w:rPr>
          <w:rFonts w:cs="Arial"/>
        </w:rPr>
        <w:t>-</w:t>
      </w:r>
      <w:r w:rsidR="00AB615E" w:rsidRPr="00E637EF">
        <w:rPr>
          <w:rFonts w:cs="Arial"/>
        </w:rPr>
        <w:t>off</w:t>
      </w:r>
      <w:r w:rsidR="00AB615E">
        <w:rPr>
          <w:rFonts w:cs="Arial"/>
        </w:rPr>
        <w:t xml:space="preserve"> </w:t>
      </w:r>
      <w:r w:rsidR="00AB615E" w:rsidRPr="00E637EF">
        <w:rPr>
          <w:rFonts w:cs="Arial"/>
        </w:rPr>
        <w:t>values presented in this article, we round</w:t>
      </w:r>
      <w:r w:rsidR="00AB615E">
        <w:rPr>
          <w:rFonts w:cs="Arial"/>
        </w:rPr>
        <w:t>ed</w:t>
      </w:r>
      <w:r w:rsidR="00AB615E" w:rsidRPr="00E637EF">
        <w:rPr>
          <w:rFonts w:cs="Arial"/>
        </w:rPr>
        <w:t xml:space="preserve"> to the nearest integer (e.g., &lt;</w:t>
      </w:r>
      <w:proofErr w:type="gramStart"/>
      <w:r w:rsidR="00AB615E" w:rsidRPr="00E637EF">
        <w:rPr>
          <w:rFonts w:cs="Arial"/>
        </w:rPr>
        <w:t>7</w:t>
      </w:r>
      <w:proofErr w:type="gramEnd"/>
      <w:r w:rsidR="00AB615E" w:rsidRPr="00E637EF">
        <w:rPr>
          <w:rFonts w:cs="Arial"/>
        </w:rPr>
        <w:t xml:space="preserve"> nmol/L instead of &lt;6.8 nmol/L).</w:t>
      </w:r>
      <w:r w:rsidR="00036342">
        <w:rPr>
          <w:rFonts w:cs="Arial"/>
        </w:rPr>
        <w:t xml:space="preserve"> </w:t>
      </w:r>
    </w:p>
    <w:sectPr w:rsidR="00AB615E" w:rsidSect="00C63089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5788A" w14:textId="77777777" w:rsidR="00BA36E1" w:rsidRDefault="00BA36E1" w:rsidP="009439E3">
      <w:pPr>
        <w:spacing w:after="0" w:line="240" w:lineRule="auto"/>
      </w:pPr>
      <w:r>
        <w:separator/>
      </w:r>
    </w:p>
  </w:endnote>
  <w:endnote w:type="continuationSeparator" w:id="0">
    <w:p w14:paraId="77747F0C" w14:textId="77777777" w:rsidR="00BA36E1" w:rsidRDefault="00BA36E1" w:rsidP="0094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89F2" w14:textId="77777777" w:rsidR="00BA36E1" w:rsidRDefault="00BA36E1" w:rsidP="009439E3">
      <w:pPr>
        <w:spacing w:after="0" w:line="240" w:lineRule="auto"/>
      </w:pPr>
      <w:r>
        <w:separator/>
      </w:r>
    </w:p>
  </w:footnote>
  <w:footnote w:type="continuationSeparator" w:id="0">
    <w:p w14:paraId="0CD1BAA6" w14:textId="77777777" w:rsidR="00BA36E1" w:rsidRDefault="00BA36E1" w:rsidP="0094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20F1B" w14:textId="7241263D" w:rsidR="00777409" w:rsidRPr="009439E3" w:rsidRDefault="007C4FB4" w:rsidP="009439E3">
    <w:pPr>
      <w:pStyle w:val="Header"/>
      <w:jc w:val="right"/>
      <w:rPr>
        <w:lang w:val="en-GB"/>
      </w:rPr>
    </w:pPr>
    <w:r w:rsidRPr="007C4FB4">
      <w:rPr>
        <w:lang w:val="en-GB"/>
      </w:rPr>
      <w:t>Folate status in women and methodological issues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5E"/>
    <w:rsid w:val="00036342"/>
    <w:rsid w:val="00063691"/>
    <w:rsid w:val="000B614D"/>
    <w:rsid w:val="000E3C79"/>
    <w:rsid w:val="000F3AA5"/>
    <w:rsid w:val="000F5299"/>
    <w:rsid w:val="00133072"/>
    <w:rsid w:val="00143B9F"/>
    <w:rsid w:val="00194E72"/>
    <w:rsid w:val="001A0384"/>
    <w:rsid w:val="001C6043"/>
    <w:rsid w:val="001E4DD7"/>
    <w:rsid w:val="001E6BAE"/>
    <w:rsid w:val="0021169D"/>
    <w:rsid w:val="002554C4"/>
    <w:rsid w:val="002646EC"/>
    <w:rsid w:val="0028722E"/>
    <w:rsid w:val="002F66DD"/>
    <w:rsid w:val="00302F72"/>
    <w:rsid w:val="00375385"/>
    <w:rsid w:val="00384982"/>
    <w:rsid w:val="003B0BDF"/>
    <w:rsid w:val="003B623B"/>
    <w:rsid w:val="003E0292"/>
    <w:rsid w:val="0041416E"/>
    <w:rsid w:val="0043488E"/>
    <w:rsid w:val="00451C4E"/>
    <w:rsid w:val="00455AEB"/>
    <w:rsid w:val="004633C7"/>
    <w:rsid w:val="004D4F0C"/>
    <w:rsid w:val="0050350D"/>
    <w:rsid w:val="005222F4"/>
    <w:rsid w:val="00532434"/>
    <w:rsid w:val="00541A3E"/>
    <w:rsid w:val="005A032E"/>
    <w:rsid w:val="005A092B"/>
    <w:rsid w:val="005C3328"/>
    <w:rsid w:val="005D524F"/>
    <w:rsid w:val="00607E92"/>
    <w:rsid w:val="00610DB1"/>
    <w:rsid w:val="00611E38"/>
    <w:rsid w:val="00633401"/>
    <w:rsid w:val="006341D6"/>
    <w:rsid w:val="006806ED"/>
    <w:rsid w:val="00690D1A"/>
    <w:rsid w:val="00692ECB"/>
    <w:rsid w:val="006B4CEB"/>
    <w:rsid w:val="006C7BAB"/>
    <w:rsid w:val="006D0E3D"/>
    <w:rsid w:val="006D304A"/>
    <w:rsid w:val="006E4EAE"/>
    <w:rsid w:val="006E60FE"/>
    <w:rsid w:val="0070402F"/>
    <w:rsid w:val="007155F0"/>
    <w:rsid w:val="00733609"/>
    <w:rsid w:val="00741ABC"/>
    <w:rsid w:val="00777409"/>
    <w:rsid w:val="007A2DD5"/>
    <w:rsid w:val="007A3111"/>
    <w:rsid w:val="007B1A15"/>
    <w:rsid w:val="007C4FB4"/>
    <w:rsid w:val="007E6940"/>
    <w:rsid w:val="007F216D"/>
    <w:rsid w:val="00813865"/>
    <w:rsid w:val="008412B0"/>
    <w:rsid w:val="00887DC8"/>
    <w:rsid w:val="0089163D"/>
    <w:rsid w:val="008E219D"/>
    <w:rsid w:val="00926FB2"/>
    <w:rsid w:val="009439E3"/>
    <w:rsid w:val="0096455D"/>
    <w:rsid w:val="00970167"/>
    <w:rsid w:val="0097157A"/>
    <w:rsid w:val="009C16C1"/>
    <w:rsid w:val="009E77B3"/>
    <w:rsid w:val="00A20333"/>
    <w:rsid w:val="00A45594"/>
    <w:rsid w:val="00A47C73"/>
    <w:rsid w:val="00A65EC4"/>
    <w:rsid w:val="00AA72BA"/>
    <w:rsid w:val="00AB615E"/>
    <w:rsid w:val="00AD25FC"/>
    <w:rsid w:val="00AD6EAB"/>
    <w:rsid w:val="00AF0C80"/>
    <w:rsid w:val="00B26172"/>
    <w:rsid w:val="00B44688"/>
    <w:rsid w:val="00B51F30"/>
    <w:rsid w:val="00B52E5F"/>
    <w:rsid w:val="00B63C54"/>
    <w:rsid w:val="00B679BB"/>
    <w:rsid w:val="00BA36E1"/>
    <w:rsid w:val="00BB6C65"/>
    <w:rsid w:val="00BC1EAB"/>
    <w:rsid w:val="00BC4D12"/>
    <w:rsid w:val="00BD5C83"/>
    <w:rsid w:val="00C201DD"/>
    <w:rsid w:val="00C33190"/>
    <w:rsid w:val="00C44A9D"/>
    <w:rsid w:val="00C47231"/>
    <w:rsid w:val="00C530DA"/>
    <w:rsid w:val="00C63089"/>
    <w:rsid w:val="00C8114D"/>
    <w:rsid w:val="00CC0EB1"/>
    <w:rsid w:val="00CE25F6"/>
    <w:rsid w:val="00D124EE"/>
    <w:rsid w:val="00D5618E"/>
    <w:rsid w:val="00D76F46"/>
    <w:rsid w:val="00D9742F"/>
    <w:rsid w:val="00D97BB0"/>
    <w:rsid w:val="00DA4134"/>
    <w:rsid w:val="00DF4F5F"/>
    <w:rsid w:val="00DF6981"/>
    <w:rsid w:val="00E01451"/>
    <w:rsid w:val="00E133B7"/>
    <w:rsid w:val="00E34E60"/>
    <w:rsid w:val="00E35374"/>
    <w:rsid w:val="00E51B45"/>
    <w:rsid w:val="00E637E1"/>
    <w:rsid w:val="00E918D3"/>
    <w:rsid w:val="00ED6064"/>
    <w:rsid w:val="00EF172E"/>
    <w:rsid w:val="00F12418"/>
    <w:rsid w:val="00F273F1"/>
    <w:rsid w:val="00F46D28"/>
    <w:rsid w:val="00F51848"/>
    <w:rsid w:val="00F63DB1"/>
    <w:rsid w:val="00FA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5908"/>
  <w15:docId w15:val="{B3FD1794-3E5C-4CCD-9D69-614428BE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5E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6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15E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5E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9E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9E3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409"/>
    <w:rPr>
      <w:rFonts w:eastAsiaTheme="minorHAnsi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B51F3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5618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kneqas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Lisa</dc:creator>
  <cp:lastModifiedBy>Anar Murphy</cp:lastModifiedBy>
  <cp:revision>3</cp:revision>
  <cp:lastPrinted>2017-10-27T17:58:00Z</cp:lastPrinted>
  <dcterms:created xsi:type="dcterms:W3CDTF">2018-08-13T15:41:00Z</dcterms:created>
  <dcterms:modified xsi:type="dcterms:W3CDTF">2018-08-13T15:41:00Z</dcterms:modified>
</cp:coreProperties>
</file>