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8A478" w14:textId="77777777" w:rsidR="00006253" w:rsidRPr="004F32A2" w:rsidRDefault="00006253" w:rsidP="00006253">
      <w:pPr>
        <w:spacing w:line="360" w:lineRule="auto"/>
        <w:rPr>
          <w:b/>
          <w:sz w:val="22"/>
          <w:szCs w:val="22"/>
        </w:rPr>
      </w:pPr>
      <w:bookmarkStart w:id="0" w:name="_GoBack"/>
      <w:bookmarkEnd w:id="0"/>
      <w:r w:rsidRPr="004F32A2">
        <w:rPr>
          <w:b/>
          <w:sz w:val="22"/>
          <w:szCs w:val="22"/>
        </w:rPr>
        <w:t>S</w:t>
      </w:r>
      <w:r>
        <w:rPr>
          <w:b/>
          <w:sz w:val="22"/>
          <w:szCs w:val="22"/>
        </w:rPr>
        <w:t>2 file</w:t>
      </w:r>
      <w:r w:rsidRPr="004F32A2">
        <w:rPr>
          <w:b/>
          <w:sz w:val="22"/>
          <w:szCs w:val="22"/>
        </w:rPr>
        <w:t xml:space="preserve">. Reported STI cases, </w:t>
      </w:r>
      <w:r>
        <w:rPr>
          <w:b/>
          <w:sz w:val="22"/>
          <w:szCs w:val="22"/>
        </w:rPr>
        <w:t>and</w:t>
      </w:r>
      <w:r w:rsidRPr="001D2327">
        <w:rPr>
          <w:b/>
          <w:sz w:val="22"/>
          <w:szCs w:val="22"/>
        </w:rPr>
        <w:t xml:space="preserve"> </w:t>
      </w:r>
      <w:r>
        <w:rPr>
          <w:b/>
          <w:sz w:val="22"/>
          <w:szCs w:val="22"/>
        </w:rPr>
        <w:t>STI p</w:t>
      </w:r>
      <w:r w:rsidRPr="00F904E1">
        <w:rPr>
          <w:b/>
          <w:sz w:val="22"/>
          <w:szCs w:val="22"/>
        </w:rPr>
        <w:t>revalences among women</w:t>
      </w:r>
      <w:r>
        <w:rPr>
          <w:b/>
          <w:sz w:val="22"/>
          <w:szCs w:val="22"/>
        </w:rPr>
        <w:t xml:space="preserve"> with Vaginal Discharge Syndrome, </w:t>
      </w:r>
      <w:r w:rsidRPr="004F32A2">
        <w:rPr>
          <w:b/>
          <w:sz w:val="22"/>
          <w:szCs w:val="22"/>
        </w:rPr>
        <w:t>South Africa</w:t>
      </w:r>
    </w:p>
    <w:p w14:paraId="296A501C" w14:textId="77777777" w:rsidR="00E7542A" w:rsidRPr="00E7542A" w:rsidRDefault="00E7542A" w:rsidP="00E7542A">
      <w:pPr>
        <w:spacing w:line="360" w:lineRule="auto"/>
        <w:rPr>
          <w:sz w:val="22"/>
          <w:szCs w:val="22"/>
        </w:rPr>
      </w:pPr>
      <w:bookmarkStart w:id="1" w:name="_Hlk517086370"/>
      <w:bookmarkEnd w:id="1"/>
    </w:p>
    <w:p w14:paraId="6E9004B5" w14:textId="45F08DDB" w:rsidR="00E7542A" w:rsidRPr="00E7542A" w:rsidRDefault="00E7542A" w:rsidP="00E7542A">
      <w:pPr>
        <w:spacing w:line="276" w:lineRule="auto"/>
        <w:rPr>
          <w:sz w:val="22"/>
          <w:szCs w:val="22"/>
        </w:rPr>
      </w:pPr>
      <w:r w:rsidRPr="00E7542A">
        <w:rPr>
          <w:sz w:val="22"/>
          <w:szCs w:val="22"/>
        </w:rPr>
        <w:t>Supplementary file to:</w:t>
      </w:r>
      <w:r w:rsidRPr="00E7542A">
        <w:rPr>
          <w:i/>
          <w:sz w:val="22"/>
          <w:szCs w:val="22"/>
        </w:rPr>
        <w:t xml:space="preserve"> Adult gonorrhea, chlamydia and syphilis prevalence, incidence, treatment and syndromic case reporting in South Africa: estimates using the Spectrum-STI model, 1990-2017</w:t>
      </w:r>
      <w:r w:rsidRPr="00E7542A">
        <w:rPr>
          <w:sz w:val="22"/>
          <w:szCs w:val="22"/>
        </w:rPr>
        <w:t xml:space="preserve">, by Kularatne-RS, Korenromp-EL et al., version </w:t>
      </w:r>
      <w:r w:rsidR="005F3256">
        <w:rPr>
          <w:sz w:val="22"/>
          <w:szCs w:val="22"/>
        </w:rPr>
        <w:t>2</w:t>
      </w:r>
      <w:r w:rsidR="00F52849">
        <w:rPr>
          <w:sz w:val="22"/>
          <w:szCs w:val="22"/>
        </w:rPr>
        <w:t>6</w:t>
      </w:r>
      <w:r w:rsidRPr="00E7542A">
        <w:rPr>
          <w:sz w:val="22"/>
          <w:szCs w:val="22"/>
        </w:rPr>
        <w:t xml:space="preserve"> </w:t>
      </w:r>
      <w:r w:rsidR="00BA20CF">
        <w:rPr>
          <w:sz w:val="22"/>
          <w:szCs w:val="22"/>
        </w:rPr>
        <w:t>Sept.</w:t>
      </w:r>
      <w:r w:rsidRPr="00E7542A">
        <w:rPr>
          <w:sz w:val="22"/>
          <w:szCs w:val="22"/>
        </w:rPr>
        <w:t xml:space="preserve"> 2018</w:t>
      </w:r>
    </w:p>
    <w:p w14:paraId="2611847C" w14:textId="77777777" w:rsidR="00E7542A" w:rsidRDefault="00E7542A" w:rsidP="00006253">
      <w:pPr>
        <w:spacing w:line="360" w:lineRule="auto"/>
        <w:rPr>
          <w:sz w:val="22"/>
          <w:szCs w:val="22"/>
        </w:rPr>
      </w:pPr>
    </w:p>
    <w:p w14:paraId="09145A7F" w14:textId="77777777" w:rsidR="00E7542A" w:rsidRDefault="00E7542A" w:rsidP="00006253">
      <w:pPr>
        <w:spacing w:line="360" w:lineRule="auto"/>
        <w:rPr>
          <w:sz w:val="22"/>
          <w:szCs w:val="22"/>
        </w:rPr>
      </w:pPr>
    </w:p>
    <w:p w14:paraId="0A2B0361" w14:textId="39A3E64B" w:rsidR="00342D32" w:rsidRDefault="00006253" w:rsidP="00342D32">
      <w:pPr>
        <w:spacing w:line="360" w:lineRule="auto"/>
        <w:rPr>
          <w:iCs/>
          <w:sz w:val="22"/>
          <w:szCs w:val="22"/>
        </w:rPr>
      </w:pPr>
      <w:r>
        <w:rPr>
          <w:iCs/>
          <w:sz w:val="22"/>
          <w:szCs w:val="22"/>
        </w:rPr>
        <w:t xml:space="preserve">S2 Table </w:t>
      </w:r>
      <w:r w:rsidR="00342D32">
        <w:rPr>
          <w:iCs/>
          <w:sz w:val="22"/>
          <w:szCs w:val="22"/>
        </w:rPr>
        <w:t>records the annual number of new cases of Male Urethritis Syndrome (MUS), male and female Genital Ulcer Syndrome (GUS), and Vaginal Discharge Syndrome (VDS).  The MUS figures are the number of Male Urethritis Syndrome MUS cases reported nation-wide to the National Indicator Dataset (NIDS) of the District Health Information System (DHIS)</w:t>
      </w:r>
      <w:r w:rsidR="00342D32">
        <w:rPr>
          <w:iCs/>
          <w:sz w:val="22"/>
          <w:szCs w:val="22"/>
        </w:rPr>
        <w:fldChar w:fldCharType="begin"/>
      </w:r>
      <w:r w:rsidR="00342D32">
        <w:rPr>
          <w:iCs/>
          <w:sz w:val="22"/>
          <w:szCs w:val="22"/>
        </w:rPr>
        <w:instrText xml:space="preserve"> ADDIN EN.CITE &lt;EndNote&gt;&lt;Cite ExcludeYear="1"&gt;&lt;Author&gt;South Africa National Department of Health&lt;/Author&gt;&lt;RecNum&gt;5997&lt;/RecNum&gt;&lt;DisplayText&gt;(1)&lt;/DisplayText&gt;&lt;record&gt;&lt;rec-number&gt;5997&lt;/rec-number&gt;&lt;foreign-keys&gt;&lt;key app="EN" db-id="wvsevwdt20sx96epd0cxpf5cpdtsw905v2sz" timestamp="1528366177"&gt;5997&lt;/key&gt;&lt;/foreign-keys&gt;&lt;ref-type name="Web Page"&gt;12&lt;/ref-type&gt;&lt;contributors&gt;&lt;authors&gt;&lt;author&gt;South Africa National Department of Health,&lt;/author&gt;&lt;/authors&gt;&lt;/contributors&gt;&lt;titles&gt;&lt;title&gt;National Integrated District Health Information System&lt;/title&gt;&lt;/titles&gt;&lt;volume&gt;2018&lt;/volume&gt;&lt;number&gt;07 June&lt;/number&gt;&lt;dates&gt;&lt;/dates&gt;&lt;pub-location&gt;Pretoria&lt;/pub-location&gt;&lt;urls&gt;&lt;related-urls&gt;&lt;url&gt;https://za.dhis.dhmis.org/dhis-web-commons/security/login.action&lt;/url&gt;&lt;/related-urls&gt;&lt;/urls&gt;&lt;/record&gt;&lt;/Cite&gt;&lt;/EndNote&gt;</w:instrText>
      </w:r>
      <w:r w:rsidR="00342D32">
        <w:rPr>
          <w:iCs/>
          <w:sz w:val="22"/>
          <w:szCs w:val="22"/>
        </w:rPr>
        <w:fldChar w:fldCharType="separate"/>
      </w:r>
      <w:r w:rsidR="00342D32">
        <w:rPr>
          <w:iCs/>
          <w:noProof/>
          <w:sz w:val="22"/>
          <w:szCs w:val="22"/>
        </w:rPr>
        <w:t>(1)</w:t>
      </w:r>
      <w:r w:rsidR="00342D32">
        <w:rPr>
          <w:iCs/>
          <w:sz w:val="22"/>
          <w:szCs w:val="22"/>
        </w:rPr>
        <w:fldChar w:fldCharType="end"/>
      </w:r>
      <w:r w:rsidR="00342D32">
        <w:rPr>
          <w:iCs/>
          <w:sz w:val="22"/>
          <w:szCs w:val="22"/>
        </w:rPr>
        <w:t xml:space="preserve"> by all 4,489 primary healthcare facilities, including 818 mobile clinic. All clinics are required to report this information (National Department of Health’s District Health Management Information System Policy 2011).  National case reporting for MUS commenced in 2001.  Data on the other indicators are from sentinel sites; since 2005 NIDS has been collecting data from 264 sentinel primary healthcare facilities </w:t>
      </w:r>
      <w:r w:rsidR="00342D32">
        <w:rPr>
          <w:iCs/>
          <w:sz w:val="22"/>
          <w:szCs w:val="22"/>
        </w:rPr>
        <w:fldChar w:fldCharType="begin"/>
      </w:r>
      <w:r w:rsidR="00342D32">
        <w:rPr>
          <w:iCs/>
          <w:sz w:val="22"/>
          <w:szCs w:val="22"/>
        </w:rPr>
        <w:instrText xml:space="preserve"> ADDIN EN.CITE &lt;EndNote&gt;&lt;Cite ExcludeYear="1"&gt;&lt;Author&gt;South Africa National Department of Health&lt;/Author&gt;&lt;RecNum&gt;5997&lt;/RecNum&gt;&lt;DisplayText&gt;(1)&lt;/DisplayText&gt;&lt;record&gt;&lt;rec-number&gt;5997&lt;/rec-number&gt;&lt;foreign-keys&gt;&lt;key app="EN" db-id="wvsevwdt20sx96epd0cxpf5cpdtsw905v2sz" timestamp="1528366177"&gt;5997&lt;/key&gt;&lt;/foreign-keys&gt;&lt;ref-type name="Web Page"&gt;12&lt;/ref-type&gt;&lt;contributors&gt;&lt;authors&gt;&lt;author&gt;South Africa National Department of Health,&lt;/author&gt;&lt;/authors&gt;&lt;/contributors&gt;&lt;titles&gt;&lt;title&gt;National Integrated District Health Information System&lt;/title&gt;&lt;/titles&gt;&lt;volume&gt;2018&lt;/volume&gt;&lt;number&gt;07 June&lt;/number&gt;&lt;dates&gt;&lt;/dates&gt;&lt;pub-location&gt;Pretoria&lt;/pub-location&gt;&lt;urls&gt;&lt;related-urls&gt;&lt;url&gt;https://za.dhis.dhmis.org/dhis-web-commons/security/login.action&lt;/url&gt;&lt;/related-urls&gt;&lt;/urls&gt;&lt;/record&gt;&lt;/Cite&gt;&lt;/EndNote&gt;</w:instrText>
      </w:r>
      <w:r w:rsidR="00342D32">
        <w:rPr>
          <w:iCs/>
          <w:sz w:val="22"/>
          <w:szCs w:val="22"/>
        </w:rPr>
        <w:fldChar w:fldCharType="separate"/>
      </w:r>
      <w:r w:rsidR="00342D32">
        <w:rPr>
          <w:iCs/>
          <w:noProof/>
          <w:sz w:val="22"/>
          <w:szCs w:val="22"/>
        </w:rPr>
        <w:t>(1)</w:t>
      </w:r>
      <w:r w:rsidR="00342D32">
        <w:rPr>
          <w:iCs/>
          <w:sz w:val="22"/>
          <w:szCs w:val="22"/>
        </w:rPr>
        <w:fldChar w:fldCharType="end"/>
      </w:r>
    </w:p>
    <w:p w14:paraId="6CE07E9E" w14:textId="32F8B9E6" w:rsidR="00006253" w:rsidRPr="00A508E6" w:rsidRDefault="00006253" w:rsidP="00006253">
      <w:pPr>
        <w:spacing w:line="360" w:lineRule="auto"/>
        <w:rPr>
          <w:sz w:val="22"/>
          <w:szCs w:val="22"/>
        </w:rPr>
      </w:pPr>
    </w:p>
    <w:p w14:paraId="58B03965" w14:textId="48FDFC37" w:rsidR="00006253" w:rsidRDefault="00006253" w:rsidP="00006253">
      <w:pPr>
        <w:spacing w:line="360" w:lineRule="auto"/>
        <w:rPr>
          <w:iCs/>
          <w:sz w:val="22"/>
          <w:szCs w:val="22"/>
        </w:rPr>
      </w:pPr>
      <w:r>
        <w:rPr>
          <w:iCs/>
          <w:sz w:val="22"/>
          <w:szCs w:val="22"/>
        </w:rPr>
        <w:t>For all three syndromes</w:t>
      </w:r>
      <w:r w:rsidR="00342D32">
        <w:rPr>
          <w:iCs/>
          <w:sz w:val="22"/>
          <w:szCs w:val="22"/>
        </w:rPr>
        <w:t xml:space="preserve"> the</w:t>
      </w:r>
      <w:r>
        <w:rPr>
          <w:iCs/>
          <w:sz w:val="22"/>
          <w:szCs w:val="22"/>
        </w:rPr>
        <w:t xml:space="preserve"> annual number</w:t>
      </w:r>
      <w:r w:rsidR="00342D32">
        <w:rPr>
          <w:iCs/>
          <w:sz w:val="22"/>
          <w:szCs w:val="22"/>
        </w:rPr>
        <w:t xml:space="preserve"> or cases reported </w:t>
      </w:r>
      <w:r>
        <w:rPr>
          <w:iCs/>
          <w:sz w:val="22"/>
          <w:szCs w:val="22"/>
        </w:rPr>
        <w:t xml:space="preserve">and </w:t>
      </w:r>
      <w:r w:rsidR="00342D32">
        <w:rPr>
          <w:iCs/>
          <w:sz w:val="22"/>
          <w:szCs w:val="22"/>
        </w:rPr>
        <w:t xml:space="preserve">the corresponding </w:t>
      </w:r>
      <w:r>
        <w:rPr>
          <w:iCs/>
          <w:sz w:val="22"/>
          <w:szCs w:val="22"/>
        </w:rPr>
        <w:t>rates declined from 2005 to 2016</w:t>
      </w:r>
      <w:r w:rsidR="00092CFC">
        <w:rPr>
          <w:iCs/>
          <w:sz w:val="22"/>
          <w:szCs w:val="22"/>
        </w:rPr>
        <w:t xml:space="preserve">, except for </w:t>
      </w:r>
      <w:r>
        <w:rPr>
          <w:iCs/>
          <w:sz w:val="22"/>
          <w:szCs w:val="22"/>
        </w:rPr>
        <w:t xml:space="preserve">a slight increase in 2017 for MUS and </w:t>
      </w:r>
      <w:r w:rsidR="005B5714">
        <w:rPr>
          <w:iCs/>
          <w:sz w:val="22"/>
          <w:szCs w:val="22"/>
        </w:rPr>
        <w:t xml:space="preserve">for </w:t>
      </w:r>
      <w:r>
        <w:rPr>
          <w:iCs/>
          <w:sz w:val="22"/>
          <w:szCs w:val="22"/>
        </w:rPr>
        <w:t>GUS</w:t>
      </w:r>
      <w:r w:rsidR="00342D32">
        <w:rPr>
          <w:iCs/>
          <w:sz w:val="22"/>
          <w:szCs w:val="22"/>
        </w:rPr>
        <w:t xml:space="preserve"> in both men and women (S1 Fig)</w:t>
      </w:r>
      <w:r>
        <w:rPr>
          <w:iCs/>
          <w:sz w:val="22"/>
          <w:szCs w:val="22"/>
        </w:rPr>
        <w:t xml:space="preserve">. For MUS, the </w:t>
      </w:r>
      <w:r w:rsidR="00092CFC">
        <w:rPr>
          <w:iCs/>
          <w:sz w:val="22"/>
          <w:szCs w:val="22"/>
        </w:rPr>
        <w:t xml:space="preserve">2005-2016 </w:t>
      </w:r>
      <w:r>
        <w:rPr>
          <w:iCs/>
          <w:sz w:val="22"/>
          <w:szCs w:val="22"/>
        </w:rPr>
        <w:t>decline was stronger in the national data than in the subset of sentinel sites in the NIDS sentinel system (S1 Fig).</w:t>
      </w:r>
    </w:p>
    <w:p w14:paraId="7B96C934" w14:textId="77777777" w:rsidR="00006253" w:rsidRDefault="00006253" w:rsidP="00006253">
      <w:pPr>
        <w:spacing w:line="360" w:lineRule="auto"/>
        <w:rPr>
          <w:sz w:val="22"/>
          <w:szCs w:val="22"/>
        </w:rPr>
      </w:pPr>
    </w:p>
    <w:p w14:paraId="62B1D736" w14:textId="77777777" w:rsidR="00006253" w:rsidRPr="005B0A17" w:rsidRDefault="00006253" w:rsidP="00006253">
      <w:pPr>
        <w:spacing w:line="360" w:lineRule="auto"/>
        <w:rPr>
          <w:sz w:val="22"/>
          <w:szCs w:val="22"/>
        </w:rPr>
      </w:pPr>
    </w:p>
    <w:p w14:paraId="5B9A0E41" w14:textId="77777777" w:rsidR="00006253" w:rsidRDefault="00006253" w:rsidP="00006253">
      <w:pPr>
        <w:spacing w:line="360" w:lineRule="auto"/>
        <w:ind w:left="1440" w:hanging="1440"/>
        <w:outlineLvl w:val="0"/>
        <w:rPr>
          <w:b/>
          <w:sz w:val="22"/>
          <w:szCs w:val="22"/>
        </w:rPr>
      </w:pPr>
      <w:r w:rsidRPr="005B0A17">
        <w:rPr>
          <w:b/>
          <w:sz w:val="22"/>
          <w:szCs w:val="22"/>
        </w:rPr>
        <w:t>S</w:t>
      </w:r>
      <w:r>
        <w:rPr>
          <w:b/>
          <w:sz w:val="22"/>
          <w:szCs w:val="22"/>
        </w:rPr>
        <w:t>2 Table</w:t>
      </w:r>
      <w:r w:rsidRPr="005B0A17">
        <w:rPr>
          <w:b/>
          <w:sz w:val="22"/>
          <w:szCs w:val="22"/>
        </w:rPr>
        <w:t>.</w:t>
      </w:r>
      <w:r>
        <w:rPr>
          <w:b/>
          <w:sz w:val="22"/>
          <w:szCs w:val="22"/>
        </w:rPr>
        <w:t xml:space="preserve"> Reported new STI diagnoses, by data system</w:t>
      </w:r>
    </w:p>
    <w:p w14:paraId="4021B312" w14:textId="77777777" w:rsidR="00006253" w:rsidRDefault="00006253" w:rsidP="00006253">
      <w:pPr>
        <w:spacing w:line="360" w:lineRule="auto"/>
        <w:ind w:left="1440" w:hanging="1440"/>
        <w:rPr>
          <w:b/>
          <w:sz w:val="22"/>
          <w:szCs w:val="22"/>
        </w:rPr>
      </w:pPr>
    </w:p>
    <w:tbl>
      <w:tblPr>
        <w:tblStyle w:val="TableGrid"/>
        <w:tblW w:w="10435" w:type="dxa"/>
        <w:tblLayout w:type="fixed"/>
        <w:tblLook w:val="04A0" w:firstRow="1" w:lastRow="0" w:firstColumn="1" w:lastColumn="0" w:noHBand="0" w:noVBand="1"/>
      </w:tblPr>
      <w:tblGrid>
        <w:gridCol w:w="3055"/>
        <w:gridCol w:w="1620"/>
        <w:gridCol w:w="1350"/>
        <w:gridCol w:w="1080"/>
        <w:gridCol w:w="1170"/>
        <w:gridCol w:w="2160"/>
      </w:tblGrid>
      <w:tr w:rsidR="00006253" w:rsidRPr="005B0A17" w14:paraId="06B85362" w14:textId="77777777" w:rsidTr="005F3256">
        <w:trPr>
          <w:trHeight w:val="288"/>
          <w:tblHeader/>
        </w:trPr>
        <w:tc>
          <w:tcPr>
            <w:tcW w:w="3055" w:type="dxa"/>
            <w:noWrap/>
            <w:vAlign w:val="center"/>
          </w:tcPr>
          <w:p w14:paraId="67DFA31C" w14:textId="77777777" w:rsidR="00006253" w:rsidRPr="005B0A17" w:rsidRDefault="00006253" w:rsidP="00D1449E">
            <w:pPr>
              <w:spacing w:line="360" w:lineRule="auto"/>
              <w:rPr>
                <w:b/>
                <w:sz w:val="22"/>
                <w:szCs w:val="22"/>
              </w:rPr>
            </w:pPr>
          </w:p>
        </w:tc>
        <w:tc>
          <w:tcPr>
            <w:tcW w:w="2970" w:type="dxa"/>
            <w:gridSpan w:val="2"/>
            <w:vAlign w:val="center"/>
          </w:tcPr>
          <w:p w14:paraId="098166C1" w14:textId="77777777" w:rsidR="00006253" w:rsidRDefault="00006253" w:rsidP="00D1449E">
            <w:pPr>
              <w:spacing w:line="360" w:lineRule="auto"/>
              <w:jc w:val="center"/>
              <w:rPr>
                <w:b/>
                <w:color w:val="000000"/>
                <w:sz w:val="22"/>
                <w:szCs w:val="22"/>
              </w:rPr>
            </w:pPr>
            <w:r>
              <w:rPr>
                <w:b/>
                <w:color w:val="000000"/>
                <w:sz w:val="22"/>
                <w:szCs w:val="22"/>
              </w:rPr>
              <w:t>Male Urethritis Syndrome</w:t>
            </w:r>
          </w:p>
        </w:tc>
        <w:tc>
          <w:tcPr>
            <w:tcW w:w="2250" w:type="dxa"/>
            <w:gridSpan w:val="2"/>
            <w:vAlign w:val="center"/>
          </w:tcPr>
          <w:p w14:paraId="444FBE13" w14:textId="77777777" w:rsidR="00006253" w:rsidRDefault="00006253" w:rsidP="00D1449E">
            <w:pPr>
              <w:spacing w:line="360" w:lineRule="auto"/>
              <w:jc w:val="center"/>
              <w:rPr>
                <w:b/>
                <w:color w:val="000000"/>
                <w:sz w:val="22"/>
                <w:szCs w:val="22"/>
              </w:rPr>
            </w:pPr>
            <w:r>
              <w:rPr>
                <w:b/>
                <w:color w:val="000000"/>
                <w:sz w:val="22"/>
                <w:szCs w:val="22"/>
              </w:rPr>
              <w:t>Genital Ulcer Syndrome</w:t>
            </w:r>
          </w:p>
        </w:tc>
        <w:tc>
          <w:tcPr>
            <w:tcW w:w="2160" w:type="dxa"/>
            <w:vAlign w:val="center"/>
          </w:tcPr>
          <w:p w14:paraId="423BAF13" w14:textId="77777777" w:rsidR="00006253" w:rsidRPr="005B0A17" w:rsidRDefault="00006253" w:rsidP="00D1449E">
            <w:pPr>
              <w:spacing w:line="360" w:lineRule="auto"/>
              <w:jc w:val="center"/>
              <w:rPr>
                <w:b/>
                <w:color w:val="000000"/>
                <w:sz w:val="22"/>
                <w:szCs w:val="22"/>
              </w:rPr>
            </w:pPr>
            <w:r>
              <w:rPr>
                <w:b/>
                <w:color w:val="000000"/>
                <w:sz w:val="22"/>
                <w:szCs w:val="22"/>
              </w:rPr>
              <w:t>Vaginal discharge syndrome</w:t>
            </w:r>
          </w:p>
        </w:tc>
      </w:tr>
      <w:tr w:rsidR="00006253" w:rsidRPr="005B0A17" w14:paraId="30F2D3EA" w14:textId="77777777" w:rsidTr="005F3256">
        <w:trPr>
          <w:trHeight w:val="288"/>
          <w:tblHeader/>
        </w:trPr>
        <w:tc>
          <w:tcPr>
            <w:tcW w:w="3055" w:type="dxa"/>
            <w:noWrap/>
            <w:vAlign w:val="center"/>
          </w:tcPr>
          <w:p w14:paraId="68638428" w14:textId="77777777" w:rsidR="00006253" w:rsidRPr="005B0A17" w:rsidRDefault="00006253" w:rsidP="00D1449E">
            <w:pPr>
              <w:spacing w:line="360" w:lineRule="auto"/>
              <w:rPr>
                <w:b/>
                <w:sz w:val="22"/>
                <w:szCs w:val="22"/>
              </w:rPr>
            </w:pPr>
            <w:r>
              <w:rPr>
                <w:b/>
                <w:sz w:val="22"/>
                <w:szCs w:val="22"/>
              </w:rPr>
              <w:t>Year</w:t>
            </w:r>
          </w:p>
        </w:tc>
        <w:tc>
          <w:tcPr>
            <w:tcW w:w="2970" w:type="dxa"/>
            <w:gridSpan w:val="2"/>
          </w:tcPr>
          <w:p w14:paraId="4CD1DD27" w14:textId="77777777" w:rsidR="00006253" w:rsidRDefault="00006253" w:rsidP="00D1449E">
            <w:pPr>
              <w:spacing w:line="360" w:lineRule="auto"/>
              <w:jc w:val="center"/>
              <w:rPr>
                <w:b/>
                <w:color w:val="000000"/>
                <w:sz w:val="22"/>
                <w:szCs w:val="22"/>
              </w:rPr>
            </w:pPr>
            <w:r>
              <w:rPr>
                <w:b/>
                <w:color w:val="000000"/>
                <w:sz w:val="22"/>
                <w:szCs w:val="22"/>
              </w:rPr>
              <w:t>Male</w:t>
            </w:r>
          </w:p>
        </w:tc>
        <w:tc>
          <w:tcPr>
            <w:tcW w:w="1080" w:type="dxa"/>
            <w:vAlign w:val="center"/>
          </w:tcPr>
          <w:p w14:paraId="2A1E0D37" w14:textId="77777777" w:rsidR="00006253" w:rsidRDefault="00006253" w:rsidP="00D1449E">
            <w:pPr>
              <w:spacing w:line="360" w:lineRule="auto"/>
              <w:jc w:val="center"/>
              <w:rPr>
                <w:b/>
                <w:color w:val="000000"/>
                <w:sz w:val="22"/>
                <w:szCs w:val="22"/>
              </w:rPr>
            </w:pPr>
            <w:r>
              <w:rPr>
                <w:b/>
                <w:color w:val="000000"/>
                <w:sz w:val="22"/>
                <w:szCs w:val="22"/>
              </w:rPr>
              <w:t>Male</w:t>
            </w:r>
          </w:p>
        </w:tc>
        <w:tc>
          <w:tcPr>
            <w:tcW w:w="1170" w:type="dxa"/>
            <w:vAlign w:val="center"/>
          </w:tcPr>
          <w:p w14:paraId="5DEDCDF9" w14:textId="77777777" w:rsidR="00006253" w:rsidRDefault="00006253" w:rsidP="00D1449E">
            <w:pPr>
              <w:spacing w:line="360" w:lineRule="auto"/>
              <w:jc w:val="center"/>
              <w:rPr>
                <w:b/>
                <w:color w:val="000000"/>
                <w:sz w:val="22"/>
                <w:szCs w:val="22"/>
              </w:rPr>
            </w:pPr>
            <w:r>
              <w:rPr>
                <w:b/>
                <w:color w:val="000000"/>
                <w:sz w:val="22"/>
                <w:szCs w:val="22"/>
              </w:rPr>
              <w:t>Female</w:t>
            </w:r>
          </w:p>
        </w:tc>
        <w:tc>
          <w:tcPr>
            <w:tcW w:w="2160" w:type="dxa"/>
            <w:vAlign w:val="center"/>
          </w:tcPr>
          <w:p w14:paraId="07039EE1" w14:textId="77777777" w:rsidR="00006253" w:rsidRDefault="00006253" w:rsidP="00D1449E">
            <w:pPr>
              <w:spacing w:line="360" w:lineRule="auto"/>
              <w:jc w:val="center"/>
              <w:rPr>
                <w:b/>
                <w:color w:val="000000"/>
                <w:sz w:val="22"/>
                <w:szCs w:val="22"/>
              </w:rPr>
            </w:pPr>
            <w:r>
              <w:rPr>
                <w:b/>
                <w:color w:val="000000"/>
                <w:sz w:val="22"/>
                <w:szCs w:val="22"/>
              </w:rPr>
              <w:t>Female</w:t>
            </w:r>
          </w:p>
        </w:tc>
      </w:tr>
      <w:tr w:rsidR="00006253" w:rsidRPr="005B0A17" w14:paraId="15507C62" w14:textId="77777777" w:rsidTr="005F3256">
        <w:trPr>
          <w:trHeight w:val="288"/>
          <w:tblHeader/>
        </w:trPr>
        <w:tc>
          <w:tcPr>
            <w:tcW w:w="3055" w:type="dxa"/>
            <w:noWrap/>
            <w:vAlign w:val="center"/>
          </w:tcPr>
          <w:p w14:paraId="6EB877FE" w14:textId="77777777" w:rsidR="00006253" w:rsidRDefault="00006253" w:rsidP="00D1449E">
            <w:pPr>
              <w:spacing w:line="360" w:lineRule="auto"/>
              <w:rPr>
                <w:b/>
                <w:sz w:val="22"/>
                <w:szCs w:val="22"/>
              </w:rPr>
            </w:pPr>
            <w:r>
              <w:rPr>
                <w:b/>
                <w:sz w:val="22"/>
                <w:szCs w:val="22"/>
              </w:rPr>
              <w:t>Data system</w:t>
            </w:r>
          </w:p>
        </w:tc>
        <w:tc>
          <w:tcPr>
            <w:tcW w:w="1620" w:type="dxa"/>
          </w:tcPr>
          <w:p w14:paraId="35E0501F" w14:textId="77777777" w:rsidR="00006253" w:rsidRDefault="00006253" w:rsidP="00D1449E">
            <w:pPr>
              <w:spacing w:line="360" w:lineRule="auto"/>
              <w:jc w:val="center"/>
              <w:rPr>
                <w:b/>
                <w:color w:val="000000"/>
                <w:sz w:val="22"/>
                <w:szCs w:val="22"/>
              </w:rPr>
            </w:pPr>
            <w:r>
              <w:rPr>
                <w:b/>
                <w:color w:val="000000"/>
                <w:sz w:val="22"/>
                <w:szCs w:val="22"/>
              </w:rPr>
              <w:t>NIDS national**</w:t>
            </w:r>
          </w:p>
        </w:tc>
        <w:tc>
          <w:tcPr>
            <w:tcW w:w="1350" w:type="dxa"/>
          </w:tcPr>
          <w:p w14:paraId="796E910C" w14:textId="77777777" w:rsidR="00006253" w:rsidRDefault="00006253" w:rsidP="00D1449E">
            <w:pPr>
              <w:spacing w:line="360" w:lineRule="auto"/>
              <w:jc w:val="center"/>
              <w:rPr>
                <w:b/>
                <w:sz w:val="22"/>
                <w:szCs w:val="22"/>
              </w:rPr>
            </w:pPr>
            <w:r>
              <w:rPr>
                <w:b/>
                <w:color w:val="000000"/>
                <w:sz w:val="22"/>
                <w:szCs w:val="22"/>
              </w:rPr>
              <w:t>NIDS sentinel*</w:t>
            </w:r>
          </w:p>
        </w:tc>
        <w:tc>
          <w:tcPr>
            <w:tcW w:w="2250" w:type="dxa"/>
            <w:gridSpan w:val="2"/>
            <w:vAlign w:val="center"/>
          </w:tcPr>
          <w:p w14:paraId="21BF66C2" w14:textId="168D3973" w:rsidR="00006253" w:rsidRPr="008E793C" w:rsidRDefault="00006253" w:rsidP="00D1449E">
            <w:pPr>
              <w:spacing w:line="360" w:lineRule="auto"/>
              <w:jc w:val="center"/>
              <w:rPr>
                <w:b/>
                <w:sz w:val="22"/>
                <w:szCs w:val="22"/>
              </w:rPr>
            </w:pPr>
            <w:r>
              <w:rPr>
                <w:b/>
                <w:sz w:val="22"/>
                <w:szCs w:val="22"/>
              </w:rPr>
              <w:t>NIDS sentinel</w:t>
            </w:r>
            <w:r w:rsidR="00BA20CF">
              <w:rPr>
                <w:b/>
                <w:sz w:val="22"/>
                <w:szCs w:val="22"/>
              </w:rPr>
              <w:t>*</w:t>
            </w:r>
          </w:p>
        </w:tc>
        <w:tc>
          <w:tcPr>
            <w:tcW w:w="2160" w:type="dxa"/>
            <w:vAlign w:val="center"/>
          </w:tcPr>
          <w:p w14:paraId="46D5DB72" w14:textId="42E1ACDF" w:rsidR="00006253" w:rsidRDefault="00006253" w:rsidP="00D1449E">
            <w:pPr>
              <w:spacing w:line="360" w:lineRule="auto"/>
              <w:jc w:val="center"/>
              <w:rPr>
                <w:b/>
                <w:color w:val="000000"/>
                <w:sz w:val="22"/>
                <w:szCs w:val="22"/>
              </w:rPr>
            </w:pPr>
            <w:r>
              <w:rPr>
                <w:b/>
                <w:color w:val="000000"/>
                <w:sz w:val="22"/>
                <w:szCs w:val="22"/>
              </w:rPr>
              <w:t>NIDS sentinel</w:t>
            </w:r>
            <w:r w:rsidR="00BA20CF">
              <w:rPr>
                <w:b/>
                <w:color w:val="000000"/>
                <w:sz w:val="22"/>
                <w:szCs w:val="22"/>
              </w:rPr>
              <w:t>*</w:t>
            </w:r>
          </w:p>
        </w:tc>
      </w:tr>
      <w:tr w:rsidR="00006253" w:rsidRPr="009F5E9C" w14:paraId="02058898" w14:textId="77777777" w:rsidTr="005F3256">
        <w:trPr>
          <w:trHeight w:val="288"/>
        </w:trPr>
        <w:tc>
          <w:tcPr>
            <w:tcW w:w="3055" w:type="dxa"/>
            <w:noWrap/>
            <w:vAlign w:val="center"/>
          </w:tcPr>
          <w:p w14:paraId="4BC07885" w14:textId="77777777" w:rsidR="00006253" w:rsidRPr="00485BA4" w:rsidRDefault="00006253" w:rsidP="00D1449E">
            <w:pPr>
              <w:spacing w:line="360" w:lineRule="auto"/>
              <w:rPr>
                <w:sz w:val="22"/>
                <w:szCs w:val="22"/>
              </w:rPr>
            </w:pPr>
            <w:r w:rsidRPr="00485BA4">
              <w:rPr>
                <w:sz w:val="22"/>
                <w:szCs w:val="22"/>
              </w:rPr>
              <w:t>2001</w:t>
            </w:r>
          </w:p>
        </w:tc>
        <w:tc>
          <w:tcPr>
            <w:tcW w:w="1620" w:type="dxa"/>
            <w:vAlign w:val="center"/>
          </w:tcPr>
          <w:p w14:paraId="31DC53A5" w14:textId="77777777" w:rsidR="00006253" w:rsidRPr="000B39AE" w:rsidRDefault="00006253" w:rsidP="00D1449E">
            <w:pPr>
              <w:spacing w:line="360" w:lineRule="auto"/>
              <w:jc w:val="center"/>
              <w:rPr>
                <w:color w:val="000000"/>
                <w:sz w:val="22"/>
                <w:szCs w:val="22"/>
              </w:rPr>
            </w:pPr>
            <w:r w:rsidRPr="000B39AE">
              <w:rPr>
                <w:sz w:val="22"/>
                <w:szCs w:val="22"/>
              </w:rPr>
              <w:t>482,382</w:t>
            </w:r>
          </w:p>
        </w:tc>
        <w:tc>
          <w:tcPr>
            <w:tcW w:w="1350" w:type="dxa"/>
            <w:vAlign w:val="center"/>
          </w:tcPr>
          <w:p w14:paraId="6C81A5CC" w14:textId="77777777" w:rsidR="00006253" w:rsidRPr="000B39AE" w:rsidRDefault="00006253" w:rsidP="00D1449E">
            <w:pPr>
              <w:spacing w:line="360" w:lineRule="auto"/>
              <w:jc w:val="center"/>
              <w:rPr>
                <w:color w:val="000000"/>
                <w:sz w:val="22"/>
                <w:szCs w:val="22"/>
              </w:rPr>
            </w:pPr>
          </w:p>
        </w:tc>
        <w:tc>
          <w:tcPr>
            <w:tcW w:w="1080" w:type="dxa"/>
            <w:vAlign w:val="center"/>
          </w:tcPr>
          <w:p w14:paraId="44C2808A" w14:textId="77777777" w:rsidR="00006253" w:rsidRPr="000B39AE" w:rsidRDefault="00006253" w:rsidP="00D1449E">
            <w:pPr>
              <w:spacing w:line="360" w:lineRule="auto"/>
              <w:jc w:val="center"/>
              <w:rPr>
                <w:color w:val="000000"/>
                <w:sz w:val="22"/>
                <w:szCs w:val="22"/>
              </w:rPr>
            </w:pPr>
          </w:p>
        </w:tc>
        <w:tc>
          <w:tcPr>
            <w:tcW w:w="1170" w:type="dxa"/>
            <w:vAlign w:val="center"/>
          </w:tcPr>
          <w:p w14:paraId="74CA0AAB" w14:textId="77777777" w:rsidR="00006253" w:rsidRPr="000B39AE" w:rsidRDefault="00006253" w:rsidP="00D1449E">
            <w:pPr>
              <w:spacing w:line="360" w:lineRule="auto"/>
              <w:jc w:val="center"/>
              <w:rPr>
                <w:color w:val="000000"/>
                <w:sz w:val="22"/>
                <w:szCs w:val="22"/>
              </w:rPr>
            </w:pPr>
          </w:p>
        </w:tc>
        <w:tc>
          <w:tcPr>
            <w:tcW w:w="2160" w:type="dxa"/>
            <w:vAlign w:val="center"/>
          </w:tcPr>
          <w:p w14:paraId="0608287A" w14:textId="77777777" w:rsidR="00006253" w:rsidRPr="000B39AE" w:rsidRDefault="00006253" w:rsidP="00D1449E">
            <w:pPr>
              <w:spacing w:line="360" w:lineRule="auto"/>
              <w:jc w:val="center"/>
              <w:rPr>
                <w:color w:val="000000"/>
                <w:sz w:val="22"/>
                <w:szCs w:val="22"/>
              </w:rPr>
            </w:pPr>
          </w:p>
        </w:tc>
      </w:tr>
      <w:tr w:rsidR="00006253" w:rsidRPr="009F5E9C" w14:paraId="00DD7282" w14:textId="77777777" w:rsidTr="005F3256">
        <w:trPr>
          <w:trHeight w:val="288"/>
        </w:trPr>
        <w:tc>
          <w:tcPr>
            <w:tcW w:w="3055" w:type="dxa"/>
            <w:noWrap/>
            <w:vAlign w:val="center"/>
          </w:tcPr>
          <w:p w14:paraId="2955F282" w14:textId="77777777" w:rsidR="00006253" w:rsidRPr="00485BA4" w:rsidRDefault="00006253" w:rsidP="00D1449E">
            <w:pPr>
              <w:spacing w:line="360" w:lineRule="auto"/>
              <w:rPr>
                <w:sz w:val="22"/>
                <w:szCs w:val="22"/>
              </w:rPr>
            </w:pPr>
            <w:r w:rsidRPr="00485BA4">
              <w:rPr>
                <w:sz w:val="22"/>
                <w:szCs w:val="22"/>
              </w:rPr>
              <w:t>2002</w:t>
            </w:r>
          </w:p>
        </w:tc>
        <w:tc>
          <w:tcPr>
            <w:tcW w:w="1620" w:type="dxa"/>
            <w:vAlign w:val="center"/>
          </w:tcPr>
          <w:p w14:paraId="61451D0C" w14:textId="77777777" w:rsidR="00006253" w:rsidRPr="000B39AE" w:rsidRDefault="00006253" w:rsidP="00D1449E">
            <w:pPr>
              <w:spacing w:line="360" w:lineRule="auto"/>
              <w:jc w:val="center"/>
              <w:rPr>
                <w:color w:val="000000"/>
                <w:sz w:val="22"/>
                <w:szCs w:val="22"/>
              </w:rPr>
            </w:pPr>
            <w:r w:rsidRPr="000B39AE">
              <w:rPr>
                <w:sz w:val="22"/>
                <w:szCs w:val="22"/>
              </w:rPr>
              <w:t>464,714</w:t>
            </w:r>
          </w:p>
        </w:tc>
        <w:tc>
          <w:tcPr>
            <w:tcW w:w="1350" w:type="dxa"/>
            <w:vAlign w:val="center"/>
          </w:tcPr>
          <w:p w14:paraId="33785291" w14:textId="77777777" w:rsidR="00006253" w:rsidRPr="000B39AE" w:rsidRDefault="00006253" w:rsidP="00D1449E">
            <w:pPr>
              <w:spacing w:line="360" w:lineRule="auto"/>
              <w:jc w:val="center"/>
              <w:rPr>
                <w:color w:val="000000"/>
                <w:sz w:val="22"/>
                <w:szCs w:val="22"/>
              </w:rPr>
            </w:pPr>
          </w:p>
        </w:tc>
        <w:tc>
          <w:tcPr>
            <w:tcW w:w="1080" w:type="dxa"/>
            <w:vAlign w:val="center"/>
          </w:tcPr>
          <w:p w14:paraId="2A044C29" w14:textId="77777777" w:rsidR="00006253" w:rsidRPr="000B39AE" w:rsidRDefault="00006253" w:rsidP="00D1449E">
            <w:pPr>
              <w:spacing w:line="360" w:lineRule="auto"/>
              <w:jc w:val="center"/>
              <w:rPr>
                <w:color w:val="000000"/>
                <w:sz w:val="22"/>
                <w:szCs w:val="22"/>
              </w:rPr>
            </w:pPr>
          </w:p>
        </w:tc>
        <w:tc>
          <w:tcPr>
            <w:tcW w:w="1170" w:type="dxa"/>
            <w:vAlign w:val="center"/>
          </w:tcPr>
          <w:p w14:paraId="01EA7F50" w14:textId="77777777" w:rsidR="00006253" w:rsidRPr="000B39AE" w:rsidRDefault="00006253" w:rsidP="00D1449E">
            <w:pPr>
              <w:spacing w:line="360" w:lineRule="auto"/>
              <w:jc w:val="center"/>
              <w:rPr>
                <w:color w:val="000000"/>
                <w:sz w:val="22"/>
                <w:szCs w:val="22"/>
              </w:rPr>
            </w:pPr>
          </w:p>
        </w:tc>
        <w:tc>
          <w:tcPr>
            <w:tcW w:w="2160" w:type="dxa"/>
            <w:vAlign w:val="center"/>
          </w:tcPr>
          <w:p w14:paraId="1C22DF4E" w14:textId="77777777" w:rsidR="00006253" w:rsidRPr="000B39AE" w:rsidRDefault="00006253" w:rsidP="00D1449E">
            <w:pPr>
              <w:spacing w:line="360" w:lineRule="auto"/>
              <w:jc w:val="center"/>
              <w:rPr>
                <w:color w:val="000000"/>
                <w:sz w:val="22"/>
                <w:szCs w:val="22"/>
              </w:rPr>
            </w:pPr>
          </w:p>
        </w:tc>
      </w:tr>
      <w:tr w:rsidR="00006253" w:rsidRPr="009F5E9C" w14:paraId="4464536C" w14:textId="77777777" w:rsidTr="005F3256">
        <w:trPr>
          <w:trHeight w:val="288"/>
        </w:trPr>
        <w:tc>
          <w:tcPr>
            <w:tcW w:w="3055" w:type="dxa"/>
            <w:noWrap/>
            <w:vAlign w:val="center"/>
          </w:tcPr>
          <w:p w14:paraId="4A7E8E10" w14:textId="77777777" w:rsidR="00006253" w:rsidRPr="00485BA4" w:rsidRDefault="00006253" w:rsidP="00D1449E">
            <w:pPr>
              <w:spacing w:line="360" w:lineRule="auto"/>
              <w:rPr>
                <w:sz w:val="22"/>
                <w:szCs w:val="22"/>
              </w:rPr>
            </w:pPr>
            <w:r w:rsidRPr="00485BA4">
              <w:rPr>
                <w:sz w:val="22"/>
                <w:szCs w:val="22"/>
              </w:rPr>
              <w:t>2003</w:t>
            </w:r>
          </w:p>
        </w:tc>
        <w:tc>
          <w:tcPr>
            <w:tcW w:w="1620" w:type="dxa"/>
            <w:vAlign w:val="center"/>
          </w:tcPr>
          <w:p w14:paraId="741CD56D" w14:textId="77777777" w:rsidR="00006253" w:rsidRPr="000B39AE" w:rsidRDefault="00006253" w:rsidP="00D1449E">
            <w:pPr>
              <w:spacing w:line="360" w:lineRule="auto"/>
              <w:jc w:val="center"/>
              <w:rPr>
                <w:color w:val="000000"/>
                <w:sz w:val="22"/>
                <w:szCs w:val="22"/>
              </w:rPr>
            </w:pPr>
            <w:r w:rsidRPr="000B39AE">
              <w:rPr>
                <w:sz w:val="22"/>
                <w:szCs w:val="22"/>
              </w:rPr>
              <w:t>432,590</w:t>
            </w:r>
          </w:p>
        </w:tc>
        <w:tc>
          <w:tcPr>
            <w:tcW w:w="1350" w:type="dxa"/>
            <w:vAlign w:val="center"/>
          </w:tcPr>
          <w:p w14:paraId="1134A532" w14:textId="77777777" w:rsidR="00006253" w:rsidRPr="000B39AE" w:rsidRDefault="00006253" w:rsidP="00D1449E">
            <w:pPr>
              <w:spacing w:line="360" w:lineRule="auto"/>
              <w:jc w:val="center"/>
              <w:rPr>
                <w:color w:val="000000"/>
                <w:sz w:val="22"/>
                <w:szCs w:val="22"/>
              </w:rPr>
            </w:pPr>
          </w:p>
        </w:tc>
        <w:tc>
          <w:tcPr>
            <w:tcW w:w="1080" w:type="dxa"/>
            <w:vAlign w:val="center"/>
          </w:tcPr>
          <w:p w14:paraId="2BB2268A" w14:textId="77777777" w:rsidR="00006253" w:rsidRPr="000B39AE" w:rsidRDefault="00006253" w:rsidP="00D1449E">
            <w:pPr>
              <w:spacing w:line="360" w:lineRule="auto"/>
              <w:jc w:val="center"/>
              <w:rPr>
                <w:color w:val="000000"/>
                <w:sz w:val="22"/>
                <w:szCs w:val="22"/>
              </w:rPr>
            </w:pPr>
          </w:p>
        </w:tc>
        <w:tc>
          <w:tcPr>
            <w:tcW w:w="1170" w:type="dxa"/>
            <w:vAlign w:val="center"/>
          </w:tcPr>
          <w:p w14:paraId="6C7D3886" w14:textId="77777777" w:rsidR="00006253" w:rsidRPr="000B39AE" w:rsidRDefault="00006253" w:rsidP="00D1449E">
            <w:pPr>
              <w:spacing w:line="360" w:lineRule="auto"/>
              <w:jc w:val="center"/>
              <w:rPr>
                <w:color w:val="000000"/>
                <w:sz w:val="22"/>
                <w:szCs w:val="22"/>
              </w:rPr>
            </w:pPr>
          </w:p>
        </w:tc>
        <w:tc>
          <w:tcPr>
            <w:tcW w:w="2160" w:type="dxa"/>
            <w:vAlign w:val="center"/>
          </w:tcPr>
          <w:p w14:paraId="1AEE55F5" w14:textId="77777777" w:rsidR="00006253" w:rsidRPr="000B39AE" w:rsidRDefault="00006253" w:rsidP="00D1449E">
            <w:pPr>
              <w:spacing w:line="360" w:lineRule="auto"/>
              <w:jc w:val="center"/>
              <w:rPr>
                <w:color w:val="000000"/>
                <w:sz w:val="22"/>
                <w:szCs w:val="22"/>
              </w:rPr>
            </w:pPr>
          </w:p>
        </w:tc>
      </w:tr>
      <w:tr w:rsidR="00006253" w:rsidRPr="009F5E9C" w14:paraId="750B8DBF" w14:textId="77777777" w:rsidTr="005F3256">
        <w:trPr>
          <w:trHeight w:val="288"/>
        </w:trPr>
        <w:tc>
          <w:tcPr>
            <w:tcW w:w="3055" w:type="dxa"/>
            <w:noWrap/>
            <w:vAlign w:val="center"/>
          </w:tcPr>
          <w:p w14:paraId="57E131A5" w14:textId="77777777" w:rsidR="00006253" w:rsidRPr="00485BA4" w:rsidRDefault="00006253" w:rsidP="00D1449E">
            <w:pPr>
              <w:spacing w:line="360" w:lineRule="auto"/>
              <w:rPr>
                <w:sz w:val="22"/>
                <w:szCs w:val="22"/>
              </w:rPr>
            </w:pPr>
            <w:r w:rsidRPr="00485BA4">
              <w:rPr>
                <w:sz w:val="22"/>
                <w:szCs w:val="22"/>
              </w:rPr>
              <w:t>2004</w:t>
            </w:r>
          </w:p>
        </w:tc>
        <w:tc>
          <w:tcPr>
            <w:tcW w:w="1620" w:type="dxa"/>
            <w:vAlign w:val="center"/>
          </w:tcPr>
          <w:p w14:paraId="753A77DB" w14:textId="77777777" w:rsidR="00006253" w:rsidRPr="000B39AE" w:rsidRDefault="00006253" w:rsidP="00D1449E">
            <w:pPr>
              <w:spacing w:line="360" w:lineRule="auto"/>
              <w:jc w:val="center"/>
              <w:rPr>
                <w:color w:val="000000"/>
                <w:sz w:val="22"/>
                <w:szCs w:val="22"/>
              </w:rPr>
            </w:pPr>
            <w:r w:rsidRPr="000B39AE">
              <w:rPr>
                <w:sz w:val="22"/>
                <w:szCs w:val="22"/>
              </w:rPr>
              <w:t>439,867</w:t>
            </w:r>
          </w:p>
        </w:tc>
        <w:tc>
          <w:tcPr>
            <w:tcW w:w="1350" w:type="dxa"/>
            <w:vAlign w:val="center"/>
          </w:tcPr>
          <w:p w14:paraId="5F15027F" w14:textId="77777777" w:rsidR="00006253" w:rsidRPr="000B39AE" w:rsidRDefault="00006253" w:rsidP="00D1449E">
            <w:pPr>
              <w:spacing w:line="360" w:lineRule="auto"/>
              <w:jc w:val="center"/>
              <w:rPr>
                <w:color w:val="000000"/>
                <w:sz w:val="22"/>
                <w:szCs w:val="22"/>
              </w:rPr>
            </w:pPr>
          </w:p>
        </w:tc>
        <w:tc>
          <w:tcPr>
            <w:tcW w:w="1080" w:type="dxa"/>
            <w:vAlign w:val="center"/>
          </w:tcPr>
          <w:p w14:paraId="440D9861" w14:textId="77777777" w:rsidR="00006253" w:rsidRPr="000B39AE" w:rsidRDefault="00006253" w:rsidP="00D1449E">
            <w:pPr>
              <w:spacing w:line="360" w:lineRule="auto"/>
              <w:jc w:val="center"/>
              <w:rPr>
                <w:color w:val="000000"/>
                <w:sz w:val="22"/>
                <w:szCs w:val="22"/>
              </w:rPr>
            </w:pPr>
          </w:p>
        </w:tc>
        <w:tc>
          <w:tcPr>
            <w:tcW w:w="1170" w:type="dxa"/>
            <w:vAlign w:val="center"/>
          </w:tcPr>
          <w:p w14:paraId="589B9DB3" w14:textId="77777777" w:rsidR="00006253" w:rsidRPr="000B39AE" w:rsidRDefault="00006253" w:rsidP="00D1449E">
            <w:pPr>
              <w:spacing w:line="360" w:lineRule="auto"/>
              <w:jc w:val="center"/>
              <w:rPr>
                <w:color w:val="000000"/>
                <w:sz w:val="22"/>
                <w:szCs w:val="22"/>
              </w:rPr>
            </w:pPr>
          </w:p>
        </w:tc>
        <w:tc>
          <w:tcPr>
            <w:tcW w:w="2160" w:type="dxa"/>
            <w:vAlign w:val="center"/>
          </w:tcPr>
          <w:p w14:paraId="64FDBB69" w14:textId="77777777" w:rsidR="00006253" w:rsidRPr="000B39AE" w:rsidRDefault="00006253" w:rsidP="00D1449E">
            <w:pPr>
              <w:spacing w:line="360" w:lineRule="auto"/>
              <w:jc w:val="center"/>
              <w:rPr>
                <w:color w:val="000000"/>
                <w:sz w:val="22"/>
                <w:szCs w:val="22"/>
              </w:rPr>
            </w:pPr>
          </w:p>
        </w:tc>
      </w:tr>
      <w:tr w:rsidR="00006253" w:rsidRPr="00EC1725" w14:paraId="727C24FC" w14:textId="77777777" w:rsidTr="005F3256">
        <w:trPr>
          <w:trHeight w:val="288"/>
        </w:trPr>
        <w:tc>
          <w:tcPr>
            <w:tcW w:w="3055" w:type="dxa"/>
            <w:noWrap/>
            <w:vAlign w:val="center"/>
          </w:tcPr>
          <w:p w14:paraId="5749DA16" w14:textId="77777777" w:rsidR="00006253" w:rsidRPr="00485BA4" w:rsidRDefault="00006253" w:rsidP="00D1449E">
            <w:pPr>
              <w:spacing w:line="360" w:lineRule="auto"/>
              <w:rPr>
                <w:sz w:val="22"/>
                <w:szCs w:val="22"/>
              </w:rPr>
            </w:pPr>
            <w:r w:rsidRPr="00485BA4">
              <w:rPr>
                <w:sz w:val="22"/>
                <w:szCs w:val="22"/>
              </w:rPr>
              <w:lastRenderedPageBreak/>
              <w:t>2005</w:t>
            </w:r>
          </w:p>
        </w:tc>
        <w:tc>
          <w:tcPr>
            <w:tcW w:w="1620" w:type="dxa"/>
            <w:vAlign w:val="center"/>
          </w:tcPr>
          <w:p w14:paraId="47406804" w14:textId="77777777" w:rsidR="00006253" w:rsidRPr="000B39AE" w:rsidRDefault="00006253" w:rsidP="00D1449E">
            <w:pPr>
              <w:spacing w:line="360" w:lineRule="auto"/>
              <w:jc w:val="center"/>
              <w:rPr>
                <w:sz w:val="22"/>
                <w:szCs w:val="22"/>
              </w:rPr>
            </w:pPr>
            <w:r w:rsidRPr="000B39AE">
              <w:rPr>
                <w:sz w:val="22"/>
                <w:szCs w:val="22"/>
              </w:rPr>
              <w:t>420,582</w:t>
            </w:r>
          </w:p>
        </w:tc>
        <w:tc>
          <w:tcPr>
            <w:tcW w:w="1350" w:type="dxa"/>
            <w:vAlign w:val="center"/>
          </w:tcPr>
          <w:p w14:paraId="0CE33C1F" w14:textId="77777777" w:rsidR="00006253" w:rsidRPr="000B39AE" w:rsidRDefault="00006253" w:rsidP="00D1449E">
            <w:pPr>
              <w:spacing w:line="360" w:lineRule="auto"/>
              <w:jc w:val="center"/>
              <w:rPr>
                <w:sz w:val="22"/>
                <w:szCs w:val="22"/>
              </w:rPr>
            </w:pPr>
            <w:r w:rsidRPr="000B39AE">
              <w:rPr>
                <w:sz w:val="22"/>
                <w:szCs w:val="22"/>
              </w:rPr>
              <w:t>32,093</w:t>
            </w:r>
          </w:p>
        </w:tc>
        <w:tc>
          <w:tcPr>
            <w:tcW w:w="1080" w:type="dxa"/>
            <w:vAlign w:val="center"/>
          </w:tcPr>
          <w:p w14:paraId="04861C80" w14:textId="77777777" w:rsidR="00006253" w:rsidRPr="000B39AE" w:rsidRDefault="00006253" w:rsidP="00D1449E">
            <w:pPr>
              <w:spacing w:line="360" w:lineRule="auto"/>
              <w:jc w:val="center"/>
              <w:rPr>
                <w:color w:val="000000"/>
                <w:sz w:val="22"/>
                <w:szCs w:val="22"/>
              </w:rPr>
            </w:pPr>
            <w:r w:rsidRPr="000B39AE">
              <w:rPr>
                <w:sz w:val="22"/>
                <w:szCs w:val="22"/>
              </w:rPr>
              <w:t>4,944</w:t>
            </w:r>
          </w:p>
        </w:tc>
        <w:tc>
          <w:tcPr>
            <w:tcW w:w="1170" w:type="dxa"/>
            <w:vAlign w:val="center"/>
          </w:tcPr>
          <w:p w14:paraId="2800068F" w14:textId="77777777" w:rsidR="00006253" w:rsidRPr="000B39AE" w:rsidRDefault="00006253" w:rsidP="00D1449E">
            <w:pPr>
              <w:spacing w:line="360" w:lineRule="auto"/>
              <w:jc w:val="center"/>
              <w:rPr>
                <w:color w:val="000000"/>
                <w:sz w:val="22"/>
                <w:szCs w:val="22"/>
              </w:rPr>
            </w:pPr>
            <w:r w:rsidRPr="000B39AE">
              <w:rPr>
                <w:sz w:val="22"/>
                <w:szCs w:val="22"/>
              </w:rPr>
              <w:t>5,105</w:t>
            </w:r>
          </w:p>
        </w:tc>
        <w:tc>
          <w:tcPr>
            <w:tcW w:w="2160" w:type="dxa"/>
            <w:vAlign w:val="center"/>
          </w:tcPr>
          <w:p w14:paraId="24086E4C" w14:textId="77777777" w:rsidR="00006253" w:rsidRPr="000B39AE" w:rsidRDefault="00006253" w:rsidP="00D1449E">
            <w:pPr>
              <w:spacing w:line="360" w:lineRule="auto"/>
              <w:jc w:val="center"/>
              <w:rPr>
                <w:color w:val="000000"/>
                <w:sz w:val="22"/>
                <w:szCs w:val="22"/>
              </w:rPr>
            </w:pPr>
            <w:r w:rsidRPr="000B39AE">
              <w:rPr>
                <w:sz w:val="22"/>
                <w:szCs w:val="22"/>
              </w:rPr>
              <w:t>52,404</w:t>
            </w:r>
          </w:p>
        </w:tc>
      </w:tr>
      <w:tr w:rsidR="00006253" w:rsidRPr="00EC1725" w14:paraId="681B8753" w14:textId="77777777" w:rsidTr="005F3256">
        <w:trPr>
          <w:trHeight w:val="288"/>
        </w:trPr>
        <w:tc>
          <w:tcPr>
            <w:tcW w:w="3055" w:type="dxa"/>
            <w:noWrap/>
            <w:vAlign w:val="center"/>
          </w:tcPr>
          <w:p w14:paraId="1FA3CD69" w14:textId="77777777" w:rsidR="00006253" w:rsidRPr="00485BA4" w:rsidRDefault="00006253" w:rsidP="00D1449E">
            <w:pPr>
              <w:spacing w:line="360" w:lineRule="auto"/>
              <w:rPr>
                <w:sz w:val="22"/>
                <w:szCs w:val="22"/>
              </w:rPr>
            </w:pPr>
            <w:r w:rsidRPr="00485BA4">
              <w:rPr>
                <w:sz w:val="22"/>
                <w:szCs w:val="22"/>
              </w:rPr>
              <w:t>2006</w:t>
            </w:r>
          </w:p>
        </w:tc>
        <w:tc>
          <w:tcPr>
            <w:tcW w:w="1620" w:type="dxa"/>
            <w:vAlign w:val="center"/>
          </w:tcPr>
          <w:p w14:paraId="6A0C0457" w14:textId="77777777" w:rsidR="00006253" w:rsidRPr="000B39AE" w:rsidRDefault="00006253" w:rsidP="00D1449E">
            <w:pPr>
              <w:spacing w:line="360" w:lineRule="auto"/>
              <w:jc w:val="center"/>
              <w:rPr>
                <w:sz w:val="22"/>
                <w:szCs w:val="22"/>
              </w:rPr>
            </w:pPr>
            <w:r w:rsidRPr="000B39AE">
              <w:rPr>
                <w:sz w:val="22"/>
                <w:szCs w:val="22"/>
              </w:rPr>
              <w:t>404,001</w:t>
            </w:r>
          </w:p>
        </w:tc>
        <w:tc>
          <w:tcPr>
            <w:tcW w:w="1350" w:type="dxa"/>
            <w:vAlign w:val="center"/>
          </w:tcPr>
          <w:p w14:paraId="6A0F7D95" w14:textId="77777777" w:rsidR="00006253" w:rsidRPr="000B39AE" w:rsidRDefault="00006253" w:rsidP="00D1449E">
            <w:pPr>
              <w:spacing w:line="360" w:lineRule="auto"/>
              <w:jc w:val="center"/>
              <w:rPr>
                <w:sz w:val="22"/>
                <w:szCs w:val="22"/>
              </w:rPr>
            </w:pPr>
            <w:r w:rsidRPr="000B39AE">
              <w:rPr>
                <w:sz w:val="22"/>
                <w:szCs w:val="22"/>
              </w:rPr>
              <w:t>29,601</w:t>
            </w:r>
          </w:p>
        </w:tc>
        <w:tc>
          <w:tcPr>
            <w:tcW w:w="1080" w:type="dxa"/>
            <w:vAlign w:val="center"/>
          </w:tcPr>
          <w:p w14:paraId="6F51A042" w14:textId="77777777" w:rsidR="00006253" w:rsidRPr="000B39AE" w:rsidRDefault="00006253" w:rsidP="00D1449E">
            <w:pPr>
              <w:spacing w:line="360" w:lineRule="auto"/>
              <w:jc w:val="center"/>
              <w:rPr>
                <w:color w:val="000000"/>
                <w:sz w:val="22"/>
                <w:szCs w:val="22"/>
              </w:rPr>
            </w:pPr>
            <w:r w:rsidRPr="000B39AE">
              <w:rPr>
                <w:sz w:val="22"/>
                <w:szCs w:val="22"/>
              </w:rPr>
              <w:t>4,134</w:t>
            </w:r>
          </w:p>
        </w:tc>
        <w:tc>
          <w:tcPr>
            <w:tcW w:w="1170" w:type="dxa"/>
            <w:vAlign w:val="center"/>
          </w:tcPr>
          <w:p w14:paraId="297DE9BB" w14:textId="77777777" w:rsidR="00006253" w:rsidRPr="000B39AE" w:rsidRDefault="00006253" w:rsidP="00D1449E">
            <w:pPr>
              <w:spacing w:line="360" w:lineRule="auto"/>
              <w:jc w:val="center"/>
              <w:rPr>
                <w:color w:val="000000"/>
                <w:sz w:val="22"/>
                <w:szCs w:val="22"/>
              </w:rPr>
            </w:pPr>
            <w:r w:rsidRPr="000B39AE">
              <w:rPr>
                <w:sz w:val="22"/>
                <w:szCs w:val="22"/>
              </w:rPr>
              <w:t>4,261</w:t>
            </w:r>
          </w:p>
        </w:tc>
        <w:tc>
          <w:tcPr>
            <w:tcW w:w="2160" w:type="dxa"/>
            <w:vAlign w:val="center"/>
          </w:tcPr>
          <w:p w14:paraId="5E7C782F" w14:textId="77777777" w:rsidR="00006253" w:rsidRPr="000B39AE" w:rsidRDefault="00006253" w:rsidP="00D1449E">
            <w:pPr>
              <w:spacing w:line="360" w:lineRule="auto"/>
              <w:jc w:val="center"/>
              <w:rPr>
                <w:color w:val="000000"/>
                <w:sz w:val="22"/>
                <w:szCs w:val="22"/>
              </w:rPr>
            </w:pPr>
            <w:r w:rsidRPr="000B39AE">
              <w:rPr>
                <w:sz w:val="22"/>
                <w:szCs w:val="22"/>
              </w:rPr>
              <w:t>43,788</w:t>
            </w:r>
          </w:p>
        </w:tc>
      </w:tr>
      <w:tr w:rsidR="00006253" w:rsidRPr="00EC1725" w14:paraId="4225684F" w14:textId="77777777" w:rsidTr="005F3256">
        <w:trPr>
          <w:trHeight w:val="288"/>
        </w:trPr>
        <w:tc>
          <w:tcPr>
            <w:tcW w:w="3055" w:type="dxa"/>
            <w:noWrap/>
            <w:vAlign w:val="center"/>
          </w:tcPr>
          <w:p w14:paraId="03237CB5" w14:textId="77777777" w:rsidR="00006253" w:rsidRPr="00485BA4" w:rsidRDefault="00006253" w:rsidP="00D1449E">
            <w:pPr>
              <w:spacing w:line="360" w:lineRule="auto"/>
              <w:rPr>
                <w:sz w:val="22"/>
                <w:szCs w:val="22"/>
              </w:rPr>
            </w:pPr>
            <w:r w:rsidRPr="00485BA4">
              <w:rPr>
                <w:sz w:val="22"/>
                <w:szCs w:val="22"/>
              </w:rPr>
              <w:t>2007</w:t>
            </w:r>
          </w:p>
        </w:tc>
        <w:tc>
          <w:tcPr>
            <w:tcW w:w="1620" w:type="dxa"/>
            <w:vAlign w:val="center"/>
          </w:tcPr>
          <w:p w14:paraId="0373E168" w14:textId="77777777" w:rsidR="00006253" w:rsidRPr="000B39AE" w:rsidRDefault="00006253" w:rsidP="00D1449E">
            <w:pPr>
              <w:spacing w:line="360" w:lineRule="auto"/>
              <w:jc w:val="center"/>
              <w:rPr>
                <w:sz w:val="22"/>
                <w:szCs w:val="22"/>
              </w:rPr>
            </w:pPr>
            <w:r w:rsidRPr="000B39AE">
              <w:rPr>
                <w:sz w:val="22"/>
                <w:szCs w:val="22"/>
              </w:rPr>
              <w:t>365,819</w:t>
            </w:r>
          </w:p>
        </w:tc>
        <w:tc>
          <w:tcPr>
            <w:tcW w:w="1350" w:type="dxa"/>
            <w:vAlign w:val="center"/>
          </w:tcPr>
          <w:p w14:paraId="0F9B085C" w14:textId="77777777" w:rsidR="00006253" w:rsidRPr="000B39AE" w:rsidRDefault="00006253" w:rsidP="00D1449E">
            <w:pPr>
              <w:spacing w:line="360" w:lineRule="auto"/>
              <w:jc w:val="center"/>
              <w:rPr>
                <w:sz w:val="22"/>
                <w:szCs w:val="22"/>
              </w:rPr>
            </w:pPr>
            <w:r w:rsidRPr="000B39AE">
              <w:rPr>
                <w:sz w:val="22"/>
                <w:szCs w:val="22"/>
              </w:rPr>
              <w:t>25,846</w:t>
            </w:r>
          </w:p>
        </w:tc>
        <w:tc>
          <w:tcPr>
            <w:tcW w:w="1080" w:type="dxa"/>
            <w:vAlign w:val="center"/>
          </w:tcPr>
          <w:p w14:paraId="499C7705" w14:textId="77777777" w:rsidR="00006253" w:rsidRPr="000B39AE" w:rsidRDefault="00006253" w:rsidP="00D1449E">
            <w:pPr>
              <w:spacing w:line="360" w:lineRule="auto"/>
              <w:jc w:val="center"/>
              <w:rPr>
                <w:color w:val="000000"/>
                <w:sz w:val="22"/>
                <w:szCs w:val="22"/>
              </w:rPr>
            </w:pPr>
            <w:r w:rsidRPr="000B39AE">
              <w:rPr>
                <w:sz w:val="22"/>
                <w:szCs w:val="22"/>
              </w:rPr>
              <w:t>3,001</w:t>
            </w:r>
          </w:p>
        </w:tc>
        <w:tc>
          <w:tcPr>
            <w:tcW w:w="1170" w:type="dxa"/>
            <w:vAlign w:val="center"/>
          </w:tcPr>
          <w:p w14:paraId="128EE1F5" w14:textId="77777777" w:rsidR="00006253" w:rsidRPr="000B39AE" w:rsidRDefault="00006253" w:rsidP="00D1449E">
            <w:pPr>
              <w:spacing w:line="360" w:lineRule="auto"/>
              <w:jc w:val="center"/>
              <w:rPr>
                <w:color w:val="000000"/>
                <w:sz w:val="22"/>
                <w:szCs w:val="22"/>
              </w:rPr>
            </w:pPr>
            <w:r w:rsidRPr="000B39AE">
              <w:rPr>
                <w:sz w:val="22"/>
                <w:szCs w:val="22"/>
              </w:rPr>
              <w:t>2,996</w:t>
            </w:r>
          </w:p>
        </w:tc>
        <w:tc>
          <w:tcPr>
            <w:tcW w:w="2160" w:type="dxa"/>
            <w:vAlign w:val="center"/>
          </w:tcPr>
          <w:p w14:paraId="0E7F3BCA" w14:textId="77777777" w:rsidR="00006253" w:rsidRPr="000B39AE" w:rsidRDefault="00006253" w:rsidP="00D1449E">
            <w:pPr>
              <w:spacing w:line="360" w:lineRule="auto"/>
              <w:jc w:val="center"/>
              <w:rPr>
                <w:color w:val="000000"/>
                <w:sz w:val="22"/>
                <w:szCs w:val="22"/>
              </w:rPr>
            </w:pPr>
            <w:r w:rsidRPr="000B39AE">
              <w:rPr>
                <w:sz w:val="22"/>
                <w:szCs w:val="22"/>
              </w:rPr>
              <w:t>35,738</w:t>
            </w:r>
          </w:p>
        </w:tc>
      </w:tr>
      <w:tr w:rsidR="00006253" w:rsidRPr="00EC1725" w14:paraId="3E6CA3FE" w14:textId="77777777" w:rsidTr="005F3256">
        <w:trPr>
          <w:trHeight w:val="288"/>
        </w:trPr>
        <w:tc>
          <w:tcPr>
            <w:tcW w:w="3055" w:type="dxa"/>
            <w:noWrap/>
            <w:vAlign w:val="center"/>
          </w:tcPr>
          <w:p w14:paraId="301F73D2" w14:textId="77777777" w:rsidR="00006253" w:rsidRPr="00485BA4" w:rsidRDefault="00006253" w:rsidP="00D1449E">
            <w:pPr>
              <w:spacing w:line="360" w:lineRule="auto"/>
              <w:rPr>
                <w:sz w:val="22"/>
                <w:szCs w:val="22"/>
              </w:rPr>
            </w:pPr>
            <w:r w:rsidRPr="00485BA4">
              <w:rPr>
                <w:sz w:val="22"/>
                <w:szCs w:val="22"/>
              </w:rPr>
              <w:t>2008</w:t>
            </w:r>
          </w:p>
        </w:tc>
        <w:tc>
          <w:tcPr>
            <w:tcW w:w="1620" w:type="dxa"/>
            <w:vAlign w:val="center"/>
          </w:tcPr>
          <w:p w14:paraId="41AAFFF4" w14:textId="77777777" w:rsidR="00006253" w:rsidRPr="000B39AE" w:rsidRDefault="00006253" w:rsidP="00D1449E">
            <w:pPr>
              <w:spacing w:line="360" w:lineRule="auto"/>
              <w:jc w:val="center"/>
              <w:rPr>
                <w:sz w:val="22"/>
                <w:szCs w:val="22"/>
              </w:rPr>
            </w:pPr>
            <w:r w:rsidRPr="000B39AE">
              <w:rPr>
                <w:sz w:val="22"/>
                <w:szCs w:val="22"/>
              </w:rPr>
              <w:t>390,539</w:t>
            </w:r>
          </w:p>
        </w:tc>
        <w:tc>
          <w:tcPr>
            <w:tcW w:w="1350" w:type="dxa"/>
            <w:vAlign w:val="center"/>
          </w:tcPr>
          <w:p w14:paraId="582A041D" w14:textId="77777777" w:rsidR="00006253" w:rsidRPr="000B39AE" w:rsidRDefault="00006253" w:rsidP="00D1449E">
            <w:pPr>
              <w:spacing w:line="360" w:lineRule="auto"/>
              <w:jc w:val="center"/>
              <w:rPr>
                <w:sz w:val="22"/>
                <w:szCs w:val="22"/>
              </w:rPr>
            </w:pPr>
            <w:r w:rsidRPr="000B39AE">
              <w:rPr>
                <w:sz w:val="22"/>
                <w:szCs w:val="22"/>
              </w:rPr>
              <w:t>27,502</w:t>
            </w:r>
          </w:p>
        </w:tc>
        <w:tc>
          <w:tcPr>
            <w:tcW w:w="1080" w:type="dxa"/>
            <w:vAlign w:val="center"/>
          </w:tcPr>
          <w:p w14:paraId="5EECA985" w14:textId="77777777" w:rsidR="00006253" w:rsidRPr="000B39AE" w:rsidRDefault="00006253" w:rsidP="00D1449E">
            <w:pPr>
              <w:spacing w:line="360" w:lineRule="auto"/>
              <w:jc w:val="center"/>
              <w:rPr>
                <w:color w:val="000000"/>
                <w:sz w:val="22"/>
                <w:szCs w:val="22"/>
              </w:rPr>
            </w:pPr>
            <w:r w:rsidRPr="000B39AE">
              <w:rPr>
                <w:sz w:val="22"/>
                <w:szCs w:val="22"/>
              </w:rPr>
              <w:t>2,865</w:t>
            </w:r>
          </w:p>
        </w:tc>
        <w:tc>
          <w:tcPr>
            <w:tcW w:w="1170" w:type="dxa"/>
            <w:vAlign w:val="center"/>
          </w:tcPr>
          <w:p w14:paraId="38303D1E" w14:textId="77777777" w:rsidR="00006253" w:rsidRPr="000B39AE" w:rsidRDefault="00006253" w:rsidP="00D1449E">
            <w:pPr>
              <w:spacing w:line="360" w:lineRule="auto"/>
              <w:jc w:val="center"/>
              <w:rPr>
                <w:color w:val="000000"/>
                <w:sz w:val="22"/>
                <w:szCs w:val="22"/>
              </w:rPr>
            </w:pPr>
            <w:r w:rsidRPr="000B39AE">
              <w:rPr>
                <w:sz w:val="22"/>
                <w:szCs w:val="22"/>
              </w:rPr>
              <w:t>2,988</w:t>
            </w:r>
          </w:p>
        </w:tc>
        <w:tc>
          <w:tcPr>
            <w:tcW w:w="2160" w:type="dxa"/>
            <w:vAlign w:val="center"/>
          </w:tcPr>
          <w:p w14:paraId="2DA56DA8" w14:textId="77777777" w:rsidR="00006253" w:rsidRPr="000B39AE" w:rsidRDefault="00006253" w:rsidP="00D1449E">
            <w:pPr>
              <w:spacing w:line="360" w:lineRule="auto"/>
              <w:jc w:val="center"/>
              <w:rPr>
                <w:color w:val="000000"/>
                <w:sz w:val="22"/>
                <w:szCs w:val="22"/>
              </w:rPr>
            </w:pPr>
            <w:r w:rsidRPr="000B39AE">
              <w:rPr>
                <w:sz w:val="22"/>
                <w:szCs w:val="22"/>
              </w:rPr>
              <w:t>38,198</w:t>
            </w:r>
          </w:p>
        </w:tc>
      </w:tr>
      <w:tr w:rsidR="00006253" w:rsidRPr="00EC1725" w14:paraId="450D4278" w14:textId="77777777" w:rsidTr="005F3256">
        <w:trPr>
          <w:trHeight w:val="288"/>
        </w:trPr>
        <w:tc>
          <w:tcPr>
            <w:tcW w:w="3055" w:type="dxa"/>
            <w:noWrap/>
            <w:vAlign w:val="center"/>
            <w:hideMark/>
          </w:tcPr>
          <w:p w14:paraId="68DC1892" w14:textId="77777777" w:rsidR="00006253" w:rsidRPr="00485BA4" w:rsidRDefault="00006253" w:rsidP="00D1449E">
            <w:pPr>
              <w:spacing w:line="360" w:lineRule="auto"/>
              <w:rPr>
                <w:sz w:val="22"/>
                <w:szCs w:val="22"/>
              </w:rPr>
            </w:pPr>
            <w:r w:rsidRPr="00485BA4">
              <w:rPr>
                <w:sz w:val="22"/>
                <w:szCs w:val="22"/>
              </w:rPr>
              <w:t>2009</w:t>
            </w:r>
          </w:p>
        </w:tc>
        <w:tc>
          <w:tcPr>
            <w:tcW w:w="1620" w:type="dxa"/>
            <w:vAlign w:val="center"/>
          </w:tcPr>
          <w:p w14:paraId="5EA775F3" w14:textId="77777777" w:rsidR="00006253" w:rsidRPr="000B39AE" w:rsidRDefault="00006253" w:rsidP="00D1449E">
            <w:pPr>
              <w:spacing w:line="360" w:lineRule="auto"/>
              <w:jc w:val="center"/>
              <w:rPr>
                <w:sz w:val="22"/>
                <w:szCs w:val="22"/>
              </w:rPr>
            </w:pPr>
            <w:r w:rsidRPr="000B39AE">
              <w:rPr>
                <w:sz w:val="22"/>
                <w:szCs w:val="22"/>
              </w:rPr>
              <w:t>396,745</w:t>
            </w:r>
          </w:p>
        </w:tc>
        <w:tc>
          <w:tcPr>
            <w:tcW w:w="1350" w:type="dxa"/>
            <w:vAlign w:val="center"/>
          </w:tcPr>
          <w:p w14:paraId="5964CE1B" w14:textId="77777777" w:rsidR="00006253" w:rsidRPr="000B39AE" w:rsidRDefault="00006253" w:rsidP="00D1449E">
            <w:pPr>
              <w:spacing w:line="360" w:lineRule="auto"/>
              <w:jc w:val="center"/>
              <w:rPr>
                <w:sz w:val="22"/>
                <w:szCs w:val="22"/>
              </w:rPr>
            </w:pPr>
            <w:r w:rsidRPr="000B39AE">
              <w:rPr>
                <w:sz w:val="22"/>
                <w:szCs w:val="22"/>
              </w:rPr>
              <w:t>26,484</w:t>
            </w:r>
          </w:p>
        </w:tc>
        <w:tc>
          <w:tcPr>
            <w:tcW w:w="1080" w:type="dxa"/>
            <w:vAlign w:val="center"/>
          </w:tcPr>
          <w:p w14:paraId="0B43D20E" w14:textId="77777777" w:rsidR="00006253" w:rsidRPr="000B39AE" w:rsidRDefault="00006253" w:rsidP="00D1449E">
            <w:pPr>
              <w:spacing w:line="360" w:lineRule="auto"/>
              <w:jc w:val="center"/>
              <w:rPr>
                <w:color w:val="000000"/>
                <w:sz w:val="22"/>
                <w:szCs w:val="22"/>
              </w:rPr>
            </w:pPr>
            <w:r w:rsidRPr="000B39AE">
              <w:rPr>
                <w:sz w:val="22"/>
                <w:szCs w:val="22"/>
              </w:rPr>
              <w:t>2,804</w:t>
            </w:r>
          </w:p>
        </w:tc>
        <w:tc>
          <w:tcPr>
            <w:tcW w:w="1170" w:type="dxa"/>
            <w:vAlign w:val="center"/>
          </w:tcPr>
          <w:p w14:paraId="43DE1A4F" w14:textId="77777777" w:rsidR="00006253" w:rsidRPr="000B39AE" w:rsidRDefault="00006253" w:rsidP="00D1449E">
            <w:pPr>
              <w:spacing w:line="360" w:lineRule="auto"/>
              <w:jc w:val="center"/>
              <w:rPr>
                <w:color w:val="000000"/>
                <w:sz w:val="22"/>
                <w:szCs w:val="22"/>
              </w:rPr>
            </w:pPr>
            <w:r w:rsidRPr="000B39AE">
              <w:rPr>
                <w:sz w:val="22"/>
                <w:szCs w:val="22"/>
              </w:rPr>
              <w:t>2,929</w:t>
            </w:r>
          </w:p>
        </w:tc>
        <w:tc>
          <w:tcPr>
            <w:tcW w:w="2160" w:type="dxa"/>
            <w:vAlign w:val="center"/>
          </w:tcPr>
          <w:p w14:paraId="3AA41D85" w14:textId="77777777" w:rsidR="00006253" w:rsidRPr="000B39AE" w:rsidRDefault="00006253" w:rsidP="00D1449E">
            <w:pPr>
              <w:spacing w:line="360" w:lineRule="auto"/>
              <w:jc w:val="center"/>
              <w:rPr>
                <w:color w:val="000000"/>
                <w:sz w:val="22"/>
                <w:szCs w:val="22"/>
              </w:rPr>
            </w:pPr>
            <w:r w:rsidRPr="000B39AE">
              <w:rPr>
                <w:sz w:val="22"/>
                <w:szCs w:val="22"/>
              </w:rPr>
              <w:t>36,612</w:t>
            </w:r>
          </w:p>
        </w:tc>
      </w:tr>
      <w:tr w:rsidR="00006253" w:rsidRPr="00EC1725" w14:paraId="2412C8D6" w14:textId="77777777" w:rsidTr="005F3256">
        <w:trPr>
          <w:trHeight w:val="288"/>
        </w:trPr>
        <w:tc>
          <w:tcPr>
            <w:tcW w:w="3055" w:type="dxa"/>
            <w:noWrap/>
            <w:vAlign w:val="center"/>
            <w:hideMark/>
          </w:tcPr>
          <w:p w14:paraId="28BBD68D" w14:textId="77777777" w:rsidR="00006253" w:rsidRPr="00485BA4" w:rsidRDefault="00006253" w:rsidP="00D1449E">
            <w:pPr>
              <w:spacing w:line="360" w:lineRule="auto"/>
              <w:rPr>
                <w:sz w:val="22"/>
                <w:szCs w:val="22"/>
              </w:rPr>
            </w:pPr>
            <w:r w:rsidRPr="00485BA4">
              <w:rPr>
                <w:sz w:val="22"/>
                <w:szCs w:val="22"/>
              </w:rPr>
              <w:t>2010</w:t>
            </w:r>
          </w:p>
        </w:tc>
        <w:tc>
          <w:tcPr>
            <w:tcW w:w="1620" w:type="dxa"/>
            <w:vAlign w:val="center"/>
          </w:tcPr>
          <w:p w14:paraId="4922BAB6" w14:textId="77777777" w:rsidR="00006253" w:rsidRPr="000B39AE" w:rsidRDefault="00006253" w:rsidP="00D1449E">
            <w:pPr>
              <w:spacing w:line="360" w:lineRule="auto"/>
              <w:jc w:val="center"/>
              <w:rPr>
                <w:sz w:val="22"/>
                <w:szCs w:val="22"/>
              </w:rPr>
            </w:pPr>
            <w:r w:rsidRPr="000B39AE">
              <w:rPr>
                <w:sz w:val="22"/>
                <w:szCs w:val="22"/>
              </w:rPr>
              <w:t>311,108</w:t>
            </w:r>
          </w:p>
        </w:tc>
        <w:tc>
          <w:tcPr>
            <w:tcW w:w="1350" w:type="dxa"/>
            <w:vAlign w:val="center"/>
          </w:tcPr>
          <w:p w14:paraId="5461A9A3" w14:textId="77777777" w:rsidR="00006253" w:rsidRPr="000B39AE" w:rsidRDefault="00006253" w:rsidP="00D1449E">
            <w:pPr>
              <w:spacing w:line="360" w:lineRule="auto"/>
              <w:jc w:val="center"/>
              <w:rPr>
                <w:sz w:val="22"/>
                <w:szCs w:val="22"/>
              </w:rPr>
            </w:pPr>
            <w:r w:rsidRPr="000B39AE">
              <w:rPr>
                <w:sz w:val="22"/>
                <w:szCs w:val="22"/>
              </w:rPr>
              <w:t>20,671</w:t>
            </w:r>
          </w:p>
        </w:tc>
        <w:tc>
          <w:tcPr>
            <w:tcW w:w="1080" w:type="dxa"/>
            <w:vAlign w:val="center"/>
          </w:tcPr>
          <w:p w14:paraId="41B5C408" w14:textId="77777777" w:rsidR="00006253" w:rsidRPr="000B39AE" w:rsidRDefault="00006253" w:rsidP="00D1449E">
            <w:pPr>
              <w:spacing w:line="360" w:lineRule="auto"/>
              <w:jc w:val="center"/>
              <w:rPr>
                <w:color w:val="000000"/>
                <w:sz w:val="22"/>
                <w:szCs w:val="22"/>
              </w:rPr>
            </w:pPr>
            <w:r w:rsidRPr="000B39AE">
              <w:rPr>
                <w:sz w:val="22"/>
                <w:szCs w:val="22"/>
              </w:rPr>
              <w:t>2,273</w:t>
            </w:r>
          </w:p>
        </w:tc>
        <w:tc>
          <w:tcPr>
            <w:tcW w:w="1170" w:type="dxa"/>
            <w:vAlign w:val="center"/>
          </w:tcPr>
          <w:p w14:paraId="752E3D5F" w14:textId="77777777" w:rsidR="00006253" w:rsidRPr="000B39AE" w:rsidRDefault="00006253" w:rsidP="00D1449E">
            <w:pPr>
              <w:spacing w:line="360" w:lineRule="auto"/>
              <w:jc w:val="center"/>
              <w:rPr>
                <w:color w:val="000000"/>
                <w:sz w:val="22"/>
                <w:szCs w:val="22"/>
              </w:rPr>
            </w:pPr>
            <w:r w:rsidRPr="000B39AE">
              <w:rPr>
                <w:sz w:val="22"/>
                <w:szCs w:val="22"/>
              </w:rPr>
              <w:t>2,200</w:t>
            </w:r>
          </w:p>
        </w:tc>
        <w:tc>
          <w:tcPr>
            <w:tcW w:w="2160" w:type="dxa"/>
            <w:vAlign w:val="center"/>
          </w:tcPr>
          <w:p w14:paraId="09F556E2" w14:textId="77777777" w:rsidR="00006253" w:rsidRPr="000B39AE" w:rsidRDefault="00006253" w:rsidP="00D1449E">
            <w:pPr>
              <w:spacing w:line="360" w:lineRule="auto"/>
              <w:jc w:val="center"/>
              <w:rPr>
                <w:color w:val="000000"/>
                <w:sz w:val="22"/>
                <w:szCs w:val="22"/>
              </w:rPr>
            </w:pPr>
            <w:r w:rsidRPr="000B39AE">
              <w:rPr>
                <w:sz w:val="22"/>
                <w:szCs w:val="22"/>
              </w:rPr>
              <w:t>30,310</w:t>
            </w:r>
          </w:p>
        </w:tc>
      </w:tr>
      <w:tr w:rsidR="00006253" w:rsidRPr="00EC1725" w14:paraId="3EAACCB5" w14:textId="77777777" w:rsidTr="005F3256">
        <w:trPr>
          <w:trHeight w:val="288"/>
        </w:trPr>
        <w:tc>
          <w:tcPr>
            <w:tcW w:w="3055" w:type="dxa"/>
            <w:noWrap/>
            <w:vAlign w:val="center"/>
            <w:hideMark/>
          </w:tcPr>
          <w:p w14:paraId="7FAF7E13" w14:textId="77777777" w:rsidR="00006253" w:rsidRPr="00485BA4" w:rsidRDefault="00006253" w:rsidP="00D1449E">
            <w:pPr>
              <w:spacing w:line="360" w:lineRule="auto"/>
              <w:rPr>
                <w:sz w:val="22"/>
                <w:szCs w:val="22"/>
              </w:rPr>
            </w:pPr>
            <w:r w:rsidRPr="00485BA4">
              <w:rPr>
                <w:sz w:val="22"/>
                <w:szCs w:val="22"/>
              </w:rPr>
              <w:t>2011</w:t>
            </w:r>
          </w:p>
        </w:tc>
        <w:tc>
          <w:tcPr>
            <w:tcW w:w="1620" w:type="dxa"/>
            <w:vAlign w:val="center"/>
          </w:tcPr>
          <w:p w14:paraId="0A8491EC" w14:textId="77777777" w:rsidR="00006253" w:rsidRPr="000B39AE" w:rsidRDefault="00006253" w:rsidP="00D1449E">
            <w:pPr>
              <w:spacing w:line="360" w:lineRule="auto"/>
              <w:jc w:val="center"/>
              <w:rPr>
                <w:sz w:val="22"/>
                <w:szCs w:val="22"/>
              </w:rPr>
            </w:pPr>
            <w:r w:rsidRPr="000B39AE">
              <w:rPr>
                <w:sz w:val="22"/>
                <w:szCs w:val="22"/>
              </w:rPr>
              <w:t>239,949</w:t>
            </w:r>
          </w:p>
        </w:tc>
        <w:tc>
          <w:tcPr>
            <w:tcW w:w="1350" w:type="dxa"/>
            <w:vAlign w:val="center"/>
          </w:tcPr>
          <w:p w14:paraId="1ADEB752" w14:textId="77777777" w:rsidR="00006253" w:rsidRPr="000B39AE" w:rsidRDefault="00006253" w:rsidP="00D1449E">
            <w:pPr>
              <w:spacing w:line="360" w:lineRule="auto"/>
              <w:jc w:val="center"/>
              <w:rPr>
                <w:sz w:val="22"/>
                <w:szCs w:val="22"/>
              </w:rPr>
            </w:pPr>
            <w:r w:rsidRPr="000B39AE">
              <w:rPr>
                <w:sz w:val="22"/>
                <w:szCs w:val="22"/>
              </w:rPr>
              <w:t>12,093</w:t>
            </w:r>
          </w:p>
        </w:tc>
        <w:tc>
          <w:tcPr>
            <w:tcW w:w="1080" w:type="dxa"/>
            <w:vAlign w:val="center"/>
          </w:tcPr>
          <w:p w14:paraId="6D2B7B2F" w14:textId="77777777" w:rsidR="00006253" w:rsidRPr="000B39AE" w:rsidRDefault="00006253" w:rsidP="00D1449E">
            <w:pPr>
              <w:spacing w:line="360" w:lineRule="auto"/>
              <w:jc w:val="center"/>
              <w:rPr>
                <w:color w:val="000000"/>
                <w:sz w:val="22"/>
                <w:szCs w:val="22"/>
              </w:rPr>
            </w:pPr>
            <w:r w:rsidRPr="000B39AE">
              <w:rPr>
                <w:sz w:val="22"/>
                <w:szCs w:val="22"/>
              </w:rPr>
              <w:t>2,265</w:t>
            </w:r>
          </w:p>
        </w:tc>
        <w:tc>
          <w:tcPr>
            <w:tcW w:w="1170" w:type="dxa"/>
            <w:vAlign w:val="center"/>
          </w:tcPr>
          <w:p w14:paraId="3821B555" w14:textId="77777777" w:rsidR="00006253" w:rsidRPr="000B39AE" w:rsidRDefault="00006253" w:rsidP="00D1449E">
            <w:pPr>
              <w:spacing w:line="360" w:lineRule="auto"/>
              <w:jc w:val="center"/>
              <w:rPr>
                <w:color w:val="000000"/>
                <w:sz w:val="22"/>
                <w:szCs w:val="22"/>
              </w:rPr>
            </w:pPr>
            <w:r w:rsidRPr="000B39AE">
              <w:rPr>
                <w:sz w:val="22"/>
                <w:szCs w:val="22"/>
              </w:rPr>
              <w:t>1,932</w:t>
            </w:r>
          </w:p>
        </w:tc>
        <w:tc>
          <w:tcPr>
            <w:tcW w:w="2160" w:type="dxa"/>
            <w:vAlign w:val="center"/>
          </w:tcPr>
          <w:p w14:paraId="00365014" w14:textId="77777777" w:rsidR="00006253" w:rsidRPr="000B39AE" w:rsidRDefault="00006253" w:rsidP="00D1449E">
            <w:pPr>
              <w:spacing w:line="360" w:lineRule="auto"/>
              <w:jc w:val="center"/>
              <w:rPr>
                <w:color w:val="000000"/>
                <w:sz w:val="22"/>
                <w:szCs w:val="22"/>
              </w:rPr>
            </w:pPr>
            <w:r w:rsidRPr="000B39AE">
              <w:rPr>
                <w:sz w:val="22"/>
                <w:szCs w:val="22"/>
              </w:rPr>
              <w:t>24,983</w:t>
            </w:r>
          </w:p>
        </w:tc>
      </w:tr>
      <w:tr w:rsidR="00006253" w:rsidRPr="00EC1725" w14:paraId="48E1CDF3" w14:textId="77777777" w:rsidTr="005F3256">
        <w:trPr>
          <w:trHeight w:val="288"/>
        </w:trPr>
        <w:tc>
          <w:tcPr>
            <w:tcW w:w="3055" w:type="dxa"/>
            <w:noWrap/>
            <w:vAlign w:val="center"/>
            <w:hideMark/>
          </w:tcPr>
          <w:p w14:paraId="397C137F" w14:textId="77777777" w:rsidR="00006253" w:rsidRPr="00485BA4" w:rsidRDefault="00006253" w:rsidP="00D1449E">
            <w:pPr>
              <w:spacing w:line="360" w:lineRule="auto"/>
              <w:rPr>
                <w:sz w:val="22"/>
                <w:szCs w:val="22"/>
              </w:rPr>
            </w:pPr>
            <w:r w:rsidRPr="00485BA4">
              <w:rPr>
                <w:sz w:val="22"/>
                <w:szCs w:val="22"/>
              </w:rPr>
              <w:t>2012</w:t>
            </w:r>
          </w:p>
        </w:tc>
        <w:tc>
          <w:tcPr>
            <w:tcW w:w="1620" w:type="dxa"/>
            <w:vAlign w:val="center"/>
          </w:tcPr>
          <w:p w14:paraId="6804CBE5" w14:textId="77777777" w:rsidR="00006253" w:rsidRPr="000B39AE" w:rsidRDefault="00006253" w:rsidP="00D1449E">
            <w:pPr>
              <w:spacing w:line="360" w:lineRule="auto"/>
              <w:jc w:val="center"/>
              <w:rPr>
                <w:sz w:val="22"/>
                <w:szCs w:val="22"/>
              </w:rPr>
            </w:pPr>
            <w:r w:rsidRPr="000B39AE">
              <w:rPr>
                <w:sz w:val="22"/>
                <w:szCs w:val="22"/>
              </w:rPr>
              <w:t>267,687</w:t>
            </w:r>
          </w:p>
        </w:tc>
        <w:tc>
          <w:tcPr>
            <w:tcW w:w="1350" w:type="dxa"/>
            <w:vAlign w:val="center"/>
          </w:tcPr>
          <w:p w14:paraId="1B0F0B73" w14:textId="77777777" w:rsidR="00006253" w:rsidRPr="000B39AE" w:rsidRDefault="00006253" w:rsidP="00D1449E">
            <w:pPr>
              <w:spacing w:line="360" w:lineRule="auto"/>
              <w:jc w:val="center"/>
              <w:rPr>
                <w:sz w:val="22"/>
                <w:szCs w:val="22"/>
              </w:rPr>
            </w:pPr>
            <w:r w:rsidRPr="000B39AE">
              <w:rPr>
                <w:sz w:val="22"/>
                <w:szCs w:val="22"/>
              </w:rPr>
              <w:t>14,899</w:t>
            </w:r>
          </w:p>
        </w:tc>
        <w:tc>
          <w:tcPr>
            <w:tcW w:w="1080" w:type="dxa"/>
            <w:vAlign w:val="center"/>
          </w:tcPr>
          <w:p w14:paraId="2B370CE6" w14:textId="77777777" w:rsidR="00006253" w:rsidRPr="000B39AE" w:rsidRDefault="00006253" w:rsidP="00D1449E">
            <w:pPr>
              <w:spacing w:line="360" w:lineRule="auto"/>
              <w:jc w:val="center"/>
              <w:rPr>
                <w:color w:val="000000"/>
                <w:sz w:val="22"/>
                <w:szCs w:val="22"/>
              </w:rPr>
            </w:pPr>
            <w:r w:rsidRPr="000B39AE">
              <w:rPr>
                <w:sz w:val="22"/>
                <w:szCs w:val="22"/>
              </w:rPr>
              <w:t>1,998</w:t>
            </w:r>
          </w:p>
        </w:tc>
        <w:tc>
          <w:tcPr>
            <w:tcW w:w="1170" w:type="dxa"/>
            <w:vAlign w:val="center"/>
          </w:tcPr>
          <w:p w14:paraId="79F6B063" w14:textId="77777777" w:rsidR="00006253" w:rsidRPr="000B39AE" w:rsidRDefault="00006253" w:rsidP="00D1449E">
            <w:pPr>
              <w:spacing w:line="360" w:lineRule="auto"/>
              <w:jc w:val="center"/>
              <w:rPr>
                <w:color w:val="000000"/>
                <w:sz w:val="22"/>
                <w:szCs w:val="22"/>
              </w:rPr>
            </w:pPr>
            <w:r w:rsidRPr="000B39AE">
              <w:rPr>
                <w:sz w:val="22"/>
                <w:szCs w:val="22"/>
              </w:rPr>
              <w:t>1,776</w:t>
            </w:r>
          </w:p>
        </w:tc>
        <w:tc>
          <w:tcPr>
            <w:tcW w:w="2160" w:type="dxa"/>
            <w:vAlign w:val="center"/>
          </w:tcPr>
          <w:p w14:paraId="07D9C832" w14:textId="77777777" w:rsidR="00006253" w:rsidRPr="000B39AE" w:rsidRDefault="00006253" w:rsidP="00D1449E">
            <w:pPr>
              <w:spacing w:line="360" w:lineRule="auto"/>
              <w:jc w:val="center"/>
              <w:rPr>
                <w:color w:val="000000"/>
                <w:sz w:val="22"/>
                <w:szCs w:val="22"/>
              </w:rPr>
            </w:pPr>
            <w:r w:rsidRPr="000B39AE">
              <w:rPr>
                <w:sz w:val="22"/>
                <w:szCs w:val="22"/>
              </w:rPr>
              <w:t>18,577</w:t>
            </w:r>
          </w:p>
        </w:tc>
      </w:tr>
      <w:tr w:rsidR="00006253" w:rsidRPr="00EC1725" w14:paraId="5F1343DA" w14:textId="77777777" w:rsidTr="005F3256">
        <w:trPr>
          <w:trHeight w:val="288"/>
        </w:trPr>
        <w:tc>
          <w:tcPr>
            <w:tcW w:w="3055" w:type="dxa"/>
            <w:noWrap/>
            <w:vAlign w:val="center"/>
            <w:hideMark/>
          </w:tcPr>
          <w:p w14:paraId="19A6CE6D" w14:textId="77777777" w:rsidR="00006253" w:rsidRPr="00485BA4" w:rsidRDefault="00006253" w:rsidP="00D1449E">
            <w:pPr>
              <w:spacing w:line="360" w:lineRule="auto"/>
              <w:rPr>
                <w:sz w:val="22"/>
                <w:szCs w:val="22"/>
              </w:rPr>
            </w:pPr>
            <w:r w:rsidRPr="00485BA4">
              <w:rPr>
                <w:sz w:val="22"/>
                <w:szCs w:val="22"/>
              </w:rPr>
              <w:t>2013</w:t>
            </w:r>
          </w:p>
        </w:tc>
        <w:tc>
          <w:tcPr>
            <w:tcW w:w="1620" w:type="dxa"/>
            <w:vAlign w:val="center"/>
          </w:tcPr>
          <w:p w14:paraId="2F49FBB3" w14:textId="77777777" w:rsidR="00006253" w:rsidRPr="000B39AE" w:rsidRDefault="00006253" w:rsidP="00D1449E">
            <w:pPr>
              <w:spacing w:line="360" w:lineRule="auto"/>
              <w:jc w:val="center"/>
              <w:rPr>
                <w:sz w:val="22"/>
                <w:szCs w:val="22"/>
              </w:rPr>
            </w:pPr>
            <w:r w:rsidRPr="000B39AE">
              <w:rPr>
                <w:sz w:val="22"/>
                <w:szCs w:val="22"/>
              </w:rPr>
              <w:t>308,830</w:t>
            </w:r>
          </w:p>
        </w:tc>
        <w:tc>
          <w:tcPr>
            <w:tcW w:w="1350" w:type="dxa"/>
            <w:vAlign w:val="center"/>
          </w:tcPr>
          <w:p w14:paraId="4449BC2C" w14:textId="77777777" w:rsidR="00006253" w:rsidRPr="000B39AE" w:rsidRDefault="00006253" w:rsidP="00D1449E">
            <w:pPr>
              <w:spacing w:line="360" w:lineRule="auto"/>
              <w:jc w:val="center"/>
              <w:rPr>
                <w:sz w:val="22"/>
                <w:szCs w:val="22"/>
              </w:rPr>
            </w:pPr>
            <w:r w:rsidRPr="000B39AE">
              <w:rPr>
                <w:sz w:val="22"/>
                <w:szCs w:val="22"/>
              </w:rPr>
              <w:t>16,609</w:t>
            </w:r>
          </w:p>
        </w:tc>
        <w:tc>
          <w:tcPr>
            <w:tcW w:w="1080" w:type="dxa"/>
            <w:vAlign w:val="center"/>
          </w:tcPr>
          <w:p w14:paraId="5BC4BC06" w14:textId="77777777" w:rsidR="00006253" w:rsidRPr="000B39AE" w:rsidRDefault="00006253" w:rsidP="00D1449E">
            <w:pPr>
              <w:spacing w:line="360" w:lineRule="auto"/>
              <w:jc w:val="center"/>
              <w:rPr>
                <w:color w:val="000000"/>
                <w:sz w:val="22"/>
                <w:szCs w:val="22"/>
              </w:rPr>
            </w:pPr>
            <w:r w:rsidRPr="000B39AE">
              <w:rPr>
                <w:sz w:val="22"/>
                <w:szCs w:val="22"/>
              </w:rPr>
              <w:t>1,349</w:t>
            </w:r>
          </w:p>
        </w:tc>
        <w:tc>
          <w:tcPr>
            <w:tcW w:w="1170" w:type="dxa"/>
            <w:vAlign w:val="center"/>
          </w:tcPr>
          <w:p w14:paraId="256E1C6E" w14:textId="77777777" w:rsidR="00006253" w:rsidRPr="000B39AE" w:rsidRDefault="00006253" w:rsidP="00D1449E">
            <w:pPr>
              <w:spacing w:line="360" w:lineRule="auto"/>
              <w:jc w:val="center"/>
              <w:rPr>
                <w:color w:val="000000"/>
                <w:sz w:val="22"/>
                <w:szCs w:val="22"/>
              </w:rPr>
            </w:pPr>
            <w:r w:rsidRPr="000B39AE">
              <w:rPr>
                <w:sz w:val="22"/>
                <w:szCs w:val="22"/>
              </w:rPr>
              <w:t>1,538</w:t>
            </w:r>
          </w:p>
        </w:tc>
        <w:tc>
          <w:tcPr>
            <w:tcW w:w="2160" w:type="dxa"/>
            <w:vAlign w:val="center"/>
          </w:tcPr>
          <w:p w14:paraId="0C45712B" w14:textId="77777777" w:rsidR="00006253" w:rsidRPr="000B39AE" w:rsidRDefault="00006253" w:rsidP="00D1449E">
            <w:pPr>
              <w:spacing w:line="360" w:lineRule="auto"/>
              <w:jc w:val="center"/>
              <w:rPr>
                <w:color w:val="000000"/>
                <w:sz w:val="22"/>
                <w:szCs w:val="22"/>
              </w:rPr>
            </w:pPr>
            <w:r w:rsidRPr="000B39AE">
              <w:rPr>
                <w:sz w:val="22"/>
                <w:szCs w:val="22"/>
              </w:rPr>
              <w:t>17,841</w:t>
            </w:r>
          </w:p>
        </w:tc>
      </w:tr>
      <w:tr w:rsidR="00006253" w:rsidRPr="00EC1725" w14:paraId="583F9E4A" w14:textId="77777777" w:rsidTr="005F3256">
        <w:trPr>
          <w:trHeight w:val="288"/>
        </w:trPr>
        <w:tc>
          <w:tcPr>
            <w:tcW w:w="3055" w:type="dxa"/>
            <w:noWrap/>
            <w:vAlign w:val="center"/>
            <w:hideMark/>
          </w:tcPr>
          <w:p w14:paraId="011EFC1C" w14:textId="77777777" w:rsidR="00006253" w:rsidRPr="00485BA4" w:rsidRDefault="00006253" w:rsidP="00D1449E">
            <w:pPr>
              <w:spacing w:line="360" w:lineRule="auto"/>
              <w:rPr>
                <w:sz w:val="22"/>
                <w:szCs w:val="22"/>
              </w:rPr>
            </w:pPr>
            <w:r w:rsidRPr="00485BA4">
              <w:rPr>
                <w:sz w:val="22"/>
                <w:szCs w:val="22"/>
              </w:rPr>
              <w:t>2014</w:t>
            </w:r>
          </w:p>
        </w:tc>
        <w:tc>
          <w:tcPr>
            <w:tcW w:w="1620" w:type="dxa"/>
            <w:vAlign w:val="center"/>
          </w:tcPr>
          <w:p w14:paraId="1CBA5F98" w14:textId="77777777" w:rsidR="00006253" w:rsidRPr="000B39AE" w:rsidRDefault="00006253" w:rsidP="00D1449E">
            <w:pPr>
              <w:spacing w:line="360" w:lineRule="auto"/>
              <w:jc w:val="center"/>
              <w:rPr>
                <w:sz w:val="22"/>
                <w:szCs w:val="22"/>
              </w:rPr>
            </w:pPr>
            <w:r w:rsidRPr="000B39AE">
              <w:rPr>
                <w:sz w:val="22"/>
                <w:szCs w:val="22"/>
              </w:rPr>
              <w:t>338,586</w:t>
            </w:r>
          </w:p>
        </w:tc>
        <w:tc>
          <w:tcPr>
            <w:tcW w:w="1350" w:type="dxa"/>
            <w:vAlign w:val="center"/>
          </w:tcPr>
          <w:p w14:paraId="34F1FE25" w14:textId="77777777" w:rsidR="00006253" w:rsidRPr="000B39AE" w:rsidRDefault="00006253" w:rsidP="00D1449E">
            <w:pPr>
              <w:spacing w:line="360" w:lineRule="auto"/>
              <w:jc w:val="center"/>
              <w:rPr>
                <w:sz w:val="22"/>
                <w:szCs w:val="22"/>
              </w:rPr>
            </w:pPr>
            <w:r w:rsidRPr="000B39AE">
              <w:rPr>
                <w:sz w:val="22"/>
                <w:szCs w:val="22"/>
              </w:rPr>
              <w:t>20,458</w:t>
            </w:r>
          </w:p>
        </w:tc>
        <w:tc>
          <w:tcPr>
            <w:tcW w:w="1080" w:type="dxa"/>
            <w:vAlign w:val="center"/>
          </w:tcPr>
          <w:p w14:paraId="42AFB210" w14:textId="77777777" w:rsidR="00006253" w:rsidRPr="000B39AE" w:rsidRDefault="00006253" w:rsidP="00D1449E">
            <w:pPr>
              <w:spacing w:line="360" w:lineRule="auto"/>
              <w:jc w:val="center"/>
              <w:rPr>
                <w:color w:val="000000"/>
                <w:sz w:val="22"/>
                <w:szCs w:val="22"/>
              </w:rPr>
            </w:pPr>
            <w:r w:rsidRPr="000B39AE">
              <w:rPr>
                <w:sz w:val="22"/>
                <w:szCs w:val="22"/>
              </w:rPr>
              <w:t>1,379</w:t>
            </w:r>
          </w:p>
        </w:tc>
        <w:tc>
          <w:tcPr>
            <w:tcW w:w="1170" w:type="dxa"/>
            <w:vAlign w:val="center"/>
          </w:tcPr>
          <w:p w14:paraId="694EDF1F" w14:textId="77777777" w:rsidR="00006253" w:rsidRPr="000B39AE" w:rsidRDefault="00006253" w:rsidP="00D1449E">
            <w:pPr>
              <w:spacing w:line="360" w:lineRule="auto"/>
              <w:jc w:val="center"/>
              <w:rPr>
                <w:color w:val="000000"/>
                <w:sz w:val="22"/>
                <w:szCs w:val="22"/>
              </w:rPr>
            </w:pPr>
            <w:r w:rsidRPr="000B39AE">
              <w:rPr>
                <w:sz w:val="22"/>
                <w:szCs w:val="22"/>
              </w:rPr>
              <w:t>1,324</w:t>
            </w:r>
          </w:p>
        </w:tc>
        <w:tc>
          <w:tcPr>
            <w:tcW w:w="2160" w:type="dxa"/>
            <w:vAlign w:val="center"/>
          </w:tcPr>
          <w:p w14:paraId="11D29F8D" w14:textId="77777777" w:rsidR="00006253" w:rsidRPr="000B39AE" w:rsidRDefault="00006253" w:rsidP="00D1449E">
            <w:pPr>
              <w:spacing w:line="360" w:lineRule="auto"/>
              <w:jc w:val="center"/>
              <w:rPr>
                <w:color w:val="000000"/>
                <w:sz w:val="22"/>
                <w:szCs w:val="22"/>
              </w:rPr>
            </w:pPr>
            <w:r w:rsidRPr="000B39AE">
              <w:rPr>
                <w:sz w:val="22"/>
                <w:szCs w:val="22"/>
              </w:rPr>
              <w:t>18,637</w:t>
            </w:r>
          </w:p>
        </w:tc>
      </w:tr>
      <w:tr w:rsidR="00006253" w:rsidRPr="00EC1725" w14:paraId="08DB4D54" w14:textId="77777777" w:rsidTr="005F3256">
        <w:trPr>
          <w:trHeight w:val="288"/>
        </w:trPr>
        <w:tc>
          <w:tcPr>
            <w:tcW w:w="3055" w:type="dxa"/>
            <w:noWrap/>
            <w:vAlign w:val="center"/>
            <w:hideMark/>
          </w:tcPr>
          <w:p w14:paraId="1BA87452" w14:textId="77777777" w:rsidR="00006253" w:rsidRPr="00485BA4" w:rsidRDefault="00006253" w:rsidP="00D1449E">
            <w:pPr>
              <w:spacing w:line="360" w:lineRule="auto"/>
              <w:rPr>
                <w:sz w:val="22"/>
                <w:szCs w:val="22"/>
              </w:rPr>
            </w:pPr>
            <w:r w:rsidRPr="00485BA4">
              <w:rPr>
                <w:sz w:val="22"/>
                <w:szCs w:val="22"/>
              </w:rPr>
              <w:t>2015</w:t>
            </w:r>
          </w:p>
        </w:tc>
        <w:tc>
          <w:tcPr>
            <w:tcW w:w="1620" w:type="dxa"/>
            <w:vAlign w:val="center"/>
          </w:tcPr>
          <w:p w14:paraId="288335CC" w14:textId="77777777" w:rsidR="00006253" w:rsidRPr="000B39AE" w:rsidRDefault="00006253" w:rsidP="00D1449E">
            <w:pPr>
              <w:spacing w:line="360" w:lineRule="auto"/>
              <w:jc w:val="center"/>
              <w:rPr>
                <w:sz w:val="22"/>
                <w:szCs w:val="22"/>
              </w:rPr>
            </w:pPr>
            <w:r w:rsidRPr="000B39AE">
              <w:rPr>
                <w:sz w:val="22"/>
                <w:szCs w:val="22"/>
              </w:rPr>
              <w:t>320,029</w:t>
            </w:r>
          </w:p>
        </w:tc>
        <w:tc>
          <w:tcPr>
            <w:tcW w:w="1350" w:type="dxa"/>
            <w:vAlign w:val="center"/>
          </w:tcPr>
          <w:p w14:paraId="4CB39BF0" w14:textId="77777777" w:rsidR="00006253" w:rsidRPr="000B39AE" w:rsidRDefault="00006253" w:rsidP="00D1449E">
            <w:pPr>
              <w:spacing w:line="360" w:lineRule="auto"/>
              <w:jc w:val="center"/>
              <w:rPr>
                <w:sz w:val="22"/>
                <w:szCs w:val="22"/>
              </w:rPr>
            </w:pPr>
            <w:r w:rsidRPr="000B39AE">
              <w:rPr>
                <w:sz w:val="22"/>
                <w:szCs w:val="22"/>
              </w:rPr>
              <w:t>19,665</w:t>
            </w:r>
          </w:p>
        </w:tc>
        <w:tc>
          <w:tcPr>
            <w:tcW w:w="1080" w:type="dxa"/>
            <w:vAlign w:val="center"/>
          </w:tcPr>
          <w:p w14:paraId="2172354F" w14:textId="77777777" w:rsidR="00006253" w:rsidRPr="000B39AE" w:rsidRDefault="00006253" w:rsidP="00D1449E">
            <w:pPr>
              <w:spacing w:line="360" w:lineRule="auto"/>
              <w:jc w:val="center"/>
              <w:rPr>
                <w:color w:val="000000"/>
                <w:sz w:val="22"/>
                <w:szCs w:val="22"/>
              </w:rPr>
            </w:pPr>
            <w:r w:rsidRPr="000B39AE">
              <w:rPr>
                <w:sz w:val="22"/>
                <w:szCs w:val="22"/>
              </w:rPr>
              <w:t>750</w:t>
            </w:r>
          </w:p>
        </w:tc>
        <w:tc>
          <w:tcPr>
            <w:tcW w:w="1170" w:type="dxa"/>
            <w:vAlign w:val="center"/>
          </w:tcPr>
          <w:p w14:paraId="3573D97D" w14:textId="77777777" w:rsidR="00006253" w:rsidRPr="000B39AE" w:rsidRDefault="00006253" w:rsidP="00D1449E">
            <w:pPr>
              <w:spacing w:line="360" w:lineRule="auto"/>
              <w:jc w:val="center"/>
              <w:rPr>
                <w:color w:val="000000"/>
                <w:sz w:val="22"/>
                <w:szCs w:val="22"/>
              </w:rPr>
            </w:pPr>
            <w:r w:rsidRPr="000B39AE">
              <w:rPr>
                <w:sz w:val="22"/>
                <w:szCs w:val="22"/>
              </w:rPr>
              <w:t>804</w:t>
            </w:r>
          </w:p>
        </w:tc>
        <w:tc>
          <w:tcPr>
            <w:tcW w:w="2160" w:type="dxa"/>
            <w:vAlign w:val="center"/>
          </w:tcPr>
          <w:p w14:paraId="386B5652" w14:textId="77777777" w:rsidR="00006253" w:rsidRPr="000B39AE" w:rsidRDefault="00006253" w:rsidP="00D1449E">
            <w:pPr>
              <w:spacing w:line="360" w:lineRule="auto"/>
              <w:jc w:val="center"/>
              <w:rPr>
                <w:color w:val="000000"/>
                <w:sz w:val="22"/>
                <w:szCs w:val="22"/>
              </w:rPr>
            </w:pPr>
            <w:r w:rsidRPr="000B39AE">
              <w:rPr>
                <w:sz w:val="22"/>
                <w:szCs w:val="22"/>
              </w:rPr>
              <w:t>13,651</w:t>
            </w:r>
          </w:p>
        </w:tc>
      </w:tr>
      <w:tr w:rsidR="00006253" w:rsidRPr="00EC1725" w14:paraId="4153839D" w14:textId="77777777" w:rsidTr="005F3256">
        <w:trPr>
          <w:trHeight w:val="288"/>
        </w:trPr>
        <w:tc>
          <w:tcPr>
            <w:tcW w:w="3055" w:type="dxa"/>
            <w:shd w:val="clear" w:color="auto" w:fill="auto"/>
            <w:noWrap/>
            <w:vAlign w:val="center"/>
          </w:tcPr>
          <w:p w14:paraId="60323235" w14:textId="77777777" w:rsidR="00006253" w:rsidRPr="00485BA4" w:rsidRDefault="00006253" w:rsidP="00D1449E">
            <w:pPr>
              <w:spacing w:line="360" w:lineRule="auto"/>
              <w:rPr>
                <w:sz w:val="22"/>
                <w:szCs w:val="22"/>
              </w:rPr>
            </w:pPr>
            <w:r w:rsidRPr="00485BA4">
              <w:rPr>
                <w:sz w:val="22"/>
                <w:szCs w:val="22"/>
              </w:rPr>
              <w:t>2016</w:t>
            </w:r>
          </w:p>
        </w:tc>
        <w:tc>
          <w:tcPr>
            <w:tcW w:w="1620" w:type="dxa"/>
            <w:vAlign w:val="center"/>
          </w:tcPr>
          <w:p w14:paraId="00BCF8EB" w14:textId="77777777" w:rsidR="00006253" w:rsidRPr="000B39AE" w:rsidRDefault="00006253" w:rsidP="00D1449E">
            <w:pPr>
              <w:spacing w:line="360" w:lineRule="auto"/>
              <w:jc w:val="center"/>
              <w:rPr>
                <w:sz w:val="22"/>
                <w:szCs w:val="22"/>
              </w:rPr>
            </w:pPr>
            <w:r w:rsidRPr="000B39AE">
              <w:rPr>
                <w:sz w:val="22"/>
                <w:szCs w:val="22"/>
              </w:rPr>
              <w:t>270,827</w:t>
            </w:r>
          </w:p>
        </w:tc>
        <w:tc>
          <w:tcPr>
            <w:tcW w:w="1350" w:type="dxa"/>
            <w:vAlign w:val="center"/>
          </w:tcPr>
          <w:p w14:paraId="6CA604CB" w14:textId="77777777" w:rsidR="00006253" w:rsidRPr="000B39AE" w:rsidRDefault="00006253" w:rsidP="00D1449E">
            <w:pPr>
              <w:spacing w:line="360" w:lineRule="auto"/>
              <w:jc w:val="center"/>
              <w:rPr>
                <w:sz w:val="22"/>
                <w:szCs w:val="22"/>
              </w:rPr>
            </w:pPr>
            <w:r w:rsidRPr="000B39AE">
              <w:rPr>
                <w:sz w:val="22"/>
                <w:szCs w:val="22"/>
              </w:rPr>
              <w:t>17,784</w:t>
            </w:r>
          </w:p>
        </w:tc>
        <w:tc>
          <w:tcPr>
            <w:tcW w:w="1080" w:type="dxa"/>
            <w:vAlign w:val="center"/>
          </w:tcPr>
          <w:p w14:paraId="3812CD25" w14:textId="77777777" w:rsidR="00006253" w:rsidRPr="000B39AE" w:rsidRDefault="00006253" w:rsidP="00D1449E">
            <w:pPr>
              <w:spacing w:line="360" w:lineRule="auto"/>
              <w:jc w:val="center"/>
              <w:rPr>
                <w:color w:val="000000"/>
                <w:sz w:val="22"/>
                <w:szCs w:val="22"/>
              </w:rPr>
            </w:pPr>
            <w:r w:rsidRPr="000B39AE">
              <w:rPr>
                <w:sz w:val="22"/>
                <w:szCs w:val="22"/>
              </w:rPr>
              <w:t>488</w:t>
            </w:r>
          </w:p>
        </w:tc>
        <w:tc>
          <w:tcPr>
            <w:tcW w:w="1170" w:type="dxa"/>
            <w:vAlign w:val="center"/>
          </w:tcPr>
          <w:p w14:paraId="4454CAF3" w14:textId="77777777" w:rsidR="00006253" w:rsidRPr="000B39AE" w:rsidRDefault="00006253" w:rsidP="00D1449E">
            <w:pPr>
              <w:spacing w:line="360" w:lineRule="auto"/>
              <w:jc w:val="center"/>
              <w:rPr>
                <w:color w:val="000000"/>
                <w:sz w:val="22"/>
                <w:szCs w:val="22"/>
              </w:rPr>
            </w:pPr>
            <w:r w:rsidRPr="000B39AE">
              <w:rPr>
                <w:sz w:val="22"/>
                <w:szCs w:val="22"/>
              </w:rPr>
              <w:t>529</w:t>
            </w:r>
          </w:p>
        </w:tc>
        <w:tc>
          <w:tcPr>
            <w:tcW w:w="2160" w:type="dxa"/>
            <w:shd w:val="clear" w:color="auto" w:fill="auto"/>
            <w:vAlign w:val="center"/>
          </w:tcPr>
          <w:p w14:paraId="03FAA333" w14:textId="77777777" w:rsidR="00006253" w:rsidRPr="000B39AE" w:rsidRDefault="00006253" w:rsidP="00D1449E">
            <w:pPr>
              <w:spacing w:line="360" w:lineRule="auto"/>
              <w:jc w:val="center"/>
              <w:rPr>
                <w:color w:val="000000"/>
                <w:sz w:val="22"/>
                <w:szCs w:val="22"/>
              </w:rPr>
            </w:pPr>
            <w:r w:rsidRPr="000B39AE">
              <w:rPr>
                <w:sz w:val="22"/>
                <w:szCs w:val="22"/>
              </w:rPr>
              <w:t>10,582</w:t>
            </w:r>
          </w:p>
        </w:tc>
      </w:tr>
      <w:tr w:rsidR="00006253" w:rsidRPr="00EC1725" w14:paraId="171D8B2E" w14:textId="77777777" w:rsidTr="005F3256">
        <w:trPr>
          <w:trHeight w:val="288"/>
        </w:trPr>
        <w:tc>
          <w:tcPr>
            <w:tcW w:w="3055" w:type="dxa"/>
            <w:shd w:val="clear" w:color="auto" w:fill="auto"/>
            <w:noWrap/>
            <w:vAlign w:val="center"/>
          </w:tcPr>
          <w:p w14:paraId="3BECFEB1" w14:textId="77777777" w:rsidR="00006253" w:rsidRPr="00485BA4" w:rsidRDefault="00006253" w:rsidP="00D1449E">
            <w:pPr>
              <w:spacing w:line="360" w:lineRule="auto"/>
              <w:rPr>
                <w:sz w:val="22"/>
                <w:szCs w:val="22"/>
              </w:rPr>
            </w:pPr>
            <w:r w:rsidRPr="00485BA4">
              <w:rPr>
                <w:sz w:val="22"/>
                <w:szCs w:val="22"/>
              </w:rPr>
              <w:t>2017</w:t>
            </w:r>
          </w:p>
        </w:tc>
        <w:tc>
          <w:tcPr>
            <w:tcW w:w="1620" w:type="dxa"/>
            <w:vAlign w:val="center"/>
          </w:tcPr>
          <w:p w14:paraId="0DF3B248" w14:textId="77777777" w:rsidR="00006253" w:rsidRPr="000B39AE" w:rsidRDefault="00006253" w:rsidP="00D1449E">
            <w:pPr>
              <w:spacing w:line="360" w:lineRule="auto"/>
              <w:jc w:val="center"/>
              <w:rPr>
                <w:sz w:val="22"/>
                <w:szCs w:val="22"/>
              </w:rPr>
            </w:pPr>
            <w:r w:rsidRPr="000B39AE">
              <w:rPr>
                <w:sz w:val="22"/>
                <w:szCs w:val="22"/>
              </w:rPr>
              <w:t>310, 921</w:t>
            </w:r>
          </w:p>
        </w:tc>
        <w:tc>
          <w:tcPr>
            <w:tcW w:w="1350" w:type="dxa"/>
            <w:vAlign w:val="center"/>
          </w:tcPr>
          <w:p w14:paraId="590B2FCC" w14:textId="77777777" w:rsidR="00006253" w:rsidRPr="000B39AE" w:rsidRDefault="00006253" w:rsidP="00D1449E">
            <w:pPr>
              <w:spacing w:line="360" w:lineRule="auto"/>
              <w:jc w:val="center"/>
              <w:rPr>
                <w:sz w:val="22"/>
                <w:szCs w:val="22"/>
              </w:rPr>
            </w:pPr>
            <w:r w:rsidRPr="000B39AE">
              <w:rPr>
                <w:sz w:val="22"/>
                <w:szCs w:val="22"/>
              </w:rPr>
              <w:t>19,182</w:t>
            </w:r>
          </w:p>
        </w:tc>
        <w:tc>
          <w:tcPr>
            <w:tcW w:w="1080" w:type="dxa"/>
            <w:vAlign w:val="center"/>
          </w:tcPr>
          <w:p w14:paraId="1D35956E" w14:textId="429DEF97" w:rsidR="00006253" w:rsidRPr="000B39AE" w:rsidRDefault="00006253" w:rsidP="00D1449E">
            <w:pPr>
              <w:spacing w:line="360" w:lineRule="auto"/>
              <w:jc w:val="center"/>
              <w:rPr>
                <w:color w:val="000000"/>
                <w:sz w:val="22"/>
                <w:szCs w:val="22"/>
              </w:rPr>
            </w:pPr>
            <w:r w:rsidRPr="000B39AE">
              <w:rPr>
                <w:sz w:val="22"/>
                <w:szCs w:val="22"/>
              </w:rPr>
              <w:t>64</w:t>
            </w:r>
            <w:r w:rsidR="006444F1">
              <w:rPr>
                <w:sz w:val="22"/>
                <w:szCs w:val="22"/>
              </w:rPr>
              <w:t>3</w:t>
            </w:r>
          </w:p>
        </w:tc>
        <w:tc>
          <w:tcPr>
            <w:tcW w:w="1170" w:type="dxa"/>
            <w:vAlign w:val="center"/>
          </w:tcPr>
          <w:p w14:paraId="2BB25B27" w14:textId="70E8965F" w:rsidR="00006253" w:rsidRPr="000B39AE" w:rsidRDefault="00006253" w:rsidP="00D1449E">
            <w:pPr>
              <w:spacing w:line="360" w:lineRule="auto"/>
              <w:jc w:val="center"/>
              <w:rPr>
                <w:color w:val="000000"/>
                <w:sz w:val="22"/>
                <w:szCs w:val="22"/>
              </w:rPr>
            </w:pPr>
            <w:r w:rsidRPr="000B39AE">
              <w:rPr>
                <w:sz w:val="22"/>
                <w:szCs w:val="22"/>
              </w:rPr>
              <w:t>89</w:t>
            </w:r>
            <w:r w:rsidR="006444F1">
              <w:rPr>
                <w:sz w:val="22"/>
                <w:szCs w:val="22"/>
              </w:rPr>
              <w:t>4</w:t>
            </w:r>
          </w:p>
        </w:tc>
        <w:tc>
          <w:tcPr>
            <w:tcW w:w="2160" w:type="dxa"/>
            <w:shd w:val="clear" w:color="auto" w:fill="auto"/>
            <w:vAlign w:val="center"/>
          </w:tcPr>
          <w:p w14:paraId="745FB7DD" w14:textId="77777777" w:rsidR="00006253" w:rsidRPr="000B39AE" w:rsidRDefault="00006253" w:rsidP="00D1449E">
            <w:pPr>
              <w:spacing w:line="360" w:lineRule="auto"/>
              <w:jc w:val="center"/>
              <w:rPr>
                <w:color w:val="000000"/>
                <w:sz w:val="22"/>
                <w:szCs w:val="22"/>
              </w:rPr>
            </w:pPr>
            <w:r w:rsidRPr="000B39AE">
              <w:rPr>
                <w:sz w:val="22"/>
                <w:szCs w:val="22"/>
              </w:rPr>
              <w:t>10,473</w:t>
            </w:r>
          </w:p>
        </w:tc>
      </w:tr>
      <w:tr w:rsidR="00006253" w:rsidRPr="00EC1725" w14:paraId="24895359" w14:textId="77777777" w:rsidTr="005F3256">
        <w:trPr>
          <w:trHeight w:val="288"/>
        </w:trPr>
        <w:tc>
          <w:tcPr>
            <w:tcW w:w="3055" w:type="dxa"/>
            <w:shd w:val="clear" w:color="auto" w:fill="auto"/>
            <w:noWrap/>
            <w:vAlign w:val="center"/>
          </w:tcPr>
          <w:p w14:paraId="63711AC8" w14:textId="77777777" w:rsidR="00006253" w:rsidRPr="00485BA4" w:rsidRDefault="00006253" w:rsidP="00D1449E">
            <w:pPr>
              <w:spacing w:line="360" w:lineRule="auto"/>
              <w:rPr>
                <w:sz w:val="22"/>
                <w:szCs w:val="22"/>
              </w:rPr>
            </w:pPr>
            <w:r w:rsidRPr="00485BA4">
              <w:rPr>
                <w:sz w:val="22"/>
                <w:szCs w:val="22"/>
              </w:rPr>
              <w:t>200</w:t>
            </w:r>
            <w:r>
              <w:rPr>
                <w:sz w:val="22"/>
                <w:szCs w:val="22"/>
              </w:rPr>
              <w:t>1</w:t>
            </w:r>
            <w:r w:rsidRPr="00485BA4">
              <w:rPr>
                <w:sz w:val="22"/>
                <w:szCs w:val="22"/>
              </w:rPr>
              <w:t xml:space="preserve"> denominator population (15-49 years)</w:t>
            </w:r>
          </w:p>
        </w:tc>
        <w:tc>
          <w:tcPr>
            <w:tcW w:w="1620" w:type="dxa"/>
            <w:vAlign w:val="center"/>
          </w:tcPr>
          <w:p w14:paraId="051D57E8" w14:textId="77777777" w:rsidR="00006253" w:rsidRPr="000B39AE" w:rsidRDefault="00006253" w:rsidP="00D1449E">
            <w:pPr>
              <w:spacing w:line="360" w:lineRule="auto"/>
              <w:jc w:val="center"/>
              <w:rPr>
                <w:sz w:val="22"/>
                <w:szCs w:val="22"/>
              </w:rPr>
            </w:pPr>
            <w:r w:rsidRPr="000B39AE">
              <w:rPr>
                <w:color w:val="000000"/>
                <w:sz w:val="22"/>
                <w:szCs w:val="22"/>
              </w:rPr>
              <w:t>11,631,353</w:t>
            </w:r>
          </w:p>
        </w:tc>
        <w:tc>
          <w:tcPr>
            <w:tcW w:w="1350" w:type="dxa"/>
            <w:vAlign w:val="center"/>
          </w:tcPr>
          <w:p w14:paraId="51C20C50" w14:textId="77777777" w:rsidR="00006253" w:rsidRPr="000B39AE" w:rsidRDefault="00006253" w:rsidP="00D1449E">
            <w:pPr>
              <w:spacing w:line="360" w:lineRule="auto"/>
              <w:jc w:val="center"/>
              <w:rPr>
                <w:sz w:val="22"/>
                <w:szCs w:val="22"/>
              </w:rPr>
            </w:pPr>
          </w:p>
        </w:tc>
        <w:tc>
          <w:tcPr>
            <w:tcW w:w="1080" w:type="dxa"/>
            <w:vAlign w:val="center"/>
          </w:tcPr>
          <w:p w14:paraId="1C5F3946" w14:textId="77777777" w:rsidR="00006253" w:rsidRPr="000B39AE" w:rsidRDefault="00006253" w:rsidP="00D1449E">
            <w:pPr>
              <w:spacing w:line="360" w:lineRule="auto"/>
              <w:jc w:val="center"/>
              <w:rPr>
                <w:sz w:val="22"/>
                <w:szCs w:val="22"/>
              </w:rPr>
            </w:pPr>
          </w:p>
        </w:tc>
        <w:tc>
          <w:tcPr>
            <w:tcW w:w="1170" w:type="dxa"/>
            <w:vAlign w:val="center"/>
          </w:tcPr>
          <w:p w14:paraId="0C24EE9A" w14:textId="77777777" w:rsidR="00006253" w:rsidRPr="000B39AE" w:rsidRDefault="00006253" w:rsidP="00D1449E">
            <w:pPr>
              <w:spacing w:line="360" w:lineRule="auto"/>
              <w:jc w:val="center"/>
              <w:rPr>
                <w:sz w:val="22"/>
                <w:szCs w:val="22"/>
              </w:rPr>
            </w:pPr>
          </w:p>
        </w:tc>
        <w:tc>
          <w:tcPr>
            <w:tcW w:w="2160" w:type="dxa"/>
            <w:shd w:val="clear" w:color="auto" w:fill="auto"/>
            <w:vAlign w:val="center"/>
          </w:tcPr>
          <w:p w14:paraId="7FE237F3" w14:textId="77777777" w:rsidR="00006253" w:rsidRPr="000B39AE" w:rsidRDefault="00006253" w:rsidP="00D1449E">
            <w:pPr>
              <w:spacing w:line="360" w:lineRule="auto"/>
              <w:jc w:val="center"/>
              <w:rPr>
                <w:sz w:val="22"/>
                <w:szCs w:val="22"/>
              </w:rPr>
            </w:pPr>
          </w:p>
        </w:tc>
      </w:tr>
      <w:tr w:rsidR="00006253" w:rsidRPr="00EC1725" w14:paraId="364C9E21" w14:textId="77777777" w:rsidTr="005F3256">
        <w:trPr>
          <w:trHeight w:val="288"/>
        </w:trPr>
        <w:tc>
          <w:tcPr>
            <w:tcW w:w="3055" w:type="dxa"/>
            <w:shd w:val="clear" w:color="auto" w:fill="auto"/>
            <w:noWrap/>
            <w:vAlign w:val="center"/>
          </w:tcPr>
          <w:p w14:paraId="434F50BA" w14:textId="77777777" w:rsidR="00006253" w:rsidRPr="00485BA4" w:rsidRDefault="00006253" w:rsidP="00D1449E">
            <w:pPr>
              <w:spacing w:line="360" w:lineRule="auto"/>
              <w:rPr>
                <w:sz w:val="22"/>
                <w:szCs w:val="22"/>
              </w:rPr>
            </w:pPr>
            <w:r w:rsidRPr="00485BA4">
              <w:rPr>
                <w:sz w:val="22"/>
                <w:szCs w:val="22"/>
              </w:rPr>
              <w:t>2005 denominator population (15-49 years)</w:t>
            </w:r>
          </w:p>
        </w:tc>
        <w:tc>
          <w:tcPr>
            <w:tcW w:w="1620" w:type="dxa"/>
            <w:vAlign w:val="center"/>
          </w:tcPr>
          <w:p w14:paraId="54D8CFC7" w14:textId="77777777" w:rsidR="00006253" w:rsidRPr="000B39AE" w:rsidRDefault="00006253" w:rsidP="00D1449E">
            <w:pPr>
              <w:spacing w:line="360" w:lineRule="auto"/>
              <w:jc w:val="center"/>
              <w:rPr>
                <w:color w:val="000000"/>
                <w:sz w:val="22"/>
                <w:szCs w:val="22"/>
              </w:rPr>
            </w:pPr>
            <w:r w:rsidRPr="000B39AE">
              <w:rPr>
                <w:color w:val="000000"/>
                <w:sz w:val="22"/>
                <w:szCs w:val="22"/>
              </w:rPr>
              <w:t>12,371,145</w:t>
            </w:r>
          </w:p>
        </w:tc>
        <w:tc>
          <w:tcPr>
            <w:tcW w:w="1350" w:type="dxa"/>
            <w:vAlign w:val="center"/>
          </w:tcPr>
          <w:p w14:paraId="1CA7E7D3" w14:textId="77777777" w:rsidR="00006253" w:rsidRPr="000B39AE" w:rsidRDefault="00006253" w:rsidP="00D1449E">
            <w:pPr>
              <w:spacing w:line="360" w:lineRule="auto"/>
              <w:jc w:val="center"/>
              <w:rPr>
                <w:sz w:val="22"/>
                <w:szCs w:val="22"/>
              </w:rPr>
            </w:pPr>
            <w:r w:rsidRPr="000B39AE">
              <w:rPr>
                <w:color w:val="000000"/>
                <w:sz w:val="22"/>
                <w:szCs w:val="22"/>
              </w:rPr>
              <w:t>796,872</w:t>
            </w:r>
          </w:p>
        </w:tc>
        <w:tc>
          <w:tcPr>
            <w:tcW w:w="1080" w:type="dxa"/>
            <w:vAlign w:val="center"/>
          </w:tcPr>
          <w:p w14:paraId="70755E05" w14:textId="77777777" w:rsidR="00006253" w:rsidRPr="000B39AE" w:rsidRDefault="00006253" w:rsidP="00D1449E">
            <w:pPr>
              <w:spacing w:line="360" w:lineRule="auto"/>
              <w:jc w:val="center"/>
              <w:rPr>
                <w:sz w:val="22"/>
                <w:szCs w:val="22"/>
              </w:rPr>
            </w:pPr>
            <w:r w:rsidRPr="000B39AE">
              <w:rPr>
                <w:color w:val="000000"/>
                <w:sz w:val="22"/>
                <w:szCs w:val="22"/>
              </w:rPr>
              <w:t>796,872</w:t>
            </w:r>
          </w:p>
        </w:tc>
        <w:tc>
          <w:tcPr>
            <w:tcW w:w="1170" w:type="dxa"/>
            <w:vAlign w:val="center"/>
          </w:tcPr>
          <w:p w14:paraId="61A4D3E2" w14:textId="77777777" w:rsidR="00006253" w:rsidRPr="000B39AE" w:rsidRDefault="00006253" w:rsidP="00D1449E">
            <w:pPr>
              <w:spacing w:line="360" w:lineRule="auto"/>
              <w:jc w:val="center"/>
              <w:rPr>
                <w:sz w:val="22"/>
                <w:szCs w:val="22"/>
              </w:rPr>
            </w:pPr>
            <w:r w:rsidRPr="000B39AE">
              <w:rPr>
                <w:color w:val="000000"/>
                <w:sz w:val="22"/>
                <w:szCs w:val="22"/>
              </w:rPr>
              <w:t>743,393</w:t>
            </w:r>
          </w:p>
        </w:tc>
        <w:tc>
          <w:tcPr>
            <w:tcW w:w="2160" w:type="dxa"/>
            <w:shd w:val="clear" w:color="auto" w:fill="auto"/>
            <w:vAlign w:val="center"/>
          </w:tcPr>
          <w:p w14:paraId="0B617EDD" w14:textId="77777777" w:rsidR="00006253" w:rsidRPr="000B39AE" w:rsidRDefault="00006253" w:rsidP="00D1449E">
            <w:pPr>
              <w:spacing w:line="360" w:lineRule="auto"/>
              <w:jc w:val="center"/>
              <w:rPr>
                <w:sz w:val="22"/>
                <w:szCs w:val="22"/>
              </w:rPr>
            </w:pPr>
            <w:r w:rsidRPr="000B39AE">
              <w:rPr>
                <w:color w:val="000000"/>
                <w:sz w:val="22"/>
                <w:szCs w:val="22"/>
              </w:rPr>
              <w:t>743,393</w:t>
            </w:r>
          </w:p>
        </w:tc>
      </w:tr>
      <w:tr w:rsidR="00006253" w:rsidRPr="00EC1725" w14:paraId="79C237DD" w14:textId="77777777" w:rsidTr="005F3256">
        <w:trPr>
          <w:trHeight w:val="288"/>
        </w:trPr>
        <w:tc>
          <w:tcPr>
            <w:tcW w:w="3055" w:type="dxa"/>
            <w:shd w:val="clear" w:color="auto" w:fill="auto"/>
            <w:noWrap/>
            <w:vAlign w:val="center"/>
          </w:tcPr>
          <w:p w14:paraId="345B3A85" w14:textId="77777777" w:rsidR="00006253" w:rsidRPr="00485BA4" w:rsidRDefault="00006253" w:rsidP="00D1449E">
            <w:pPr>
              <w:spacing w:line="360" w:lineRule="auto"/>
              <w:rPr>
                <w:sz w:val="22"/>
                <w:szCs w:val="22"/>
              </w:rPr>
            </w:pPr>
            <w:r>
              <w:rPr>
                <w:sz w:val="22"/>
                <w:szCs w:val="22"/>
              </w:rPr>
              <w:t>2017 denominator population (15-49 years)</w:t>
            </w:r>
          </w:p>
        </w:tc>
        <w:tc>
          <w:tcPr>
            <w:tcW w:w="1620" w:type="dxa"/>
            <w:vAlign w:val="center"/>
          </w:tcPr>
          <w:p w14:paraId="2AE0D4B0" w14:textId="77777777" w:rsidR="00006253" w:rsidRPr="000B39AE" w:rsidRDefault="00006253" w:rsidP="00D1449E">
            <w:pPr>
              <w:spacing w:line="360" w:lineRule="auto"/>
              <w:jc w:val="center"/>
              <w:rPr>
                <w:color w:val="000000"/>
                <w:sz w:val="22"/>
                <w:szCs w:val="22"/>
              </w:rPr>
            </w:pPr>
            <w:r>
              <w:rPr>
                <w:color w:val="000000"/>
                <w:sz w:val="22"/>
                <w:szCs w:val="22"/>
              </w:rPr>
              <w:t>15,</w:t>
            </w:r>
            <w:r w:rsidRPr="000B39AE">
              <w:rPr>
                <w:color w:val="000000"/>
                <w:sz w:val="22"/>
                <w:szCs w:val="22"/>
              </w:rPr>
              <w:t>290,995</w:t>
            </w:r>
          </w:p>
        </w:tc>
        <w:tc>
          <w:tcPr>
            <w:tcW w:w="1350" w:type="dxa"/>
            <w:vAlign w:val="center"/>
          </w:tcPr>
          <w:p w14:paraId="0E4C2BA6" w14:textId="77777777" w:rsidR="00006253" w:rsidRPr="000B39AE" w:rsidRDefault="00006253" w:rsidP="00D1449E">
            <w:pPr>
              <w:spacing w:line="360" w:lineRule="auto"/>
              <w:jc w:val="center"/>
              <w:rPr>
                <w:sz w:val="22"/>
                <w:szCs w:val="22"/>
              </w:rPr>
            </w:pPr>
            <w:r w:rsidRPr="000B39AE">
              <w:rPr>
                <w:color w:val="000000"/>
                <w:sz w:val="22"/>
                <w:szCs w:val="22"/>
              </w:rPr>
              <w:t>703,411</w:t>
            </w:r>
          </w:p>
        </w:tc>
        <w:tc>
          <w:tcPr>
            <w:tcW w:w="1080" w:type="dxa"/>
            <w:vAlign w:val="center"/>
          </w:tcPr>
          <w:p w14:paraId="1B332C44" w14:textId="77777777" w:rsidR="00006253" w:rsidRPr="000B39AE" w:rsidRDefault="00006253" w:rsidP="00D1449E">
            <w:pPr>
              <w:spacing w:line="360" w:lineRule="auto"/>
              <w:jc w:val="center"/>
              <w:rPr>
                <w:sz w:val="22"/>
                <w:szCs w:val="22"/>
              </w:rPr>
            </w:pPr>
            <w:r w:rsidRPr="000B39AE">
              <w:rPr>
                <w:color w:val="000000"/>
                <w:sz w:val="22"/>
                <w:szCs w:val="22"/>
              </w:rPr>
              <w:t>703,411</w:t>
            </w:r>
          </w:p>
        </w:tc>
        <w:tc>
          <w:tcPr>
            <w:tcW w:w="1170" w:type="dxa"/>
            <w:vAlign w:val="center"/>
          </w:tcPr>
          <w:p w14:paraId="1535DF95" w14:textId="77777777" w:rsidR="00006253" w:rsidRPr="000B39AE" w:rsidRDefault="00006253" w:rsidP="00D1449E">
            <w:pPr>
              <w:spacing w:line="360" w:lineRule="auto"/>
              <w:jc w:val="center"/>
              <w:rPr>
                <w:sz w:val="22"/>
                <w:szCs w:val="22"/>
              </w:rPr>
            </w:pPr>
            <w:r w:rsidRPr="000B39AE">
              <w:rPr>
                <w:color w:val="000000"/>
                <w:sz w:val="22"/>
                <w:szCs w:val="22"/>
              </w:rPr>
              <w:t>627,296</w:t>
            </w:r>
          </w:p>
        </w:tc>
        <w:tc>
          <w:tcPr>
            <w:tcW w:w="2160" w:type="dxa"/>
            <w:shd w:val="clear" w:color="auto" w:fill="auto"/>
            <w:vAlign w:val="center"/>
          </w:tcPr>
          <w:p w14:paraId="4ECF176B" w14:textId="77777777" w:rsidR="00006253" w:rsidRPr="000B39AE" w:rsidRDefault="00006253" w:rsidP="00D1449E">
            <w:pPr>
              <w:spacing w:line="360" w:lineRule="auto"/>
              <w:jc w:val="center"/>
              <w:rPr>
                <w:sz w:val="22"/>
                <w:szCs w:val="22"/>
              </w:rPr>
            </w:pPr>
            <w:r w:rsidRPr="000B39AE">
              <w:rPr>
                <w:color w:val="000000"/>
                <w:sz w:val="22"/>
                <w:szCs w:val="22"/>
              </w:rPr>
              <w:t>627,296</w:t>
            </w:r>
          </w:p>
        </w:tc>
      </w:tr>
    </w:tbl>
    <w:p w14:paraId="2AE60AE1" w14:textId="77777777" w:rsidR="00006253" w:rsidRDefault="00006253" w:rsidP="00006253">
      <w:pPr>
        <w:spacing w:line="360" w:lineRule="auto"/>
        <w:rPr>
          <w:iCs/>
          <w:sz w:val="22"/>
          <w:szCs w:val="22"/>
        </w:rPr>
      </w:pPr>
    </w:p>
    <w:p w14:paraId="563C1B4D" w14:textId="14335BB6" w:rsidR="00006253" w:rsidRPr="00282BA0" w:rsidRDefault="00006253" w:rsidP="00006253">
      <w:pPr>
        <w:spacing w:line="360" w:lineRule="auto"/>
        <w:rPr>
          <w:iCs/>
          <w:sz w:val="22"/>
          <w:szCs w:val="22"/>
        </w:rPr>
      </w:pPr>
      <w:r w:rsidRPr="00282BA0">
        <w:rPr>
          <w:iCs/>
          <w:sz w:val="22"/>
          <w:szCs w:val="22"/>
        </w:rPr>
        <w:t>*</w:t>
      </w:r>
      <w:r>
        <w:rPr>
          <w:iCs/>
          <w:sz w:val="22"/>
          <w:szCs w:val="22"/>
        </w:rPr>
        <w:t xml:space="preserve"> </w:t>
      </w:r>
      <w:r w:rsidRPr="00282BA0">
        <w:rPr>
          <w:iCs/>
          <w:sz w:val="22"/>
          <w:szCs w:val="22"/>
        </w:rPr>
        <w:t>NIDS sentinel = MUS</w:t>
      </w:r>
      <w:r w:rsidR="00BA20CF">
        <w:rPr>
          <w:iCs/>
          <w:sz w:val="22"/>
          <w:szCs w:val="22"/>
        </w:rPr>
        <w:t>, GUS and VDS</w:t>
      </w:r>
      <w:r w:rsidRPr="00282BA0">
        <w:rPr>
          <w:iCs/>
          <w:sz w:val="22"/>
          <w:szCs w:val="22"/>
        </w:rPr>
        <w:t xml:space="preserve"> case reporting to NIDS from sentinel </w:t>
      </w:r>
      <w:r>
        <w:rPr>
          <w:iCs/>
          <w:sz w:val="22"/>
          <w:szCs w:val="22"/>
        </w:rPr>
        <w:t xml:space="preserve">PHC </w:t>
      </w:r>
      <w:r w:rsidRPr="00282BA0">
        <w:rPr>
          <w:iCs/>
          <w:sz w:val="22"/>
          <w:szCs w:val="22"/>
        </w:rPr>
        <w:t>sites only</w:t>
      </w:r>
      <w:r>
        <w:rPr>
          <w:iCs/>
          <w:sz w:val="22"/>
          <w:szCs w:val="22"/>
        </w:rPr>
        <w:t>; denominator population is the catchment population of these PHCs.</w:t>
      </w:r>
    </w:p>
    <w:p w14:paraId="5AF03056" w14:textId="4C15463F" w:rsidR="00006253" w:rsidRPr="00282BA0" w:rsidRDefault="00006253" w:rsidP="00006253">
      <w:pPr>
        <w:spacing w:line="360" w:lineRule="auto"/>
        <w:rPr>
          <w:iCs/>
          <w:sz w:val="22"/>
          <w:szCs w:val="22"/>
        </w:rPr>
      </w:pPr>
      <w:r w:rsidRPr="00282BA0">
        <w:rPr>
          <w:iCs/>
          <w:sz w:val="22"/>
          <w:szCs w:val="22"/>
        </w:rPr>
        <w:t>**</w:t>
      </w:r>
      <w:r>
        <w:rPr>
          <w:iCs/>
          <w:sz w:val="22"/>
          <w:szCs w:val="22"/>
        </w:rPr>
        <w:t xml:space="preserve"> </w:t>
      </w:r>
      <w:r w:rsidRPr="00282BA0">
        <w:rPr>
          <w:iCs/>
          <w:sz w:val="22"/>
          <w:szCs w:val="22"/>
        </w:rPr>
        <w:t xml:space="preserve">NIDS national = </w:t>
      </w:r>
      <w:r w:rsidR="00BA20CF">
        <w:rPr>
          <w:iCs/>
          <w:sz w:val="22"/>
          <w:szCs w:val="22"/>
        </w:rPr>
        <w:t xml:space="preserve">MUS </w:t>
      </w:r>
      <w:r w:rsidRPr="00282BA0">
        <w:rPr>
          <w:iCs/>
          <w:sz w:val="22"/>
          <w:szCs w:val="22"/>
        </w:rPr>
        <w:t>case reporting to NIDS from all national primary healthcare facilities</w:t>
      </w:r>
      <w:r>
        <w:rPr>
          <w:iCs/>
          <w:sz w:val="22"/>
          <w:szCs w:val="22"/>
        </w:rPr>
        <w:t>; denominator population is South Africa’s national 15-49 years population.</w:t>
      </w:r>
    </w:p>
    <w:p w14:paraId="4B7B4B80" w14:textId="77777777" w:rsidR="00006253" w:rsidRPr="00184580" w:rsidRDefault="00006253" w:rsidP="00006253">
      <w:pPr>
        <w:spacing w:line="360" w:lineRule="auto"/>
        <w:ind w:left="1440" w:hanging="1440"/>
        <w:outlineLvl w:val="0"/>
        <w:rPr>
          <w:sz w:val="22"/>
          <w:szCs w:val="22"/>
        </w:rPr>
      </w:pPr>
      <w:r w:rsidRPr="00184580">
        <w:rPr>
          <w:sz w:val="22"/>
          <w:szCs w:val="22"/>
        </w:rPr>
        <w:t xml:space="preserve">Sources: </w:t>
      </w:r>
      <w:r>
        <w:rPr>
          <w:sz w:val="22"/>
          <w:szCs w:val="22"/>
        </w:rPr>
        <w:fldChar w:fldCharType="begin"/>
      </w:r>
      <w:r w:rsidR="00E7542A">
        <w:rPr>
          <w:sz w:val="22"/>
          <w:szCs w:val="22"/>
        </w:rPr>
        <w:instrText xml:space="preserve"> ADDIN EN.CITE &lt;EndNote&gt;&lt;Cite ExcludeYear="1"&gt;&lt;Author&gt;South Africa National Department of Health&lt;/Author&gt;&lt;RecNum&gt;5997&lt;/RecNum&gt;&lt;DisplayText&gt;(1)&lt;/DisplayText&gt;&lt;record&gt;&lt;rec-number&gt;5997&lt;/rec-number&gt;&lt;foreign-keys&gt;&lt;key app="EN" db-id="wvsevwdt20sx96epd0cxpf5cpdtsw905v2sz" timestamp="1528366177"&gt;5997&lt;/key&gt;&lt;/foreign-keys&gt;&lt;ref-type name="Web Page"&gt;12&lt;/ref-type&gt;&lt;contributors&gt;&lt;authors&gt;&lt;author&gt;South Africa National Department of Health,&lt;/author&gt;&lt;/authors&gt;&lt;/contributors&gt;&lt;titles&gt;&lt;title&gt;National Integrated District Health Information System&lt;/title&gt;&lt;/titles&gt;&lt;volume&gt;2018&lt;/volume&gt;&lt;number&gt;07 June&lt;/number&gt;&lt;dates&gt;&lt;/dates&gt;&lt;pub-location&gt;Pretoria&lt;/pub-location&gt;&lt;urls&gt;&lt;related-urls&gt;&lt;url&gt;https://za.dhis.dhmis.org/dhis-web-commons/security/login.action&lt;/url&gt;&lt;/related-urls&gt;&lt;/urls&gt;&lt;/record&gt;&lt;/Cite&gt;&lt;/EndNote&gt;</w:instrText>
      </w:r>
      <w:r>
        <w:rPr>
          <w:sz w:val="22"/>
          <w:szCs w:val="22"/>
        </w:rPr>
        <w:fldChar w:fldCharType="separate"/>
      </w:r>
      <w:r w:rsidR="00E7542A">
        <w:rPr>
          <w:noProof/>
          <w:sz w:val="22"/>
          <w:szCs w:val="22"/>
        </w:rPr>
        <w:t>(1)</w:t>
      </w:r>
      <w:r>
        <w:rPr>
          <w:sz w:val="22"/>
          <w:szCs w:val="22"/>
        </w:rPr>
        <w:fldChar w:fldCharType="end"/>
      </w:r>
      <w:r>
        <w:rPr>
          <w:sz w:val="22"/>
          <w:szCs w:val="22"/>
        </w:rPr>
        <w:t>.</w:t>
      </w:r>
    </w:p>
    <w:p w14:paraId="540C5BCB" w14:textId="77777777" w:rsidR="00006253" w:rsidRDefault="00006253" w:rsidP="00006253">
      <w:pPr>
        <w:spacing w:line="360" w:lineRule="auto"/>
        <w:outlineLvl w:val="0"/>
        <w:rPr>
          <w:b/>
          <w:sz w:val="22"/>
          <w:szCs w:val="22"/>
        </w:rPr>
      </w:pPr>
    </w:p>
    <w:p w14:paraId="42232C9E" w14:textId="77777777" w:rsidR="00F52849" w:rsidRDefault="00F52849">
      <w:pPr>
        <w:spacing w:after="160" w:line="259" w:lineRule="auto"/>
        <w:rPr>
          <w:b/>
          <w:sz w:val="22"/>
          <w:szCs w:val="22"/>
        </w:rPr>
      </w:pPr>
      <w:r>
        <w:rPr>
          <w:b/>
          <w:sz w:val="22"/>
          <w:szCs w:val="22"/>
        </w:rPr>
        <w:br w:type="page"/>
      </w:r>
    </w:p>
    <w:p w14:paraId="792A62F8" w14:textId="77B3A739" w:rsidR="00006253" w:rsidRPr="00982588" w:rsidRDefault="00006253" w:rsidP="00006253">
      <w:pPr>
        <w:spacing w:line="360" w:lineRule="auto"/>
        <w:outlineLvl w:val="0"/>
        <w:rPr>
          <w:b/>
          <w:sz w:val="22"/>
          <w:szCs w:val="22"/>
        </w:rPr>
      </w:pPr>
      <w:r w:rsidRPr="00982588">
        <w:rPr>
          <w:b/>
          <w:sz w:val="22"/>
          <w:szCs w:val="22"/>
        </w:rPr>
        <w:lastRenderedPageBreak/>
        <w:t>S</w:t>
      </w:r>
      <w:r w:rsidR="00E7542A">
        <w:rPr>
          <w:b/>
          <w:sz w:val="22"/>
          <w:szCs w:val="22"/>
        </w:rPr>
        <w:t>1</w:t>
      </w:r>
      <w:r>
        <w:rPr>
          <w:b/>
          <w:sz w:val="22"/>
          <w:szCs w:val="22"/>
        </w:rPr>
        <w:t xml:space="preserve"> Fig</w:t>
      </w:r>
      <w:r w:rsidRPr="00982588">
        <w:rPr>
          <w:b/>
          <w:sz w:val="22"/>
          <w:szCs w:val="22"/>
        </w:rPr>
        <w:t xml:space="preserve">. </w:t>
      </w:r>
      <w:r>
        <w:rPr>
          <w:b/>
          <w:sz w:val="22"/>
          <w:szCs w:val="22"/>
        </w:rPr>
        <w:t>STI syndrome reporting rates, in South Africa’s sentinel and national health information system</w:t>
      </w:r>
    </w:p>
    <w:p w14:paraId="6A23B755" w14:textId="77777777" w:rsidR="00006253" w:rsidRDefault="00006253" w:rsidP="00006253">
      <w:pPr>
        <w:spacing w:line="360" w:lineRule="auto"/>
        <w:rPr>
          <w:sz w:val="22"/>
          <w:szCs w:val="22"/>
        </w:rPr>
      </w:pPr>
      <w:r w:rsidRPr="002065A0">
        <w:rPr>
          <w:noProof/>
        </w:rPr>
        <w:drawing>
          <wp:inline distT="0" distB="0" distL="0" distR="0" wp14:anchorId="7F675F60" wp14:editId="3BC2ED0C">
            <wp:extent cx="4664810" cy="3194923"/>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0086" cy="3198536"/>
                    </a:xfrm>
                    <a:prstGeom prst="rect">
                      <a:avLst/>
                    </a:prstGeom>
                    <a:noFill/>
                    <a:ln>
                      <a:noFill/>
                    </a:ln>
                  </pic:spPr>
                </pic:pic>
              </a:graphicData>
            </a:graphic>
          </wp:inline>
        </w:drawing>
      </w:r>
    </w:p>
    <w:p w14:paraId="773D1FCD" w14:textId="77777777" w:rsidR="00006253" w:rsidRDefault="00006253" w:rsidP="00006253">
      <w:pPr>
        <w:spacing w:line="360" w:lineRule="auto"/>
        <w:rPr>
          <w:sz w:val="22"/>
          <w:szCs w:val="22"/>
        </w:rPr>
      </w:pPr>
    </w:p>
    <w:p w14:paraId="39AD63E5" w14:textId="77777777" w:rsidR="00BA20CF" w:rsidRDefault="00006253" w:rsidP="00BA20CF">
      <w:pPr>
        <w:spacing w:line="360" w:lineRule="auto"/>
        <w:rPr>
          <w:sz w:val="22"/>
          <w:szCs w:val="22"/>
        </w:rPr>
      </w:pPr>
      <w:r>
        <w:rPr>
          <w:sz w:val="22"/>
          <w:szCs w:val="22"/>
        </w:rPr>
        <w:t>Notes to S1 Fig: Data (numerators and denominators) from Table S</w:t>
      </w:r>
      <w:r w:rsidR="00DC5FE6">
        <w:rPr>
          <w:sz w:val="22"/>
          <w:szCs w:val="22"/>
        </w:rPr>
        <w:t>2</w:t>
      </w:r>
      <w:r>
        <w:rPr>
          <w:sz w:val="22"/>
          <w:szCs w:val="22"/>
        </w:rPr>
        <w:t xml:space="preserve"> above.</w:t>
      </w:r>
      <w:r w:rsidR="00BA20CF">
        <w:rPr>
          <w:sz w:val="22"/>
          <w:szCs w:val="22"/>
        </w:rPr>
        <w:t xml:space="preserve"> </w:t>
      </w:r>
    </w:p>
    <w:p w14:paraId="3E824E33" w14:textId="6DEDA42B" w:rsidR="00BA20CF" w:rsidRPr="00282BA0" w:rsidRDefault="00BA20CF" w:rsidP="00BA20CF">
      <w:pPr>
        <w:spacing w:line="360" w:lineRule="auto"/>
        <w:rPr>
          <w:iCs/>
          <w:sz w:val="22"/>
          <w:szCs w:val="22"/>
        </w:rPr>
      </w:pPr>
      <w:r w:rsidRPr="00282BA0">
        <w:rPr>
          <w:iCs/>
          <w:sz w:val="22"/>
          <w:szCs w:val="22"/>
        </w:rPr>
        <w:t>*</w:t>
      </w:r>
      <w:r>
        <w:rPr>
          <w:iCs/>
          <w:sz w:val="22"/>
          <w:szCs w:val="22"/>
        </w:rPr>
        <w:t xml:space="preserve"> MUS (</w:t>
      </w:r>
      <w:r w:rsidRPr="00282BA0">
        <w:rPr>
          <w:iCs/>
          <w:sz w:val="22"/>
          <w:szCs w:val="22"/>
        </w:rPr>
        <w:t>NIDS sentinel</w:t>
      </w:r>
      <w:r>
        <w:rPr>
          <w:iCs/>
          <w:sz w:val="22"/>
          <w:szCs w:val="22"/>
        </w:rPr>
        <w:t>), Genital Ulcer Syndrome (men and women) and Vaginal Discharge Syndrome</w:t>
      </w:r>
      <w:r w:rsidRPr="00282BA0">
        <w:rPr>
          <w:iCs/>
          <w:sz w:val="22"/>
          <w:szCs w:val="22"/>
        </w:rPr>
        <w:t xml:space="preserve"> = MUS</w:t>
      </w:r>
      <w:r>
        <w:rPr>
          <w:iCs/>
          <w:sz w:val="22"/>
          <w:szCs w:val="22"/>
        </w:rPr>
        <w:t>, GUS and VDS</w:t>
      </w:r>
      <w:r w:rsidRPr="00282BA0">
        <w:rPr>
          <w:iCs/>
          <w:sz w:val="22"/>
          <w:szCs w:val="22"/>
        </w:rPr>
        <w:t xml:space="preserve"> case reporting to NIDS from sentinel </w:t>
      </w:r>
      <w:r>
        <w:rPr>
          <w:iCs/>
          <w:sz w:val="22"/>
          <w:szCs w:val="22"/>
        </w:rPr>
        <w:t xml:space="preserve">PHC </w:t>
      </w:r>
      <w:r w:rsidRPr="00282BA0">
        <w:rPr>
          <w:iCs/>
          <w:sz w:val="22"/>
          <w:szCs w:val="22"/>
        </w:rPr>
        <w:t>sites only</w:t>
      </w:r>
      <w:r>
        <w:rPr>
          <w:iCs/>
          <w:sz w:val="22"/>
          <w:szCs w:val="22"/>
        </w:rPr>
        <w:t>; denominator population is the catchment population of these PHCs.</w:t>
      </w:r>
    </w:p>
    <w:p w14:paraId="27FECF6C" w14:textId="24AB8B93" w:rsidR="00BA20CF" w:rsidRPr="00282BA0" w:rsidRDefault="00BA20CF" w:rsidP="00BA20CF">
      <w:pPr>
        <w:spacing w:line="360" w:lineRule="auto"/>
        <w:rPr>
          <w:iCs/>
          <w:sz w:val="22"/>
          <w:szCs w:val="22"/>
        </w:rPr>
      </w:pPr>
      <w:r w:rsidRPr="00282BA0">
        <w:rPr>
          <w:iCs/>
          <w:sz w:val="22"/>
          <w:szCs w:val="22"/>
        </w:rPr>
        <w:t>**</w:t>
      </w:r>
      <w:r>
        <w:rPr>
          <w:iCs/>
          <w:sz w:val="22"/>
          <w:szCs w:val="22"/>
        </w:rPr>
        <w:t xml:space="preserve"> MUS (</w:t>
      </w:r>
      <w:r w:rsidRPr="00282BA0">
        <w:rPr>
          <w:iCs/>
          <w:sz w:val="22"/>
          <w:szCs w:val="22"/>
        </w:rPr>
        <w:t>national</w:t>
      </w:r>
      <w:r>
        <w:rPr>
          <w:iCs/>
          <w:sz w:val="22"/>
          <w:szCs w:val="22"/>
        </w:rPr>
        <w:t>)</w:t>
      </w:r>
      <w:r w:rsidRPr="00282BA0">
        <w:rPr>
          <w:iCs/>
          <w:sz w:val="22"/>
          <w:szCs w:val="22"/>
        </w:rPr>
        <w:t xml:space="preserve"> = </w:t>
      </w:r>
      <w:r>
        <w:rPr>
          <w:iCs/>
          <w:sz w:val="22"/>
          <w:szCs w:val="22"/>
        </w:rPr>
        <w:t xml:space="preserve">MUS </w:t>
      </w:r>
      <w:r w:rsidRPr="00282BA0">
        <w:rPr>
          <w:iCs/>
          <w:sz w:val="22"/>
          <w:szCs w:val="22"/>
        </w:rPr>
        <w:t>case reporting to NIDS from all national primary healthcare facilities</w:t>
      </w:r>
      <w:r>
        <w:rPr>
          <w:iCs/>
          <w:sz w:val="22"/>
          <w:szCs w:val="22"/>
        </w:rPr>
        <w:t>; denominator population is South Africa’s national 15-49 years population.</w:t>
      </w:r>
    </w:p>
    <w:p w14:paraId="7EF9F933" w14:textId="55C34030" w:rsidR="00006253" w:rsidRDefault="00006253" w:rsidP="00006253">
      <w:pPr>
        <w:spacing w:line="360" w:lineRule="auto"/>
        <w:rPr>
          <w:sz w:val="20"/>
        </w:rPr>
      </w:pPr>
      <w:r>
        <w:rPr>
          <w:sz w:val="20"/>
        </w:rPr>
        <w:br w:type="page"/>
      </w:r>
    </w:p>
    <w:p w14:paraId="56DA11F0" w14:textId="77777777" w:rsidR="00006253" w:rsidRDefault="00006253" w:rsidP="00006253">
      <w:pPr>
        <w:spacing w:line="360" w:lineRule="auto"/>
        <w:rPr>
          <w:b/>
          <w:sz w:val="22"/>
          <w:szCs w:val="22"/>
        </w:rPr>
      </w:pPr>
      <w:r w:rsidRPr="00F904E1">
        <w:rPr>
          <w:b/>
          <w:sz w:val="22"/>
          <w:szCs w:val="22"/>
        </w:rPr>
        <w:lastRenderedPageBreak/>
        <w:t>S</w:t>
      </w:r>
      <w:r>
        <w:rPr>
          <w:b/>
          <w:sz w:val="22"/>
          <w:szCs w:val="22"/>
        </w:rPr>
        <w:t>2 Fig</w:t>
      </w:r>
      <w:r w:rsidRPr="00F904E1">
        <w:rPr>
          <w:b/>
          <w:sz w:val="22"/>
          <w:szCs w:val="22"/>
        </w:rPr>
        <w:t xml:space="preserve">. Gonorrhea, chlamydia, trichomonas vaginalis and </w:t>
      </w:r>
      <w:r w:rsidRPr="00F904E1">
        <w:rPr>
          <w:b/>
          <w:i/>
          <w:sz w:val="22"/>
          <w:szCs w:val="22"/>
        </w:rPr>
        <w:t>Mycoplasma genitalium</w:t>
      </w:r>
      <w:r w:rsidRPr="00F904E1">
        <w:rPr>
          <w:b/>
          <w:sz w:val="22"/>
          <w:szCs w:val="22"/>
        </w:rPr>
        <w:t xml:space="preserve"> prevalences among women</w:t>
      </w:r>
      <w:r>
        <w:rPr>
          <w:b/>
          <w:sz w:val="22"/>
          <w:szCs w:val="22"/>
        </w:rPr>
        <w:t xml:space="preserve"> with Vaginal Discharge Syndrome</w:t>
      </w:r>
    </w:p>
    <w:p w14:paraId="06EEFA22" w14:textId="77777777" w:rsidR="00006253" w:rsidRDefault="00006253" w:rsidP="00006253">
      <w:pPr>
        <w:spacing w:line="360" w:lineRule="auto"/>
        <w:rPr>
          <w:b/>
          <w:sz w:val="22"/>
          <w:szCs w:val="22"/>
        </w:rPr>
      </w:pPr>
    </w:p>
    <w:p w14:paraId="18FEAAF1" w14:textId="77777777" w:rsidR="00006253" w:rsidRDefault="00006253" w:rsidP="00006253">
      <w:pPr>
        <w:spacing w:line="360" w:lineRule="auto"/>
        <w:rPr>
          <w:sz w:val="22"/>
          <w:szCs w:val="22"/>
        </w:rPr>
      </w:pPr>
    </w:p>
    <w:p w14:paraId="7CF0A90D" w14:textId="77777777" w:rsidR="00006253" w:rsidRPr="005B0A17" w:rsidRDefault="00006253" w:rsidP="00006253">
      <w:pPr>
        <w:spacing w:line="360" w:lineRule="auto"/>
        <w:rPr>
          <w:sz w:val="22"/>
          <w:szCs w:val="22"/>
        </w:rPr>
      </w:pPr>
      <w:r w:rsidRPr="00636D04">
        <w:rPr>
          <w:noProof/>
        </w:rPr>
        <w:drawing>
          <wp:inline distT="0" distB="0" distL="0" distR="0" wp14:anchorId="400CB2E9" wp14:editId="42386E69">
            <wp:extent cx="4129091" cy="2474697"/>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2213" cy="2476568"/>
                    </a:xfrm>
                    <a:prstGeom prst="rect">
                      <a:avLst/>
                    </a:prstGeom>
                    <a:noFill/>
                    <a:ln>
                      <a:noFill/>
                    </a:ln>
                  </pic:spPr>
                </pic:pic>
              </a:graphicData>
            </a:graphic>
          </wp:inline>
        </w:drawing>
      </w:r>
    </w:p>
    <w:p w14:paraId="37925F32" w14:textId="77777777" w:rsidR="00006253" w:rsidRDefault="00006253" w:rsidP="00006253">
      <w:pPr>
        <w:spacing w:line="360" w:lineRule="auto"/>
        <w:rPr>
          <w:sz w:val="22"/>
          <w:szCs w:val="22"/>
        </w:rPr>
      </w:pPr>
    </w:p>
    <w:p w14:paraId="055AC43B" w14:textId="77777777" w:rsidR="00E7542A" w:rsidRDefault="00E7542A" w:rsidP="00006253">
      <w:pPr>
        <w:spacing w:line="360" w:lineRule="auto"/>
        <w:rPr>
          <w:sz w:val="22"/>
          <w:szCs w:val="22"/>
        </w:rPr>
      </w:pPr>
    </w:p>
    <w:p w14:paraId="0626AE5B" w14:textId="2D1D9272" w:rsidR="00006253" w:rsidRPr="00B663BC" w:rsidRDefault="00006253" w:rsidP="00006253">
      <w:pPr>
        <w:spacing w:line="360" w:lineRule="auto"/>
        <w:rPr>
          <w:sz w:val="22"/>
          <w:szCs w:val="22"/>
        </w:rPr>
      </w:pPr>
      <w:r w:rsidRPr="00CF4FA8">
        <w:rPr>
          <w:sz w:val="22"/>
          <w:szCs w:val="22"/>
        </w:rPr>
        <w:t>Note to S</w:t>
      </w:r>
      <w:r>
        <w:rPr>
          <w:sz w:val="22"/>
          <w:szCs w:val="22"/>
        </w:rPr>
        <w:t>2 Fig</w:t>
      </w:r>
      <w:r w:rsidRPr="00CF4FA8">
        <w:rPr>
          <w:sz w:val="22"/>
          <w:szCs w:val="22"/>
        </w:rPr>
        <w:t>: VDS definition: women aged 18 years and above presenting with abnormal vaginal discharge, to sentinel primary healthcare facilities included in NICD GERMS-SA STI surveillance (</w:t>
      </w:r>
      <w:r w:rsidR="00985207">
        <w:rPr>
          <w:sz w:val="22"/>
          <w:szCs w:val="22"/>
        </w:rPr>
        <w:t>The number of sites sampled varies by year</w:t>
      </w:r>
      <w:r w:rsidR="00B663BC">
        <w:rPr>
          <w:sz w:val="22"/>
          <w:szCs w:val="22"/>
        </w:rPr>
        <w:t>,</w:t>
      </w:r>
      <w:r w:rsidR="00985207">
        <w:rPr>
          <w:sz w:val="22"/>
          <w:szCs w:val="22"/>
        </w:rPr>
        <w:t xml:space="preserve"> with n</w:t>
      </w:r>
      <w:r w:rsidR="00B663BC">
        <w:rPr>
          <w:sz w:val="22"/>
          <w:szCs w:val="22"/>
        </w:rPr>
        <w:t>ever</w:t>
      </w:r>
      <w:r w:rsidR="00985207">
        <w:rPr>
          <w:sz w:val="22"/>
          <w:szCs w:val="22"/>
        </w:rPr>
        <w:t xml:space="preserve"> more than 1 site per province: </w:t>
      </w:r>
      <w:r w:rsidRPr="00CF4FA8">
        <w:rPr>
          <w:sz w:val="22"/>
          <w:szCs w:val="22"/>
        </w:rPr>
        <w:t xml:space="preserve">Gauteng Province 2007 – 2014; Northern Cape 2006 &amp; 2012; Western Cape 2006; Free State 2007; Limpopo &amp; North-West Provinces 2011; Mpumalanga &amp; Kwa-Zulu Natal Provinces – 2013 </w:t>
      </w:r>
      <w:r>
        <w:rPr>
          <w:sz w:val="22"/>
          <w:szCs w:val="22"/>
        </w:rPr>
        <w:fldChar w:fldCharType="begin">
          <w:fldData xml:space="preserve">PEVuZE5vdGU+PENpdGU+PEF1dGhvcj5NaGxvbmdvPC9BdXRob3I+PFllYXI+MjAxMDwvWWVhcj48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</w:fldData>
        </w:fldChar>
      </w:r>
      <w:r w:rsidR="00CE3167">
        <w:rPr>
          <w:sz w:val="22"/>
          <w:szCs w:val="22"/>
        </w:rPr>
        <w:instrText xml:space="preserve"> ADDIN EN.CITE </w:instrText>
      </w:r>
      <w:r w:rsidR="00CE3167">
        <w:rPr>
          <w:sz w:val="22"/>
          <w:szCs w:val="22"/>
        </w:rPr>
        <w:fldChar w:fldCharType="begin">
          <w:fldData xml:space="preserve">PEVuZE5vdGU+PENpdGU+PEF1dGhvcj5NaGxvbmdvPC9BdXRob3I+PFllYXI+MjAxMDwvWWVhcj48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</w:fldData>
        </w:fldChar>
      </w:r>
      <w:r w:rsidR="00CE3167">
        <w:rPr>
          <w:sz w:val="22"/>
          <w:szCs w:val="22"/>
        </w:rPr>
        <w:instrText xml:space="preserve"> ADDIN EN.CITE.DATA </w:instrText>
      </w:r>
      <w:r w:rsidR="00CE3167">
        <w:rPr>
          <w:sz w:val="22"/>
          <w:szCs w:val="22"/>
        </w:rPr>
      </w:r>
      <w:r w:rsidR="00CE3167">
        <w:rPr>
          <w:sz w:val="22"/>
          <w:szCs w:val="22"/>
        </w:rPr>
        <w:fldChar w:fldCharType="end"/>
      </w:r>
      <w:r>
        <w:rPr>
          <w:sz w:val="22"/>
          <w:szCs w:val="22"/>
        </w:rPr>
      </w:r>
      <w:r>
        <w:rPr>
          <w:sz w:val="22"/>
          <w:szCs w:val="22"/>
        </w:rPr>
        <w:fldChar w:fldCharType="separate"/>
      </w:r>
      <w:r w:rsidR="00E7542A">
        <w:rPr>
          <w:noProof/>
          <w:sz w:val="22"/>
          <w:szCs w:val="22"/>
        </w:rPr>
        <w:t>(2, 3)</w:t>
      </w:r>
      <w:r>
        <w:rPr>
          <w:sz w:val="22"/>
          <w:szCs w:val="22"/>
        </w:rPr>
        <w:fldChar w:fldCharType="end"/>
      </w:r>
      <w:r w:rsidRPr="00CF4FA8">
        <w:rPr>
          <w:sz w:val="22"/>
          <w:szCs w:val="22"/>
        </w:rPr>
        <w:t>). The gonorrhea and chlamydia prevalences shown here were added as data points, complementing the basic/default data shown in S1</w:t>
      </w:r>
      <w:r>
        <w:rPr>
          <w:sz w:val="22"/>
          <w:szCs w:val="22"/>
        </w:rPr>
        <w:t>C Table</w:t>
      </w:r>
      <w:r w:rsidRPr="00CF4FA8">
        <w:rPr>
          <w:sz w:val="22"/>
          <w:szCs w:val="22"/>
        </w:rPr>
        <w:t>, only in a Sensitivity analysis (4</w:t>
      </w:r>
      <w:r w:rsidRPr="00CF4FA8">
        <w:rPr>
          <w:sz w:val="22"/>
          <w:szCs w:val="22"/>
          <w:vertAlign w:val="superscript"/>
        </w:rPr>
        <w:t>th</w:t>
      </w:r>
      <w:r w:rsidRPr="00CF4FA8">
        <w:rPr>
          <w:sz w:val="22"/>
          <w:szCs w:val="22"/>
        </w:rPr>
        <w:t xml:space="preserve"> scenario after the Best/default, in Table 3). </w:t>
      </w:r>
      <w:proofErr w:type="spellStart"/>
      <w:r w:rsidRPr="00CF4FA8">
        <w:rPr>
          <w:sz w:val="22"/>
          <w:szCs w:val="22"/>
        </w:rPr>
        <w:t>Aetiologies</w:t>
      </w:r>
      <w:proofErr w:type="spellEnd"/>
      <w:r w:rsidRPr="00CF4FA8">
        <w:rPr>
          <w:sz w:val="22"/>
          <w:szCs w:val="22"/>
        </w:rPr>
        <w:t xml:space="preserve"> measured through NAAT (specifically, a validated in-house real-time multiplex PCR assay) on endocervical swab; </w:t>
      </w:r>
      <w:r w:rsidR="00985207">
        <w:rPr>
          <w:sz w:val="22"/>
          <w:szCs w:val="22"/>
        </w:rPr>
        <w:t xml:space="preserve">the </w:t>
      </w:r>
      <w:r w:rsidRPr="00CF4FA8">
        <w:rPr>
          <w:sz w:val="22"/>
          <w:szCs w:val="22"/>
        </w:rPr>
        <w:t>prevalence</w:t>
      </w:r>
      <w:r w:rsidR="00985207">
        <w:rPr>
          <w:sz w:val="22"/>
          <w:szCs w:val="22"/>
        </w:rPr>
        <w:t xml:space="preserve"> data</w:t>
      </w:r>
      <w:r w:rsidR="00B663BC">
        <w:rPr>
          <w:sz w:val="22"/>
          <w:szCs w:val="22"/>
        </w:rPr>
        <w:t xml:space="preserve"> shown</w:t>
      </w:r>
      <w:r w:rsidRPr="00CF4FA8">
        <w:rPr>
          <w:sz w:val="22"/>
          <w:szCs w:val="22"/>
        </w:rPr>
        <w:t xml:space="preserve"> </w:t>
      </w:r>
      <w:r w:rsidR="00985207">
        <w:rPr>
          <w:sz w:val="22"/>
          <w:szCs w:val="22"/>
        </w:rPr>
        <w:t>have not been</w:t>
      </w:r>
      <w:r w:rsidRPr="00CF4FA8">
        <w:rPr>
          <w:sz w:val="22"/>
          <w:szCs w:val="22"/>
        </w:rPr>
        <w:t xml:space="preserve"> </w:t>
      </w:r>
      <w:r w:rsidR="00985207" w:rsidRPr="00CF4FA8">
        <w:rPr>
          <w:sz w:val="22"/>
          <w:szCs w:val="22"/>
        </w:rPr>
        <w:t>adjust</w:t>
      </w:r>
      <w:r w:rsidR="00985207">
        <w:rPr>
          <w:sz w:val="22"/>
          <w:szCs w:val="22"/>
        </w:rPr>
        <w:t>ed</w:t>
      </w:r>
      <w:r w:rsidR="00985207" w:rsidRPr="00CF4FA8">
        <w:rPr>
          <w:sz w:val="22"/>
          <w:szCs w:val="22"/>
        </w:rPr>
        <w:t xml:space="preserve"> </w:t>
      </w:r>
      <w:r w:rsidRPr="00CF4FA8">
        <w:rPr>
          <w:sz w:val="22"/>
          <w:szCs w:val="22"/>
        </w:rPr>
        <w:t xml:space="preserve">for diagnostic test. Source: </w:t>
      </w:r>
      <w:r>
        <w:rPr>
          <w:sz w:val="22"/>
          <w:szCs w:val="22"/>
        </w:rPr>
        <w:fldChar w:fldCharType="begin"/>
      </w:r>
      <w:r w:rsidR="00E7542A">
        <w:rPr>
          <w:sz w:val="22"/>
          <w:szCs w:val="22"/>
        </w:rPr>
        <w:instrText xml:space="preserve"> ADDIN EN.CITE &lt;EndNote&gt;&lt;Cite ExcludeYear="1"&gt;&lt;Author&gt;South Africa National Department of Health&lt;/Author&gt;&lt;RecNum&gt;5997&lt;/RecNum&gt;&lt;DisplayText&gt;(1)&lt;/DisplayText&gt;&lt;record&gt;&lt;rec-number&gt;5997&lt;/rec-number&gt;&lt;foreign-keys&gt;&lt;key app="EN" db-id="wvsevwdt20sx96epd0cxpf5cpdtsw905v2sz" timestamp="1528366177"&gt;5997&lt;/key&gt;&lt;/foreign-keys&gt;&lt;ref-type name="Web Page"&gt;12&lt;/ref-type&gt;&lt;contributors&gt;&lt;authors&gt;&lt;author&gt;South Africa National Department of Health,&lt;/author&gt;&lt;/authors&gt;&lt;/contributors&gt;&lt;titles&gt;&lt;title&gt;National Integrated District Health Information System&lt;/title&gt;&lt;/titles&gt;&lt;volume&gt;2018&lt;/volume&gt;&lt;number&gt;07 June&lt;/number&gt;&lt;dates&gt;&lt;/dates&gt;&lt;pub-location&gt;Pretoria&lt;/pub-location&gt;&lt;urls&gt;&lt;related-urls&gt;&lt;url&gt;https://za.dhis.dhmis.org/dhis-web-commons/security/login.action&lt;/url&gt;&lt;/related-urls&gt;&lt;/urls&gt;&lt;/record&gt;&lt;/Cite&gt;&lt;/EndNote&gt;</w:instrText>
      </w:r>
      <w:r>
        <w:rPr>
          <w:sz w:val="22"/>
          <w:szCs w:val="22"/>
        </w:rPr>
        <w:fldChar w:fldCharType="separate"/>
      </w:r>
      <w:r w:rsidR="00E7542A">
        <w:rPr>
          <w:noProof/>
          <w:sz w:val="22"/>
          <w:szCs w:val="22"/>
        </w:rPr>
        <w:t>(1)</w:t>
      </w:r>
      <w:r>
        <w:rPr>
          <w:sz w:val="22"/>
          <w:szCs w:val="22"/>
        </w:rPr>
        <w:fldChar w:fldCharType="end"/>
      </w:r>
      <w:r w:rsidRPr="00CF4FA8">
        <w:rPr>
          <w:sz w:val="22"/>
          <w:szCs w:val="22"/>
        </w:rPr>
        <w:t xml:space="preserve">. </w:t>
      </w:r>
    </w:p>
    <w:p w14:paraId="14FB7EE6" w14:textId="77777777" w:rsidR="00E7542A" w:rsidRDefault="00E7542A"/>
    <w:p w14:paraId="0F400CFB" w14:textId="77777777" w:rsidR="00E7542A" w:rsidRDefault="00E7542A">
      <w:pPr>
        <w:spacing w:after="160" w:line="259" w:lineRule="auto"/>
        <w:rPr>
          <w:b/>
          <w:sz w:val="22"/>
          <w:szCs w:val="22"/>
        </w:rPr>
      </w:pPr>
      <w:r>
        <w:rPr>
          <w:b/>
          <w:sz w:val="22"/>
          <w:szCs w:val="22"/>
        </w:rPr>
        <w:br w:type="page"/>
      </w:r>
    </w:p>
    <w:p w14:paraId="273EC157" w14:textId="77777777" w:rsidR="00E7542A" w:rsidRDefault="00E7542A" w:rsidP="00E7542A">
      <w:pPr>
        <w:spacing w:line="360" w:lineRule="auto"/>
        <w:outlineLvl w:val="0"/>
        <w:rPr>
          <w:b/>
          <w:sz w:val="22"/>
          <w:szCs w:val="22"/>
        </w:rPr>
      </w:pPr>
      <w:r>
        <w:rPr>
          <w:b/>
          <w:sz w:val="22"/>
          <w:szCs w:val="22"/>
        </w:rPr>
        <w:lastRenderedPageBreak/>
        <w:t>References for S2 file:</w:t>
      </w:r>
    </w:p>
    <w:p w14:paraId="2D8BFD60" w14:textId="77777777" w:rsidR="00E7542A" w:rsidRPr="00CE3167" w:rsidRDefault="00E7542A" w:rsidP="00E7542A">
      <w:pPr>
        <w:spacing w:line="360" w:lineRule="auto"/>
        <w:outlineLvl w:val="0"/>
        <w:rPr>
          <w:b/>
          <w:sz w:val="22"/>
          <w:szCs w:val="22"/>
        </w:rPr>
      </w:pPr>
    </w:p>
    <w:p w14:paraId="6E840C63" w14:textId="77777777" w:rsidR="00CE3167" w:rsidRPr="00CE3167" w:rsidRDefault="00E7542A" w:rsidP="00CE3167">
      <w:pPr>
        <w:pStyle w:val="EndNoteBibliography"/>
        <w:rPr>
          <w:sz w:val="22"/>
          <w:szCs w:val="22"/>
        </w:rPr>
      </w:pPr>
      <w:r w:rsidRPr="00CE3167">
        <w:rPr>
          <w:sz w:val="22"/>
          <w:szCs w:val="22"/>
        </w:rPr>
        <w:fldChar w:fldCharType="begin"/>
      </w:r>
      <w:r w:rsidRPr="00CE3167">
        <w:rPr>
          <w:sz w:val="22"/>
          <w:szCs w:val="22"/>
        </w:rPr>
        <w:instrText xml:space="preserve"> ADDIN EN.REFLIST </w:instrText>
      </w:r>
      <w:r w:rsidRPr="00CE3167">
        <w:rPr>
          <w:sz w:val="22"/>
          <w:szCs w:val="22"/>
        </w:rPr>
        <w:fldChar w:fldCharType="separate"/>
      </w:r>
      <w:r w:rsidR="00CE3167" w:rsidRPr="00CE3167">
        <w:rPr>
          <w:sz w:val="22"/>
          <w:szCs w:val="22"/>
        </w:rPr>
        <w:t>1.</w:t>
      </w:r>
      <w:r w:rsidR="00CE3167" w:rsidRPr="00CE3167">
        <w:rPr>
          <w:sz w:val="22"/>
          <w:szCs w:val="22"/>
        </w:rPr>
        <w:tab/>
        <w:t xml:space="preserve">South Africa National Department of Health. National Integrated District Health Information System Pretoria [cited 2018 07 June]. Available from: </w:t>
      </w:r>
      <w:hyperlink r:id="rId6" w:history="1">
        <w:r w:rsidR="00CE3167" w:rsidRPr="00CE3167">
          <w:rPr>
            <w:rStyle w:val="Hyperlink"/>
            <w:sz w:val="22"/>
            <w:szCs w:val="22"/>
          </w:rPr>
          <w:t>https://za.dhis.dhmis.org/dhis-web-commons/security/login.action</w:t>
        </w:r>
      </w:hyperlink>
      <w:r w:rsidR="00CE3167" w:rsidRPr="00CE3167">
        <w:rPr>
          <w:sz w:val="22"/>
          <w:szCs w:val="22"/>
        </w:rPr>
        <w:t>.</w:t>
      </w:r>
    </w:p>
    <w:p w14:paraId="5ADC1ADD" w14:textId="77777777" w:rsidR="00CE3167" w:rsidRPr="00CE3167" w:rsidRDefault="00CE3167" w:rsidP="00CE3167">
      <w:pPr>
        <w:pStyle w:val="EndNoteBibliography"/>
        <w:rPr>
          <w:sz w:val="22"/>
          <w:szCs w:val="22"/>
        </w:rPr>
      </w:pPr>
      <w:r w:rsidRPr="00CE3167">
        <w:rPr>
          <w:sz w:val="22"/>
          <w:szCs w:val="22"/>
        </w:rPr>
        <w:t>2.</w:t>
      </w:r>
      <w:r w:rsidRPr="00CE3167">
        <w:rPr>
          <w:sz w:val="22"/>
          <w:szCs w:val="22"/>
        </w:rPr>
        <w:tab/>
        <w:t>Mhlongo S, Magooa P, Muller EE, Nel N, Radebe F, Wasserman E, et al. Etiology and STI/HIV coinfections among patients with urethral and vaginal discharge syndromes in South Africa. Sex Transm Dis. 2010;37(9):566-70.</w:t>
      </w:r>
    </w:p>
    <w:p w14:paraId="48FF7583" w14:textId="77777777" w:rsidR="00CE3167" w:rsidRPr="00CE3167" w:rsidRDefault="00CE3167" w:rsidP="00CE3167">
      <w:pPr>
        <w:pStyle w:val="EndNoteBibliography"/>
        <w:rPr>
          <w:rStyle w:val="Hyperlink"/>
          <w:sz w:val="22"/>
          <w:szCs w:val="22"/>
        </w:rPr>
      </w:pPr>
      <w:r w:rsidRPr="00CE3167">
        <w:rPr>
          <w:sz w:val="22"/>
          <w:szCs w:val="22"/>
        </w:rPr>
        <w:t>3.</w:t>
      </w:r>
      <w:r w:rsidRPr="00CE3167">
        <w:rPr>
          <w:sz w:val="22"/>
          <w:szCs w:val="22"/>
        </w:rPr>
        <w:tab/>
      </w:r>
      <w:bookmarkStart w:id="2" w:name="_Hlk519590277"/>
      <w:r w:rsidRPr="00CE3167">
        <w:rPr>
          <w:sz w:val="22"/>
          <w:szCs w:val="22"/>
        </w:rPr>
        <w:t xml:space="preserve">Kularatne R. Aetiological surveillance of sexually transmitted infection syndromes at sentinel sites: GERMS-SA 2014-2016. Public Health Surveillance Bulletin. 2017;15:114-22.  </w:t>
      </w:r>
      <w:r w:rsidRPr="00CE3167">
        <w:rPr>
          <w:rStyle w:val="Hyperlink"/>
          <w:sz w:val="22"/>
          <w:szCs w:val="22"/>
        </w:rPr>
        <w:t xml:space="preserve">http://www.nicd.ac.za/wp-content/uploads/2017/03/NICD-Bulletin-Vol_15_Iss3-November_2017.pdf </w:t>
      </w:r>
      <w:bookmarkEnd w:id="2"/>
    </w:p>
    <w:p w14:paraId="0B4C0BA5" w14:textId="77777777" w:rsidR="00E6464C" w:rsidRDefault="00E7542A">
      <w:r w:rsidRPr="00CE3167">
        <w:rPr>
          <w:sz w:val="22"/>
          <w:szCs w:val="22"/>
        </w:rPr>
        <w:fldChar w:fldCharType="end"/>
      </w:r>
    </w:p>
    <w:sectPr w:rsidR="00E6464C" w:rsidSect="000A4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sevwdt20sx96epd0cxpf5cpdtsw905v2sz&quot;&gt;Library HTM Eline_Sept2016&lt;record-ids&gt;&lt;item&gt;5422&lt;/item&gt;&lt;item&gt;5912&lt;/item&gt;&lt;item&gt;5997&lt;/item&gt;&lt;/record-ids&gt;&lt;/item&gt;&lt;/Libraries&gt;"/>
  </w:docVars>
  <w:rsids>
    <w:rsidRoot w:val="00006253"/>
    <w:rsid w:val="00006253"/>
    <w:rsid w:val="00092CFC"/>
    <w:rsid w:val="000A47CB"/>
    <w:rsid w:val="001918E1"/>
    <w:rsid w:val="002112D1"/>
    <w:rsid w:val="00342D32"/>
    <w:rsid w:val="003B0A46"/>
    <w:rsid w:val="005B5714"/>
    <w:rsid w:val="005F3256"/>
    <w:rsid w:val="006444F1"/>
    <w:rsid w:val="007947E7"/>
    <w:rsid w:val="007F7600"/>
    <w:rsid w:val="00985207"/>
    <w:rsid w:val="009E2B33"/>
    <w:rsid w:val="00B34786"/>
    <w:rsid w:val="00B663BC"/>
    <w:rsid w:val="00B8148F"/>
    <w:rsid w:val="00BA20CF"/>
    <w:rsid w:val="00CA5986"/>
    <w:rsid w:val="00CE3167"/>
    <w:rsid w:val="00CF2DC4"/>
    <w:rsid w:val="00DC5FE6"/>
    <w:rsid w:val="00E6464C"/>
    <w:rsid w:val="00E7542A"/>
    <w:rsid w:val="00F1265B"/>
    <w:rsid w:val="00F17406"/>
    <w:rsid w:val="00F52849"/>
  </w:rsids>
  <m:mathPr>
    <m:mathFont m:val="Cambria Math"/>
    <m:brkBin m:val="before"/>
    <m:brkBinSub m:val="--"/>
    <m:smallFrac m:val="0"/>
    <m:dispDef/>
    <m:lMargin m:val="0"/>
    <m:rMargin m:val="0"/>
    <m:defJc m:val="centerGroup"/>
    <m:wrapIndent m:val="1440"/>
    <m:intLim m:val="subSup"/>
    <m:naryLim m:val="undOvr"/>
  </m:mathPr>
  <w:themeFontLang w:val="en-US" w:eastAsia="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6E57"/>
  <w15:chartTrackingRefBased/>
  <w15:docId w15:val="{3234EF62-D198-41B4-B83B-D827E382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25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542A"/>
    <w:pPr>
      <w:keepNext/>
      <w:keepLines/>
      <w:spacing w:before="240"/>
      <w:outlineLvl w:val="0"/>
    </w:pPr>
    <w:rPr>
      <w:rFonts w:eastAsiaTheme="majorEastAsia"/>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2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42A"/>
    <w:rPr>
      <w:rFonts w:ascii="Times New Roman" w:eastAsiaTheme="majorEastAsia" w:hAnsi="Times New Roman" w:cs="Times New Roman"/>
      <w:b/>
      <w:sz w:val="36"/>
      <w:szCs w:val="32"/>
      <w:lang w:val="en-US"/>
    </w:rPr>
  </w:style>
  <w:style w:type="paragraph" w:customStyle="1" w:styleId="EndNoteBibliographyTitle">
    <w:name w:val="EndNote Bibliography Title"/>
    <w:basedOn w:val="Normal"/>
    <w:link w:val="EndNoteBibliographyTitleChar"/>
    <w:rsid w:val="00E7542A"/>
    <w:pPr>
      <w:jc w:val="center"/>
    </w:pPr>
    <w:rPr>
      <w:noProof/>
    </w:rPr>
  </w:style>
  <w:style w:type="character" w:customStyle="1" w:styleId="EndNoteBibliographyTitleChar">
    <w:name w:val="EndNote Bibliography Title Char"/>
    <w:basedOn w:val="DefaultParagraphFont"/>
    <w:link w:val="EndNoteBibliographyTitle"/>
    <w:rsid w:val="00E7542A"/>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E7542A"/>
    <w:rPr>
      <w:noProof/>
    </w:rPr>
  </w:style>
  <w:style w:type="character" w:customStyle="1" w:styleId="EndNoteBibliographyChar">
    <w:name w:val="EndNote Bibliography Char"/>
    <w:basedOn w:val="DefaultParagraphFont"/>
    <w:link w:val="EndNoteBibliography"/>
    <w:rsid w:val="00E7542A"/>
    <w:rPr>
      <w:rFonts w:ascii="Times New Roman" w:eastAsia="Times New Roman" w:hAnsi="Times New Roman" w:cs="Times New Roman"/>
      <w:noProof/>
      <w:sz w:val="24"/>
      <w:szCs w:val="24"/>
      <w:lang w:val="en-US"/>
    </w:rPr>
  </w:style>
  <w:style w:type="character" w:styleId="Hyperlink">
    <w:name w:val="Hyperlink"/>
    <w:basedOn w:val="DefaultParagraphFont"/>
    <w:uiPriority w:val="99"/>
    <w:unhideWhenUsed/>
    <w:rsid w:val="00E7542A"/>
    <w:rPr>
      <w:color w:val="0563C1" w:themeColor="hyperlink"/>
      <w:u w:val="single"/>
    </w:rPr>
  </w:style>
  <w:style w:type="character" w:styleId="UnresolvedMention">
    <w:name w:val="Unresolved Mention"/>
    <w:basedOn w:val="DefaultParagraphFont"/>
    <w:uiPriority w:val="99"/>
    <w:semiHidden/>
    <w:unhideWhenUsed/>
    <w:rsid w:val="00E7542A"/>
    <w:rPr>
      <w:color w:val="605E5C"/>
      <w:shd w:val="clear" w:color="auto" w:fill="E1DFDD"/>
    </w:rPr>
  </w:style>
  <w:style w:type="character" w:styleId="CommentReference">
    <w:name w:val="annotation reference"/>
    <w:basedOn w:val="DefaultParagraphFont"/>
    <w:uiPriority w:val="99"/>
    <w:semiHidden/>
    <w:unhideWhenUsed/>
    <w:rsid w:val="00342D32"/>
    <w:rPr>
      <w:sz w:val="16"/>
      <w:szCs w:val="16"/>
    </w:rPr>
  </w:style>
  <w:style w:type="paragraph" w:styleId="CommentText">
    <w:name w:val="annotation text"/>
    <w:basedOn w:val="Normal"/>
    <w:link w:val="CommentTextChar"/>
    <w:uiPriority w:val="99"/>
    <w:semiHidden/>
    <w:unhideWhenUsed/>
    <w:rsid w:val="00342D32"/>
    <w:rPr>
      <w:sz w:val="20"/>
      <w:szCs w:val="20"/>
    </w:rPr>
  </w:style>
  <w:style w:type="character" w:customStyle="1" w:styleId="CommentTextChar">
    <w:name w:val="Comment Text Char"/>
    <w:basedOn w:val="DefaultParagraphFont"/>
    <w:link w:val="CommentText"/>
    <w:uiPriority w:val="99"/>
    <w:semiHidden/>
    <w:rsid w:val="00342D3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D32"/>
    <w:rPr>
      <w:b/>
      <w:bCs/>
    </w:rPr>
  </w:style>
  <w:style w:type="character" w:customStyle="1" w:styleId="CommentSubjectChar">
    <w:name w:val="Comment Subject Char"/>
    <w:basedOn w:val="CommentTextChar"/>
    <w:link w:val="CommentSubject"/>
    <w:uiPriority w:val="99"/>
    <w:semiHidden/>
    <w:rsid w:val="00342D3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42D32"/>
    <w:rPr>
      <w:sz w:val="18"/>
      <w:szCs w:val="18"/>
    </w:rPr>
  </w:style>
  <w:style w:type="character" w:customStyle="1" w:styleId="BalloonTextChar">
    <w:name w:val="Balloon Text Char"/>
    <w:basedOn w:val="DefaultParagraphFont"/>
    <w:link w:val="BalloonText"/>
    <w:uiPriority w:val="99"/>
    <w:semiHidden/>
    <w:rsid w:val="00342D32"/>
    <w:rPr>
      <w:rFonts w:ascii="Times New Roman" w:eastAsia="Times New Roman" w:hAnsi="Times New Roman" w:cs="Times New Roman"/>
      <w:sz w:val="18"/>
      <w:szCs w:val="18"/>
      <w:lang w:val="en-US"/>
    </w:rPr>
  </w:style>
  <w:style w:type="paragraph" w:styleId="PlainText">
    <w:name w:val="Plain Text"/>
    <w:basedOn w:val="Normal"/>
    <w:link w:val="PlainTextChar"/>
    <w:uiPriority w:val="99"/>
    <w:semiHidden/>
    <w:unhideWhenUsed/>
    <w:rsid w:val="005B5714"/>
    <w:rPr>
      <w:rFonts w:ascii="Calibri" w:eastAsiaTheme="minorHAnsi" w:hAnsi="Calibri" w:cstheme="minorBidi"/>
      <w:sz w:val="22"/>
      <w:szCs w:val="21"/>
      <w:lang w:val="fr-CH"/>
    </w:rPr>
  </w:style>
  <w:style w:type="character" w:customStyle="1" w:styleId="PlainTextChar">
    <w:name w:val="Plain Text Char"/>
    <w:basedOn w:val="DefaultParagraphFont"/>
    <w:link w:val="PlainText"/>
    <w:uiPriority w:val="99"/>
    <w:semiHidden/>
    <w:rsid w:val="005B57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dhis.dhmis.org/dhis-web-commons/security/login.action"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Korenromp</dc:creator>
  <cp:keywords/>
  <dc:description/>
  <cp:lastModifiedBy>Eline Korenromp</cp:lastModifiedBy>
  <cp:revision>2</cp:revision>
  <cp:lastPrinted>2018-09-18T08:00:00Z</cp:lastPrinted>
  <dcterms:created xsi:type="dcterms:W3CDTF">2018-09-27T07:04:00Z</dcterms:created>
  <dcterms:modified xsi:type="dcterms:W3CDTF">2018-09-27T07:04:00Z</dcterms:modified>
</cp:coreProperties>
</file>