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EBFA3" w14:textId="77777777" w:rsidR="00C94C59" w:rsidRDefault="00C94C59" w:rsidP="00C94C59">
      <w:pPr>
        <w:spacing w:line="360" w:lineRule="auto"/>
        <w:jc w:val="center"/>
        <w:rPr>
          <w:rFonts w:asciiTheme="majorBidi" w:hAnsiTheme="majorBidi" w:cstheme="majorBidi"/>
          <w:b/>
          <w:sz w:val="28"/>
          <w:szCs w:val="28"/>
        </w:rPr>
      </w:pPr>
      <w:r w:rsidRPr="003630DB">
        <w:rPr>
          <w:rFonts w:asciiTheme="majorBidi" w:hAnsiTheme="majorBidi" w:cstheme="majorBidi"/>
          <w:b/>
          <w:sz w:val="28"/>
          <w:szCs w:val="28"/>
        </w:rPr>
        <w:t>Study of Healthcare Personnel with Influenza and oth</w:t>
      </w:r>
      <w:r>
        <w:rPr>
          <w:rFonts w:asciiTheme="majorBidi" w:hAnsiTheme="majorBidi" w:cstheme="majorBidi"/>
          <w:b/>
          <w:sz w:val="28"/>
          <w:szCs w:val="28"/>
        </w:rPr>
        <w:t xml:space="preserve">er Respiratory Viruses </w:t>
      </w:r>
      <w:r w:rsidRPr="00710B74">
        <w:rPr>
          <w:rFonts w:asciiTheme="majorBidi" w:hAnsiTheme="majorBidi" w:cstheme="majorBidi"/>
          <w:b/>
          <w:sz w:val="28"/>
          <w:szCs w:val="28"/>
        </w:rPr>
        <w:t>in Israel</w:t>
      </w:r>
      <w:r>
        <w:rPr>
          <w:rFonts w:asciiTheme="majorBidi" w:hAnsiTheme="majorBidi" w:cstheme="majorBidi"/>
          <w:b/>
          <w:sz w:val="28"/>
          <w:szCs w:val="28"/>
        </w:rPr>
        <w:t xml:space="preserve"> (SHIRI)</w:t>
      </w:r>
      <w:r w:rsidRPr="00710B74">
        <w:rPr>
          <w:rFonts w:asciiTheme="majorBidi" w:hAnsiTheme="majorBidi" w:cstheme="majorBidi"/>
          <w:b/>
          <w:sz w:val="28"/>
          <w:szCs w:val="28"/>
        </w:rPr>
        <w:t xml:space="preserve">: </w:t>
      </w:r>
      <w:r>
        <w:rPr>
          <w:rFonts w:asciiTheme="majorBidi" w:hAnsiTheme="majorBidi" w:cstheme="majorBidi"/>
          <w:b/>
          <w:sz w:val="28"/>
          <w:szCs w:val="28"/>
        </w:rPr>
        <w:t>S</w:t>
      </w:r>
      <w:r w:rsidRPr="00710B74">
        <w:rPr>
          <w:rFonts w:asciiTheme="majorBidi" w:hAnsiTheme="majorBidi" w:cstheme="majorBidi"/>
          <w:b/>
          <w:sz w:val="28"/>
          <w:szCs w:val="28"/>
        </w:rPr>
        <w:t xml:space="preserve">tudy </w:t>
      </w:r>
      <w:r>
        <w:rPr>
          <w:rFonts w:asciiTheme="majorBidi" w:hAnsiTheme="majorBidi" w:cstheme="majorBidi"/>
          <w:b/>
          <w:sz w:val="28"/>
          <w:szCs w:val="28"/>
        </w:rPr>
        <w:t>D</w:t>
      </w:r>
      <w:r w:rsidRPr="00710B74">
        <w:rPr>
          <w:rFonts w:asciiTheme="majorBidi" w:hAnsiTheme="majorBidi" w:cstheme="majorBidi"/>
          <w:b/>
          <w:sz w:val="28"/>
          <w:szCs w:val="28"/>
        </w:rPr>
        <w:t xml:space="preserve">esign and </w:t>
      </w:r>
      <w:r>
        <w:rPr>
          <w:rFonts w:asciiTheme="majorBidi" w:hAnsiTheme="majorBidi" w:cstheme="majorBidi"/>
          <w:b/>
          <w:sz w:val="28"/>
          <w:szCs w:val="28"/>
        </w:rPr>
        <w:t>M</w:t>
      </w:r>
      <w:r w:rsidRPr="00710B74">
        <w:rPr>
          <w:rFonts w:asciiTheme="majorBidi" w:hAnsiTheme="majorBidi" w:cstheme="majorBidi"/>
          <w:b/>
          <w:sz w:val="28"/>
          <w:szCs w:val="28"/>
        </w:rPr>
        <w:t>ethods</w:t>
      </w:r>
    </w:p>
    <w:p w14:paraId="505A8065" w14:textId="77777777" w:rsidR="00C94C59" w:rsidRPr="00FF008A" w:rsidRDefault="00C94C59" w:rsidP="00C94C59">
      <w:pPr>
        <w:rPr>
          <w:rFonts w:ascii="Times New Roman" w:hAnsi="Times New Roman" w:cs="Times New Roman"/>
          <w:b/>
          <w:sz w:val="28"/>
          <w:szCs w:val="28"/>
          <w:u w:val="single"/>
          <w:lang w:bidi="he-IL"/>
        </w:rPr>
      </w:pPr>
      <w:r>
        <w:rPr>
          <w:rFonts w:ascii="Times New Roman" w:hAnsi="Times New Roman" w:cs="Times New Roman"/>
          <w:b/>
          <w:sz w:val="28"/>
          <w:szCs w:val="28"/>
          <w:u w:val="single"/>
          <w:lang w:bidi="he-IL"/>
        </w:rPr>
        <w:t>Supplementary file</w:t>
      </w:r>
    </w:p>
    <w:p w14:paraId="3AFC74AA" w14:textId="77777777" w:rsidR="00C94C59" w:rsidRPr="008E401D" w:rsidRDefault="00C94C59" w:rsidP="00C94C59">
      <w:pPr>
        <w:shd w:val="clear" w:color="auto" w:fill="FFFFFF"/>
        <w:spacing w:line="360" w:lineRule="auto"/>
        <w:rPr>
          <w:rFonts w:ascii="Times New Roman" w:eastAsia="Times New Roman" w:hAnsi="Times New Roman" w:cs="Times New Roman"/>
          <w:b/>
          <w:bCs/>
          <w:sz w:val="24"/>
          <w:szCs w:val="24"/>
        </w:rPr>
      </w:pPr>
      <w:r w:rsidRPr="008E401D">
        <w:rPr>
          <w:rFonts w:ascii="Times New Roman" w:eastAsia="Times New Roman" w:hAnsi="Times New Roman" w:cs="Times New Roman"/>
          <w:b/>
          <w:bCs/>
          <w:sz w:val="24"/>
          <w:szCs w:val="24"/>
        </w:rPr>
        <w:t>Annex 1. Defining chronic medical conditions</w:t>
      </w:r>
    </w:p>
    <w:p w14:paraId="02146CA9" w14:textId="4B1EECB9" w:rsidR="00C94C59" w:rsidRPr="00FF008A" w:rsidRDefault="00C94C59" w:rsidP="00C94C59">
      <w:pPr>
        <w:shd w:val="clear" w:color="auto" w:fill="FFFFFF"/>
        <w:spacing w:line="480" w:lineRule="auto"/>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We identified a broad list of chronic medical conditions, including conditions that have been previously identified as risk factors for severe outcomes from influenza infections</w:t>
      </w:r>
      <w:r w:rsidR="002A65A0">
        <w:rPr>
          <w:rFonts w:ascii="Times New Roman" w:eastAsia="Times New Roman" w:hAnsi="Times New Roman" w:cs="Times New Roman"/>
          <w:sz w:val="24"/>
          <w:szCs w:val="24"/>
        </w:rPr>
        <w:t xml:space="preserve"> by the US Advisory Committee on Immunization Practices</w:t>
      </w:r>
      <w:r w:rsidR="008F7342">
        <w:rPr>
          <w:rFonts w:ascii="Times New Roman" w:eastAsia="Times New Roman" w:hAnsi="Times New Roman" w:cs="Times New Roman"/>
          <w:sz w:val="24"/>
          <w:szCs w:val="24"/>
        </w:rPr>
        <w:t xml:space="preserve"> (ACIP)</w:t>
      </w:r>
      <w:r w:rsidRPr="00FF008A">
        <w:rPr>
          <w:rFonts w:ascii="Times New Roman" w:eastAsia="Times New Roman" w:hAnsi="Times New Roman" w:cs="Times New Roman"/>
          <w:sz w:val="24"/>
          <w:szCs w:val="24"/>
        </w:rPr>
        <w:t xml:space="preserve"> </w:t>
      </w:r>
      <w:r w:rsidRPr="00FF008A">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"10.15585/mmwr.rr6602a1", "ISSN" : "1057-5987", "author" : [ { "dropping-particle" : "", "family" : "Grohskopf", "given" : "Lisa A.", "non-dropping-particle" : "", "parse-names" : false, "suffix" : "" }, { "dropping-particle" : "", "family" : "Sokolow", "given" : "Leslie Z.", "non-dropping-particle" : "", "parse-names" : false, "suffix" : "" }, { "dropping-particle" : "", "family" : "Broder", "given" : "Karen R.", "non-dropping-particle" : "", "parse-names" : false, "suffix" : "" }, { "dropping-particle" : "", "family" : "Walter", "given" : "Emmanuel B.", "non-dropping-particle" : "", "parse-names" : false, "suffix" : "" }, { "dropping-particle" : "", "family" : "Bresee", "given" : "Joseph S.", "non-dropping-particle" : "", "parse-names" : false, "suffix" : "" }, { "dropping-particle" : "", "family" : "Fry", "given" : "Alicia M.", "non-dropping-particle" : "", "parse-names" : false, "suffix" : "" }, { "dropping-particle" : "", "family" : "Jernigan", "given" : "Daniel B.", "non-dropping-particle" : "", "parse-names" : false, "suffix" : "" } ], "container-title" : "MMWR. Recommendations and Reports", "id" : "ITEM-1", "issue" : "2", "issued" : { "date-parts" : [ [ "2017", "8" ] ] }, "page" : "1-20", "title" : "Prevention and Control of Seasonal Influenza with Vaccines: Recommendations of the Advisory Committee on Immunization Practices \u2014 United States, 2017\u201318 Influenza Season", "type" : "article-journal", "volume" : "66" }, "uris" : [ "http://www.mendeley.com/documents/?uuid=876f89b3-cce8-4337-9970-a4399515e98f" ] } ], "mendeley" : { "formattedCitation" : "(1)", "plainTextFormattedCitation" : "(1)", "previouslyFormattedCitation" : "(1)" }, "properties" : { "noteIndex" : 1 }, "schema" : "https://github.com/citation-style-language/schema/raw/master/csl-citation.json" }</w:instrText>
      </w:r>
      <w:r w:rsidRPr="00FF008A">
        <w:rPr>
          <w:rFonts w:ascii="Times New Roman" w:eastAsia="Times New Roman" w:hAnsi="Times New Roman" w:cs="Times New Roman"/>
          <w:sz w:val="24"/>
          <w:szCs w:val="24"/>
        </w:rPr>
        <w:fldChar w:fldCharType="separate"/>
      </w:r>
      <w:r w:rsidRPr="00C76F90">
        <w:rPr>
          <w:rFonts w:ascii="Times New Roman" w:eastAsia="Times New Roman" w:hAnsi="Times New Roman" w:cs="Times New Roman"/>
          <w:noProof/>
          <w:sz w:val="24"/>
          <w:szCs w:val="24"/>
        </w:rPr>
        <w:t>(1)</w:t>
      </w:r>
      <w:r w:rsidRPr="00FF008A">
        <w:rPr>
          <w:rFonts w:ascii="Times New Roman" w:eastAsia="Times New Roman" w:hAnsi="Times New Roman" w:cs="Times New Roman"/>
          <w:sz w:val="24"/>
          <w:szCs w:val="24"/>
        </w:rPr>
        <w:fldChar w:fldCharType="end"/>
      </w:r>
      <w:r w:rsidR="008F7342">
        <w:rPr>
          <w:rFonts w:ascii="Times New Roman" w:eastAsia="Times New Roman" w:hAnsi="Times New Roman" w:cs="Times New Roman"/>
          <w:sz w:val="24"/>
          <w:szCs w:val="24"/>
        </w:rPr>
        <w:t xml:space="preserve">. In order to fully characterize the health profiles of participants, we also identified </w:t>
      </w:r>
      <w:r w:rsidRPr="00FF008A">
        <w:rPr>
          <w:rFonts w:ascii="Times New Roman" w:eastAsia="Times New Roman" w:hAnsi="Times New Roman" w:cs="Times New Roman"/>
          <w:sz w:val="24"/>
          <w:szCs w:val="24"/>
        </w:rPr>
        <w:t>chronic diseases</w:t>
      </w:r>
      <w:r w:rsidR="008F7342">
        <w:rPr>
          <w:rFonts w:ascii="Times New Roman" w:eastAsia="Times New Roman" w:hAnsi="Times New Roman" w:cs="Times New Roman"/>
          <w:sz w:val="24"/>
          <w:szCs w:val="24"/>
        </w:rPr>
        <w:t xml:space="preserve"> not included in ACIP risk groups</w:t>
      </w:r>
      <w:r w:rsidRPr="00FF008A">
        <w:rPr>
          <w:rFonts w:ascii="Times New Roman" w:eastAsia="Times New Roman" w:hAnsi="Times New Roman" w:cs="Times New Roman"/>
          <w:sz w:val="24"/>
          <w:szCs w:val="24"/>
        </w:rPr>
        <w:t xml:space="preserve">, </w:t>
      </w:r>
      <w:r w:rsidR="008F7342">
        <w:rPr>
          <w:rFonts w:ascii="Times New Roman" w:eastAsia="Times New Roman" w:hAnsi="Times New Roman" w:cs="Times New Roman"/>
          <w:sz w:val="24"/>
          <w:szCs w:val="24"/>
        </w:rPr>
        <w:t>such as</w:t>
      </w:r>
      <w:r w:rsidR="008F7342" w:rsidRPr="00FF008A">
        <w:rPr>
          <w:rFonts w:ascii="Times New Roman" w:eastAsia="Times New Roman" w:hAnsi="Times New Roman" w:cs="Times New Roman"/>
          <w:sz w:val="24"/>
          <w:szCs w:val="24"/>
        </w:rPr>
        <w:t xml:space="preserve"> </w:t>
      </w:r>
      <w:r w:rsidRPr="00FF008A">
        <w:rPr>
          <w:rFonts w:ascii="Times New Roman" w:eastAsia="Times New Roman" w:hAnsi="Times New Roman" w:cs="Times New Roman"/>
          <w:sz w:val="24"/>
          <w:szCs w:val="24"/>
        </w:rPr>
        <w:t>cancer</w:t>
      </w:r>
      <w:r w:rsidR="002A65A0">
        <w:rPr>
          <w:rFonts w:ascii="Times New Roman" w:eastAsia="Times New Roman" w:hAnsi="Times New Roman" w:cs="Times New Roman"/>
          <w:sz w:val="24"/>
          <w:szCs w:val="24"/>
        </w:rPr>
        <w:t xml:space="preserve">, </w:t>
      </w:r>
      <w:r w:rsidRPr="00FF008A">
        <w:rPr>
          <w:rFonts w:ascii="Times New Roman" w:eastAsia="Times New Roman" w:hAnsi="Times New Roman" w:cs="Times New Roman"/>
          <w:sz w:val="24"/>
          <w:szCs w:val="24"/>
        </w:rPr>
        <w:t>chronic gastrointestinal disease</w:t>
      </w:r>
      <w:r w:rsidR="002A65A0">
        <w:rPr>
          <w:rFonts w:ascii="Times New Roman" w:eastAsia="Times New Roman" w:hAnsi="Times New Roman" w:cs="Times New Roman"/>
          <w:sz w:val="24"/>
          <w:szCs w:val="24"/>
        </w:rPr>
        <w:t>, and immunocompromised conditions</w:t>
      </w:r>
      <w:r w:rsidRPr="00FF008A">
        <w:rPr>
          <w:rFonts w:ascii="Times New Roman" w:eastAsia="Times New Roman" w:hAnsi="Times New Roman" w:cs="Times New Roman"/>
          <w:sz w:val="24"/>
          <w:szCs w:val="24"/>
        </w:rPr>
        <w:t xml:space="preserve">. </w:t>
      </w:r>
    </w:p>
    <w:p w14:paraId="64994D22" w14:textId="1FAD1C62" w:rsidR="00C94C59" w:rsidRPr="00FF008A" w:rsidRDefault="00C94C59" w:rsidP="00C94C59">
      <w:pPr>
        <w:shd w:val="clear" w:color="auto" w:fill="FFFFFF"/>
        <w:spacing w:line="480" w:lineRule="auto"/>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 xml:space="preserve">We will use a combination of methods to identify these chronic conditions. We will include data linked to participants’ outpatient and inpatient medical encounters </w:t>
      </w:r>
      <w:r w:rsidR="008F7342">
        <w:rPr>
          <w:rFonts w:ascii="Times New Roman" w:eastAsia="Times New Roman" w:hAnsi="Times New Roman" w:cs="Times New Roman"/>
          <w:sz w:val="24"/>
          <w:szCs w:val="24"/>
        </w:rPr>
        <w:t>during the year prior to the relevant study year</w:t>
      </w:r>
      <w:r w:rsidRPr="00FF008A">
        <w:rPr>
          <w:rFonts w:ascii="Times New Roman" w:eastAsia="Times New Roman" w:hAnsi="Times New Roman" w:cs="Times New Roman"/>
          <w:sz w:val="24"/>
          <w:szCs w:val="24"/>
        </w:rPr>
        <w:t xml:space="preserve">. To determine relevant codes for chronic medical condition, we </w:t>
      </w:r>
      <w:r w:rsidR="008F7342">
        <w:rPr>
          <w:rFonts w:ascii="Times New Roman" w:eastAsia="Times New Roman" w:hAnsi="Times New Roman" w:cs="Times New Roman"/>
          <w:sz w:val="24"/>
          <w:szCs w:val="24"/>
        </w:rPr>
        <w:t>used</w:t>
      </w:r>
      <w:r w:rsidRPr="00FF008A">
        <w:rPr>
          <w:rFonts w:ascii="Times New Roman" w:eastAsia="Times New Roman" w:hAnsi="Times New Roman" w:cs="Times New Roman"/>
          <w:sz w:val="24"/>
          <w:szCs w:val="24"/>
        </w:rPr>
        <w:t xml:space="preserve"> ICD-9 codes described in previously published influenza studies (</w:t>
      </w:r>
      <w:proofErr w:type="spellStart"/>
      <w:r w:rsidRPr="00FF008A">
        <w:rPr>
          <w:rFonts w:ascii="Times New Roman" w:eastAsia="Times New Roman" w:hAnsi="Times New Roman" w:cs="Times New Roman"/>
          <w:sz w:val="24"/>
          <w:szCs w:val="24"/>
        </w:rPr>
        <w:t>Naleway</w:t>
      </w:r>
      <w:proofErr w:type="spellEnd"/>
      <w:r w:rsidRPr="00FF008A">
        <w:rPr>
          <w:rFonts w:ascii="Times New Roman" w:eastAsia="Times New Roman" w:hAnsi="Times New Roman" w:cs="Times New Roman"/>
          <w:sz w:val="24"/>
          <w:szCs w:val="24"/>
        </w:rPr>
        <w:t xml:space="preserve"> et al, pregnancy methods, in press)</w:t>
      </w:r>
      <w:r w:rsidRPr="00FF008A">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"10.1016/j.vaccine.2017.12.014", "ISSN" : "0264410X", "PMID" : "29249545", "abstract" : "BACKGROUND In addition to preventing hospitalizations and deaths due to influenza, influenza vaccination programs can reduce the burden of outpatient visits for influenza. We estimated the incidence of medically-attended influenza at three geographically diverse sites in the United States, and the cases averted by vaccination, for the 2013/14 through 2015/16 influenza seasons. METHODS We defined surveillance populations at three sites from the United States Influenza Vaccine Effectiveness Network. Among these populations, we identified outpatient visits laboratory-confirmed influenza via active surveillance, and identified all outpatient visits for acute respiratory illness from healthcare databases. We extrapolated the total number of outpatient visits for influenza from the proportion of surveillance visits with a positive influenza test. We combined estimates of incidence, vaccine coverage, and vaccine effectiveness to estimate outpatient visits averted by vaccination. RESULTS Across the three sites and seasons, incidence of medically attended influenza ranged from 14 to 54 per 1000 population. Incidence was highest in children aged 6\u202fmonths to 9\u202fyears (33 to 70 per 1000) and lowest in adults aged 18-49\u202fyears (21 to 27 per 1000). Cases averted ranged from 9 per 1000 vaccinees (Washington, 2014/15) to 28 per 1000 (Wisconsin, 2013/14). DISCUSSION Seasonal influenza epidemics cause a considerable burden of outpatient medical visits. The United States influenza vaccination program has caused meaningful reductions in outpatient visits for influenza, even in years when the vaccine is not well-matched to the dominant circulating influenza strain.", "author" : [ { "dropping-particle" : "", "family" : "Jackson", "given" : "Michael L.", "non-dropping-particle" : "", "parse-names" : false, "suffix" : "" }, { "dropping-particle" : "", "family" : "Phillips", "given" : "C. Hallie", "non-dropping-particle" : "", "parse-names" : false, "suffix" : "" }, { "dropping-particle" : "", "family" : "Benoit", "given" : "Joyce", "non-dropping-particle" : "", "parse-names" : false, "suffix" : "" }, { "dropping-particle" : "", "family" : "Jackson", "given" : "Lisa A.", "non-dropping-particle" : "", "parse-names" : false, "suffix" : "" }, { "dropping-particle" : "", "family" : "Gaglani", "given" : "Manjusha", "non-dropping-particle" : "", "parse-names" : false, "suffix" : "" }, { "dropping-particle" : "", "family" : "Murthy", "given" : "Kempapura", "non-dropping-particle" : "", "parse-names" : false, "suffix" : "" }, { "dropping-particle" : "", "family" : "McLean", "given" : "Huong Q.", "non-dropping-particle" : "", "parse-names" : false, "suffix" : "" }, { "dropping-particle" : "", "family" : "Belongia", "given" : "Edward A.", "non-dropping-particle" : "", "parse-names" : false, "suffix" : "" }, { "dropping-particle" : "", "family" : "Malosh", "given" : "Ryan", "non-dropping-particle" : "", "parse-names" : false, "suffix" : "" }, { "dropping-particle" : "", "family" : "Zimmerman", "given" : "Richard", "non-dropping-particle" : "", "parse-names" : false, "suffix" : "" }, { "dropping-particle" : "", "family" : "Flannery", "given" : "Brendan", "non-dropping-particle" : "", "parse-names" : false, "suffix" : "" } ], "container-title" : "Vaccine", "id" : "ITEM-1", "issued" : { "date-parts" : [ [ "2017", "12" ] ] }, "title" : "Burden of medically attended influenza infection and cases averted by vaccination \u2013 United States, 2013/14 through 2015/16 influenza seasons", "type" : "article-journal" }, "uris" : [ "http://www.mendeley.com/documents/?uuid=fb4fc6c3-855d-46ef-a12e-cd211fc7d968" ] } ], "mendeley" : { "formattedCitation" : "(2)", "plainTextFormattedCitation" : "(2)", "previouslyFormattedCitation" : "(2)" }, "properties" : { "noteIndex" : 1 }, "schema" : "https://github.com/citation-style-language/schema/raw/master/csl-citation.json" }</w:instrText>
      </w:r>
      <w:r w:rsidRPr="00FF008A">
        <w:rPr>
          <w:rFonts w:ascii="Times New Roman" w:eastAsia="Times New Roman" w:hAnsi="Times New Roman" w:cs="Times New Roman"/>
          <w:sz w:val="24"/>
          <w:szCs w:val="24"/>
        </w:rPr>
        <w:fldChar w:fldCharType="separate"/>
      </w:r>
      <w:r w:rsidRPr="00C76F90">
        <w:rPr>
          <w:rFonts w:ascii="Times New Roman" w:eastAsia="Times New Roman" w:hAnsi="Times New Roman" w:cs="Times New Roman"/>
          <w:noProof/>
          <w:sz w:val="24"/>
          <w:szCs w:val="24"/>
        </w:rPr>
        <w:t>(2)</w:t>
      </w:r>
      <w:r w:rsidRPr="00FF008A">
        <w:rPr>
          <w:rFonts w:ascii="Times New Roman" w:eastAsia="Times New Roman" w:hAnsi="Times New Roman" w:cs="Times New Roman"/>
          <w:sz w:val="24"/>
          <w:szCs w:val="24"/>
        </w:rPr>
        <w:fldChar w:fldCharType="end"/>
      </w:r>
      <w:r w:rsidRPr="00FF008A">
        <w:rPr>
          <w:rFonts w:ascii="Times New Roman" w:eastAsia="Times New Roman" w:hAnsi="Times New Roman" w:cs="Times New Roman"/>
          <w:sz w:val="24"/>
          <w:szCs w:val="24"/>
        </w:rPr>
        <w:t xml:space="preserve"> along with  ICD-9 codes that have been used previously to describe chronic medical conditions among CHS members. We will also use relevant International Classification of Primary Care (ICPC) codes</w:t>
      </w:r>
      <w:r>
        <w:rPr>
          <w:rFonts w:ascii="Times New Roman" w:eastAsia="Times New Roman" w:hAnsi="Times New Roman" w:cs="Times New Roman"/>
          <w:sz w:val="24"/>
          <w:szCs w:val="24"/>
        </w:rPr>
        <w:t xml:space="preserve"> </w:t>
      </w:r>
      <w:r w:rsidRPr="00FF008A">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"author" : [ { "dropping-particle" : "", "family" : "Wonca", "given" : "", "non-dropping-particle" : "", "parse-names" : false, "suffix" : "" } ], "id" : "ITEM-1", "issued" : { "date-parts" : [ [ "0" ] ] }, "title" : "ICPC-2 \u2013 EnglishInternational Classification ofPrimary Care \u2013 2nd EditionWonca InternationalClassification Committee(WICC)", "type" : "webpage" }, "uris" : [ "http://www.mendeley.com/documents/?uuid=774f46a3-cb32-4f40-b7a5-97ad2cce60b9" ] } ], "mendeley" : { "formattedCitation" : "(3)", "plainTextFormattedCitation" : "(3)", "previouslyFormattedCitation" : "(3)" }, "properties" : { "noteIndex" : 1 }, "schema" : "https://github.com/citation-style-language/schema/raw/master/csl-citation.json" }</w:instrText>
      </w:r>
      <w:r w:rsidRPr="00FF008A">
        <w:rPr>
          <w:rFonts w:ascii="Times New Roman" w:eastAsia="Times New Roman" w:hAnsi="Times New Roman" w:cs="Times New Roman"/>
          <w:sz w:val="24"/>
          <w:szCs w:val="24"/>
        </w:rPr>
        <w:fldChar w:fldCharType="separate"/>
      </w:r>
      <w:r w:rsidRPr="00C76F90">
        <w:rPr>
          <w:rFonts w:ascii="Times New Roman" w:eastAsia="Times New Roman" w:hAnsi="Times New Roman" w:cs="Times New Roman"/>
          <w:noProof/>
          <w:sz w:val="24"/>
          <w:szCs w:val="24"/>
        </w:rPr>
        <w:t>(3)</w:t>
      </w:r>
      <w:r w:rsidRPr="00FF008A">
        <w:rPr>
          <w:rFonts w:ascii="Times New Roman" w:eastAsia="Times New Roman" w:hAnsi="Times New Roman" w:cs="Times New Roman"/>
          <w:sz w:val="24"/>
          <w:szCs w:val="24"/>
        </w:rPr>
        <w:fldChar w:fldCharType="end"/>
      </w:r>
      <w:r w:rsidRPr="00FF008A">
        <w:rPr>
          <w:rFonts w:ascii="Times New Roman" w:eastAsia="Times New Roman" w:hAnsi="Times New Roman" w:cs="Times New Roman"/>
          <w:sz w:val="24"/>
          <w:szCs w:val="24"/>
        </w:rPr>
        <w:t xml:space="preserve">, which are used in CHS for outpatient visits exclusively, </w:t>
      </w:r>
      <w:r w:rsidRPr="00FF008A">
        <w:rPr>
          <w:rFonts w:ascii="Times New Roman" w:eastAsia="Times New Roman" w:hAnsi="Times New Roman" w:cs="Times New Roman"/>
          <w:sz w:val="24"/>
          <w:szCs w:val="24"/>
          <w:lang w:bidi="he-IL"/>
        </w:rPr>
        <w:t>and</w:t>
      </w:r>
      <w:r w:rsidRPr="00FF008A">
        <w:rPr>
          <w:rFonts w:ascii="Times New Roman" w:eastAsia="Times New Roman" w:hAnsi="Times New Roman" w:cs="Times New Roman"/>
          <w:sz w:val="24"/>
          <w:szCs w:val="24"/>
        </w:rPr>
        <w:t xml:space="preserve"> we will review free text diagnoses recorded by physicians during participants’ medical visits. ICD-9 codes, ICPC codes, and other data sources that will be used to determine chronic medical conditions are listed in Table 1. All chronic medical conditions will be extracted as of September 1 of the relevant study year.</w:t>
      </w:r>
      <w:r w:rsidR="008F7342">
        <w:rPr>
          <w:rFonts w:ascii="Times New Roman" w:eastAsia="Times New Roman" w:hAnsi="Times New Roman" w:cs="Times New Roman"/>
          <w:sz w:val="24"/>
          <w:szCs w:val="24"/>
        </w:rPr>
        <w:t xml:space="preserve"> A participant will be considered to have a specific medical condition if the specific chronic medical condition was reported during an inpatient or outpatient visits at least one time in the previous year. </w:t>
      </w:r>
    </w:p>
    <w:p w14:paraId="683104F7" w14:textId="6D031FB5" w:rsidR="00C94C59" w:rsidRPr="00FF008A" w:rsidRDefault="00C94C59" w:rsidP="00C94C59">
      <w:pPr>
        <w:shd w:val="clear" w:color="auto" w:fill="FFFFFF"/>
        <w:spacing w:line="480" w:lineRule="auto"/>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lastRenderedPageBreak/>
        <w:t xml:space="preserve">We also will identify chronic medical conditions recorded </w:t>
      </w:r>
      <w:r w:rsidR="008F7342">
        <w:rPr>
          <w:rFonts w:ascii="Times New Roman" w:eastAsia="Times New Roman" w:hAnsi="Times New Roman" w:cs="Times New Roman"/>
          <w:sz w:val="24"/>
          <w:szCs w:val="24"/>
        </w:rPr>
        <w:t xml:space="preserve">through other relevant databases and algorithms which include data that are not specific to previous year medical visits. For example, </w:t>
      </w:r>
      <w:r w:rsidRPr="00FF008A">
        <w:rPr>
          <w:rFonts w:ascii="Times New Roman" w:eastAsia="Times New Roman" w:hAnsi="Times New Roman" w:cs="Times New Roman"/>
          <w:sz w:val="24"/>
          <w:szCs w:val="24"/>
        </w:rPr>
        <w:t>CHS</w:t>
      </w:r>
      <w:r w:rsidR="008F7342">
        <w:rPr>
          <w:rFonts w:ascii="Times New Roman" w:eastAsia="Times New Roman" w:hAnsi="Times New Roman" w:cs="Times New Roman"/>
          <w:sz w:val="24"/>
          <w:szCs w:val="24"/>
        </w:rPr>
        <w:t xml:space="preserve"> has a number of</w:t>
      </w:r>
      <w:r w:rsidRPr="00FF008A">
        <w:rPr>
          <w:rFonts w:ascii="Times New Roman" w:eastAsia="Times New Roman" w:hAnsi="Times New Roman" w:cs="Times New Roman"/>
          <w:sz w:val="24"/>
          <w:szCs w:val="24"/>
        </w:rPr>
        <w:t xml:space="preserve"> chronic disease registr</w:t>
      </w:r>
      <w:r w:rsidR="008F7342">
        <w:rPr>
          <w:rFonts w:ascii="Times New Roman" w:eastAsia="Times New Roman" w:hAnsi="Times New Roman" w:cs="Times New Roman"/>
          <w:sz w:val="24"/>
          <w:szCs w:val="24"/>
        </w:rPr>
        <w:t>ies</w:t>
      </w:r>
      <w:r w:rsidRPr="00FF008A">
        <w:rPr>
          <w:rFonts w:ascii="Times New Roman" w:eastAsia="Times New Roman" w:hAnsi="Times New Roman" w:cs="Times New Roman"/>
          <w:sz w:val="24"/>
          <w:szCs w:val="24"/>
        </w:rPr>
        <w:t xml:space="preserve">, which compile patient data for a number of chronic diseases (See Table 1 for relevant diseases identified through the chronic disease registry). We will identify patients with diabetes through the use of a validated algorithm developed by the Clalit Research Institute that incorporates multiple clinical criteria </w:t>
      </w:r>
      <w:r w:rsidRPr="00FF008A">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"10.1186/s12963-014-0032-y", "ISBN" : "1478-7954 (Electronic)\\r1478-7954 (Linking)", "ISSN" : "1478-7954 (Electronic)", "PMID" : "25400512", "abstract" : "BACKGROUND: With increasing diabetes prevalence worldwide, an impending diabetes  \"pandemic\" has been reported. However, definitions of incident cases and the population at risk remain varied and ambiguous. This study analyzed trends in mortality and screening that contribute to diabetes prevalence and incidence, distinguishing between new incident cases and newly detected cases. METHODS: In an integrated provider-and-payer-system covering 53% of Israel's population, a composite diabetes case-finding algorithm was built using diagnoses, lab tests, and antidiabetic medication purchases from the organization's electronic medical record database. Data were extracted on adult members aged 26+ each year from January 1, 2004 through December 31, 2012. Rates of diabetes prevalence, incidence, screening, and mortality were reported, with incidence rates evaluated among the total, \"previously-screened,\" and \"previously-unscreened\" at-risk populations. RESULTS: There were 343,554 diabetes cases in 2012 (14.4%) out of 2,379,712 members aged 26+. A consistent but decelerating upward trend in diabetes prevalence was observed from 2004-2012. Annual mortality rates among diabetics decreased from 13.8/1000 to 10.7/1000 (p = 0.0002). Total population incidence rates declined from 13.3/1000 in 2006 to 10.8/1000 in 2012 (p &lt; 0.0001), with similar incidence trends (13.2/1000 to 10.2/1000; p = 0.0007) among previously-screened at-risk members, and a rise in testing rates from 53.0% to 66.7% (p = 0.0004). The previously-unscreened group decreased 28.6%, and the incidence rates within this group remained stable. CONCLUSIONS: The increase in diabetes prevalence is decelerating despite declining mortality and increasing testing rates. A decline in previously-screened incident cases and a shrinking pool of previously-unscreened members suggests that diabetes trends in Israel are moving toward equilibrium, rather than a growing epidemic.", "author" : [ { "dropping-particle" : "", "family" : "Karpati", "given" : "Tomas", "non-dropping-particle" : "", "parse-names" : false, "suffix" : "" }, { "dropping-particle" : "", "family" : "Cohen-Stavi", "given" : "Chandra J", "non-dropping-particle" : "", "parse-names" : false, "suffix" : "" }, { "dropping-particle" : "", "family" : "Leibowitz", "given" : "Morton", "non-dropping-particle" : "", "parse-names" : false, "suffix" : "" }, { "dropping-particle" : "", "family" : "Hoshen", "given" : "Moshe", "non-dropping-particle" : "", "parse-names" : false, "suffix" : "" }, { "dropping-particle" : "", "family" : "Feldman", "given" : "Becca S", "non-dropping-particle" : "", "parse-names" : false, "suffix" : "" }, { "dropping-particle" : "", "family" : "Balicer", "given" : "Ran D", "non-dropping-particle" : "", "parse-names" : false, "suffix" : "" } ], "container-title" : "Population health metrics", "id" : "ITEM-1", "issue" : "1", "issued" : { "date-parts" : [ [ "2014" ] ] }, "page" : "32", "title" : "Towards a subsiding diabetes epidemic: trends from a large population-based study in Israel.", "type" : "article-journal", "volume" : "12" }, "uris" : [ "http://www.mendeley.com/documents/?uuid=d411d4ff-182b-4700-8532-db8ead4c5bde" ] } ], "mendeley" : { "formattedCitation" : "(4)", "plainTextFormattedCitation" : "(4)", "previouslyFormattedCitation" : "(4)" }, "properties" : { "noteIndex" : 1 }, "schema" : "https://github.com/citation-style-language/schema/raw/master/csl-citation.json" }</w:instrText>
      </w:r>
      <w:r w:rsidRPr="00FF008A">
        <w:rPr>
          <w:rFonts w:ascii="Times New Roman" w:eastAsia="Times New Roman" w:hAnsi="Times New Roman" w:cs="Times New Roman"/>
          <w:sz w:val="24"/>
          <w:szCs w:val="24"/>
        </w:rPr>
        <w:fldChar w:fldCharType="separate"/>
      </w:r>
      <w:r w:rsidRPr="00C76F90">
        <w:rPr>
          <w:rFonts w:ascii="Times New Roman" w:eastAsia="Times New Roman" w:hAnsi="Times New Roman" w:cs="Times New Roman"/>
          <w:noProof/>
          <w:sz w:val="24"/>
          <w:szCs w:val="24"/>
        </w:rPr>
        <w:t>(4)</w:t>
      </w:r>
      <w:r w:rsidRPr="00FF008A">
        <w:rPr>
          <w:rFonts w:ascii="Times New Roman" w:eastAsia="Times New Roman" w:hAnsi="Times New Roman" w:cs="Times New Roman"/>
          <w:sz w:val="24"/>
          <w:szCs w:val="24"/>
        </w:rPr>
        <w:fldChar w:fldCharType="end"/>
      </w:r>
      <w:r w:rsidRPr="00FF008A">
        <w:rPr>
          <w:rFonts w:ascii="Times New Roman" w:eastAsia="Times New Roman" w:hAnsi="Times New Roman" w:cs="Times New Roman"/>
          <w:sz w:val="24"/>
          <w:szCs w:val="24"/>
        </w:rPr>
        <w:t>. For chronic kidney disease, we will use an internal algorithm that uses clinical and demographic data to identify patients who have chronic kidney disease according to the classification scheme outlined by the US National Kidney Foundation</w:t>
      </w:r>
      <w:r>
        <w:rPr>
          <w:rFonts w:ascii="Times New Roman" w:eastAsia="Times New Roman" w:hAnsi="Times New Roman" w:cs="Times New Roman"/>
          <w:sz w:val="24"/>
          <w:szCs w:val="24"/>
        </w:rPr>
        <w:t xml:space="preserve"> </w:t>
      </w:r>
      <w:r w:rsidRPr="00FF008A">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"ISSN" : "1539-3704", "PMID" : "12859163", "abstract" : "Chronic kidney disease is a worldwide public health problem with an increasing incidence and prevalence, poor outcomes, and high cost. Outcomes of chronic kidney disease include not only kidney failure but also complications of decreased kidney function and cardiovascular disease. Current evidence suggests that some of these adverse outcomes can be prevented or delayed by early detection and treatment. Unfortunately, chronic kidney disease is underdiagnosed and undertreated, in part as a result of lack of agreement on a definition and classification of its stages of progression. Recent clinical practice guidelines by the National Kidney Foundation 1) define chronic kidney disease and classify its stages, regardless of underlying cause, 2) evaluate laboratory measurements for the clinical assessment of kidney disease, 3) associate the level of kidney function with complications of chronic kidney disease, and 4) stratify the risk for loss of kidney function and development of cardiovascular disease. The guidelines were developed by using an approach based on the procedure outlined by the Agency for Healthcare Research and Quality. This paper presents the definition and five-stage classification system of chronic kidney disease and summarizes the major recommendations on early detection in adults. Recommendations include identifying persons at increased risk (those with diabetes, those with hypertension, those with a family history of chronic kidney disease, those older than 60 years of age, or those with U.S. racial or ethnic minority status), detecting kidney damage by measuring the albumin-creatinine ratio in untimed (\"spot\") urine specimens, and estimating the glomerular filtration rate from serum creatinine measurements by using prediction equations. Because of the high prevalence of early stages of chronic kidney disease in the general population (approximately 11% of adults), this information is particularly important for general internists and specialists.", "author" : [ { "dropping-particle" : "", "family" : "Levey", "given" : "Andrew S", "non-dropping-particle" : "", "parse-names" : false, "suffix" : "" }, { "dropping-particle" : "", "family" : "Coresh", "given" : "Josef", "non-dropping-particle" : "", "parse-names" : false, "suffix" : "" }, { "dropping-particle" : "", "family" : "Balk", "given" : "Ethan", "non-dropping-particle" : "", "parse-names" : false, "suffix" : "" }, { "dropping-particle" : "", "family" : "Kausz", "given" : "Annamaria T", "non-dropping-particle" : "", "parse-names" : false, "suffix" : "" }, { "dropping-particle" : "", "family" : "Levin", "given" : "Adeera", "non-dropping-particle" : "", "parse-names" : false, "suffix" : "" }, { "dropping-particle" : "", "family" : "Steffes", "given" : "Michael W", "non-dropping-particle" : "", "parse-names" : false, "suffix" : "" }, { "dropping-particle" : "", "family" : "Hogg", "given" : "Ronald J", "non-dropping-particle" : "", "parse-names" : false, "suffix" : "" }, { "dropping-particle" : "", "family" : "Perrone", "given" : "Ronald D", "non-dropping-particle" : "", "parse-names" : false, "suffix" : "" }, { "dropping-particle" : "", "family" : "Lau", "given" : "Joseph", "non-dropping-particle" : "", "parse-names" : false, "suffix" : "" }, { "dropping-particle" : "", "family" : "Eknoyan", "given" : "Garabed", "non-dropping-particle" : "", "parse-names" : false, "suffix" : "" }, { "dropping-particle" : "", "family" : "National Kidney Foundation", "given" : "", "non-dropping-particle" : "", "parse-names" : false, "suffix" : "" } ], "container-title" : "Annals of internal medicine", "id" : "ITEM-1", "issue" : "2", "issued" : { "date-parts" : [ [ "2003", "7" ] ] }, "page" : "137-47", "title" : "National Kidney Foundation practice guidelines for chronic kidney disease: evaluation, classification, and stratification.", "type" : "article-journal", "volume" : "139" }, "uris" : [ "http://www.mendeley.com/documents/?uuid=fa02b367-6d22-4534-a883-06067068af65" ] } ], "mendeley" : { "formattedCitation" : "(5)", "plainTextFormattedCitation" : "(5)", "previouslyFormattedCitation" : "(5)" }, "properties" : { "noteIndex" : 1 }, "schema" : "https://github.com/citation-style-language/schema/raw/master/csl-citation.json" }</w:instrText>
      </w:r>
      <w:r w:rsidRPr="00FF008A">
        <w:rPr>
          <w:rFonts w:ascii="Times New Roman" w:eastAsia="Times New Roman" w:hAnsi="Times New Roman" w:cs="Times New Roman"/>
          <w:sz w:val="24"/>
          <w:szCs w:val="24"/>
        </w:rPr>
        <w:fldChar w:fldCharType="separate"/>
      </w:r>
      <w:r w:rsidRPr="00C76F90">
        <w:rPr>
          <w:rFonts w:ascii="Times New Roman" w:eastAsia="Times New Roman" w:hAnsi="Times New Roman" w:cs="Times New Roman"/>
          <w:noProof/>
          <w:sz w:val="24"/>
          <w:szCs w:val="24"/>
        </w:rPr>
        <w:t>(5)</w:t>
      </w:r>
      <w:r w:rsidRPr="00FF008A">
        <w:rPr>
          <w:rFonts w:ascii="Times New Roman" w:eastAsia="Times New Roman" w:hAnsi="Times New Roman" w:cs="Times New Roman"/>
          <w:sz w:val="24"/>
          <w:szCs w:val="24"/>
        </w:rPr>
        <w:fldChar w:fldCharType="end"/>
      </w:r>
      <w:r w:rsidRPr="00FF008A">
        <w:rPr>
          <w:rFonts w:ascii="Times New Roman" w:eastAsia="Times New Roman" w:hAnsi="Times New Roman" w:cs="Times New Roman"/>
          <w:sz w:val="24"/>
          <w:szCs w:val="24"/>
        </w:rPr>
        <w:t xml:space="preserve">. Finally, we will </w:t>
      </w:r>
      <w:r>
        <w:rPr>
          <w:rFonts w:ascii="Times New Roman" w:eastAsia="Times New Roman" w:hAnsi="Times New Roman" w:cs="Times New Roman"/>
          <w:sz w:val="24"/>
          <w:szCs w:val="24"/>
        </w:rPr>
        <w:t xml:space="preserve">extract </w:t>
      </w:r>
      <w:r w:rsidRPr="00FF008A">
        <w:rPr>
          <w:rFonts w:ascii="Times New Roman" w:eastAsia="Times New Roman" w:hAnsi="Times New Roman" w:cs="Times New Roman"/>
          <w:sz w:val="24"/>
          <w:szCs w:val="24"/>
        </w:rPr>
        <w:t>cancer data from the Israel Ministry of Health National Cancer Registry that has been merged into the CHS EMRs.</w:t>
      </w:r>
    </w:p>
    <w:p w14:paraId="3B9872FD" w14:textId="77777777" w:rsidR="00C94C59" w:rsidRPr="00FF008A" w:rsidRDefault="00C94C59" w:rsidP="00C94C59">
      <w:pPr>
        <w:shd w:val="clear" w:color="auto" w:fill="FFFFFF"/>
        <w:spacing w:line="480" w:lineRule="auto"/>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 xml:space="preserve">In order to identify immunocompromised patients, we used an algorithm that was adapted from a recently published algorithm to identify immunocompromised patients as part of a study of Herpes Zoster infections in Kaiser Permanente members </w:t>
      </w:r>
      <w:r w:rsidRPr="00FF008A">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"10.1093/aje/kwx245", "ISSN" : "0002-9262", "author" : [ { "dropping-particle" : "", "family" : "Baxter", "given" : "Roger", "non-dropping-particle" : "", "parse-names" : false, "suffix" : "" }, { "dropping-particle" : "", "family" : "Bartlett", "given" : "Joan", "non-dropping-particle" : "", "parse-names" : false, "suffix" : "" }, { "dropping-particle" : "", "family" : "Fireman", "given" : "Bruce", "non-dropping-particle" : "", "parse-names" : false, "suffix" : "" }, { "dropping-particle" : "", "family" : "Marks", "given" : "Morgan", "non-dropping-particle" : "", "parse-names" : false, "suffix" : "" }, { "dropping-particle" : "", "family" : "Hansen", "given" : "John", "non-dropping-particle" : "", "parse-names" : false, "suffix" : "" }, { "dropping-particle" : "", "family" : "Lewis", "given" : "Edwin", "non-dropping-particle" : "", "parse-names" : false, "suffix" : "" }, { "dropping-particle" : "", "family" : "Aukes", "given" : "Laurie", "non-dropping-particle" : "", "parse-names" : false, "suffix" : "" }, { "dropping-particle" : "", "family" : "Chen", "given" : "Yong", "non-dropping-particle" : "", "parse-names" : false, "suffix" : "" }, { "dropping-particle" : "", "family" : "Klein", "given" : "Nicola P", "non-dropping-particle" : "", "parse-names" : false, "suffix" : "" }, { "dropping-particle" : "", "family" : "Saddier", "given" : "Patricia", "non-dropping-particle" : "", "parse-names" : false, "suffix" : "" } ], "container-title" : "American Journal of Epidemiology", "id" : "ITEM-1", "issued" : { "date-parts" : [ [ "2017", "6" ] ] }, "page" : "1-9", "title" : "Long-Term Effectiveness of the Live Zoster Vaccine in Preventing Shingles: A Cohort Study", "type" : "article-journal" }, "uris" : [ "http://www.mendeley.com/documents/?uuid=2a5a94cd-962c-4b93-8c75-4b4b74225858" ] } ], "mendeley" : { "formattedCitation" : "(6)", "plainTextFormattedCitation" : "(6)", "previouslyFormattedCitation" : "(6)" }, "properties" : { "noteIndex" : 1 }, "schema" : "https://github.com/citation-style-language/schema/raw/master/csl-citation.json" }</w:instrText>
      </w:r>
      <w:r w:rsidRPr="00FF008A">
        <w:rPr>
          <w:rFonts w:ascii="Times New Roman" w:eastAsia="Times New Roman" w:hAnsi="Times New Roman" w:cs="Times New Roman"/>
          <w:sz w:val="24"/>
          <w:szCs w:val="24"/>
        </w:rPr>
        <w:fldChar w:fldCharType="separate"/>
      </w:r>
      <w:r w:rsidRPr="00C76F90">
        <w:rPr>
          <w:rFonts w:ascii="Times New Roman" w:eastAsia="Times New Roman" w:hAnsi="Times New Roman" w:cs="Times New Roman"/>
          <w:noProof/>
          <w:sz w:val="24"/>
          <w:szCs w:val="24"/>
        </w:rPr>
        <w:t>(6)</w:t>
      </w:r>
      <w:r w:rsidRPr="00FF008A">
        <w:rPr>
          <w:rFonts w:ascii="Times New Roman" w:eastAsia="Times New Roman" w:hAnsi="Times New Roman" w:cs="Times New Roman"/>
          <w:sz w:val="24"/>
          <w:szCs w:val="24"/>
        </w:rPr>
        <w:fldChar w:fldCharType="end"/>
      </w:r>
      <w:r w:rsidRPr="00FF008A">
        <w:rPr>
          <w:rFonts w:ascii="Times New Roman" w:eastAsia="Times New Roman" w:hAnsi="Times New Roman" w:cs="Times New Roman"/>
          <w:sz w:val="24"/>
          <w:szCs w:val="24"/>
        </w:rPr>
        <w:t>.</w:t>
      </w:r>
      <w:r>
        <w:rPr>
          <w:rFonts w:ascii="Times New Roman" w:eastAsia="Times New Roman" w:hAnsi="Times New Roman" w:cs="Times New Roman"/>
          <w:sz w:val="24"/>
          <w:szCs w:val="24"/>
        </w:rPr>
        <w:t>W</w:t>
      </w:r>
      <w:r w:rsidRPr="00FF008A">
        <w:rPr>
          <w:rFonts w:ascii="Times New Roman" w:eastAsia="Times New Roman" w:hAnsi="Times New Roman" w:cs="Times New Roman"/>
          <w:sz w:val="24"/>
          <w:szCs w:val="24"/>
        </w:rPr>
        <w:t>e simplified the algorithm so that patients were simply dichotomized into “immunocompromised” or “non-immunocompromised.” The algorithm is explained in A</w:t>
      </w:r>
      <w:r>
        <w:rPr>
          <w:rFonts w:ascii="Times New Roman" w:eastAsia="Times New Roman" w:hAnsi="Times New Roman" w:cs="Times New Roman"/>
          <w:sz w:val="24"/>
          <w:szCs w:val="24"/>
        </w:rPr>
        <w:t>nne</w:t>
      </w:r>
      <w:r w:rsidRPr="00FF008A">
        <w:rPr>
          <w:rFonts w:ascii="Times New Roman" w:eastAsia="Times New Roman" w:hAnsi="Times New Roman" w:cs="Times New Roman"/>
          <w:sz w:val="24"/>
          <w:szCs w:val="24"/>
        </w:rPr>
        <w:t>x 2.</w:t>
      </w:r>
    </w:p>
    <w:p w14:paraId="62802608" w14:textId="77777777" w:rsidR="00C94C59" w:rsidRPr="00FF008A" w:rsidRDefault="00C94C59" w:rsidP="00C94C59">
      <w:pPr>
        <w:shd w:val="clear" w:color="auto" w:fill="FFFFFF"/>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Table 1. Data sources used for the identification of chronic medical conditions for the SHIRI study, Israel.</w:t>
      </w:r>
    </w:p>
    <w:tbl>
      <w:tblPr>
        <w:tblStyle w:val="a9"/>
        <w:tblW w:w="0" w:type="auto"/>
        <w:tblLook w:val="04A0" w:firstRow="1" w:lastRow="0" w:firstColumn="1" w:lastColumn="0" w:noHBand="0" w:noVBand="1"/>
      </w:tblPr>
      <w:tblGrid>
        <w:gridCol w:w="2336"/>
        <w:gridCol w:w="1952"/>
        <w:gridCol w:w="1952"/>
        <w:gridCol w:w="3336"/>
      </w:tblGrid>
      <w:tr w:rsidR="00C94C59" w14:paraId="66FA6464" w14:textId="77777777" w:rsidTr="00931884">
        <w:tc>
          <w:tcPr>
            <w:tcW w:w="2214" w:type="dxa"/>
          </w:tcPr>
          <w:p w14:paraId="693FDDBD"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Chronic Disease</w:t>
            </w:r>
          </w:p>
        </w:tc>
        <w:tc>
          <w:tcPr>
            <w:tcW w:w="2214" w:type="dxa"/>
          </w:tcPr>
          <w:p w14:paraId="522A9DE2"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Relevant ICD-9 codes</w:t>
            </w:r>
          </w:p>
        </w:tc>
        <w:tc>
          <w:tcPr>
            <w:tcW w:w="2214" w:type="dxa"/>
          </w:tcPr>
          <w:p w14:paraId="47F7DB77"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Relevant ICPC codes</w:t>
            </w:r>
          </w:p>
        </w:tc>
        <w:tc>
          <w:tcPr>
            <w:tcW w:w="2214" w:type="dxa"/>
          </w:tcPr>
          <w:p w14:paraId="0AAB4172"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Other data sources</w:t>
            </w:r>
          </w:p>
        </w:tc>
      </w:tr>
      <w:tr w:rsidR="00C94C59" w14:paraId="12FA7EF5" w14:textId="77777777" w:rsidTr="00931884">
        <w:tc>
          <w:tcPr>
            <w:tcW w:w="2214" w:type="dxa"/>
          </w:tcPr>
          <w:p w14:paraId="2EEA3016"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Hematologic Disorders</w:t>
            </w:r>
          </w:p>
        </w:tc>
        <w:tc>
          <w:tcPr>
            <w:tcW w:w="2214" w:type="dxa"/>
          </w:tcPr>
          <w:p w14:paraId="69439B13"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ICD-9 281-289</w:t>
            </w:r>
          </w:p>
        </w:tc>
        <w:tc>
          <w:tcPr>
            <w:tcW w:w="2214" w:type="dxa"/>
          </w:tcPr>
          <w:p w14:paraId="61A114FF"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B71, B81, B83, B78, B82</w:t>
            </w:r>
          </w:p>
        </w:tc>
        <w:tc>
          <w:tcPr>
            <w:tcW w:w="2214" w:type="dxa"/>
          </w:tcPr>
          <w:p w14:paraId="7BAF6675"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Chronic disease registry for pernicious anemia; hemophilia; thalassemia; sickle cell anemia; other hematologic disorders</w:t>
            </w:r>
          </w:p>
        </w:tc>
      </w:tr>
      <w:tr w:rsidR="00C94C59" w14:paraId="40AD3BF8" w14:textId="77777777" w:rsidTr="00931884">
        <w:tc>
          <w:tcPr>
            <w:tcW w:w="2214" w:type="dxa"/>
          </w:tcPr>
          <w:p w14:paraId="2EE53893"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Diabetes</w:t>
            </w:r>
          </w:p>
        </w:tc>
        <w:tc>
          <w:tcPr>
            <w:tcW w:w="2214" w:type="dxa"/>
          </w:tcPr>
          <w:p w14:paraId="2AB82264" w14:textId="77777777" w:rsidR="00C94C59" w:rsidRPr="00FF008A" w:rsidRDefault="00C94C59" w:rsidP="00931884">
            <w:pPr>
              <w:rPr>
                <w:rFonts w:ascii="Times New Roman" w:eastAsia="Times New Roman" w:hAnsi="Times New Roman" w:cs="Times New Roman"/>
                <w:sz w:val="24"/>
                <w:szCs w:val="24"/>
              </w:rPr>
            </w:pPr>
          </w:p>
        </w:tc>
        <w:tc>
          <w:tcPr>
            <w:tcW w:w="2214" w:type="dxa"/>
          </w:tcPr>
          <w:p w14:paraId="750C18A3" w14:textId="77777777" w:rsidR="00C94C59" w:rsidRPr="00FF008A" w:rsidRDefault="00C94C59" w:rsidP="00931884">
            <w:pPr>
              <w:rPr>
                <w:rFonts w:ascii="Times New Roman" w:eastAsia="Times New Roman" w:hAnsi="Times New Roman" w:cs="Times New Roman"/>
                <w:sz w:val="24"/>
                <w:szCs w:val="24"/>
              </w:rPr>
            </w:pPr>
          </w:p>
        </w:tc>
        <w:tc>
          <w:tcPr>
            <w:tcW w:w="2214" w:type="dxa"/>
          </w:tcPr>
          <w:p w14:paraId="6C1A1BE6"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 xml:space="preserve">CRI algorithm </w:t>
            </w:r>
            <w:r w:rsidRPr="00FF008A">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"10.1186/s12963-014-0032-y", "ISBN" : "1478-7954 (Electronic)\\r1478-7954 (Linking)", "ISSN" : "1478-7954 (Electronic)", "PMID" : "25400512", "abstract" : "BACKGROUND: With increasing diabetes prevalence worldwide, an impending diabetes  \"pandemic\" has been reported. However, definitions of incident cases and the population at risk remain varied and ambiguous. This study analyzed trends in mortality and screening that contribute to diabetes prevalence and incidence, distinguishing between new incident cases and newly detected cases. METHODS: In an integrated provider-and-payer-system covering 53% of Israel's population, a composite diabetes case-finding algorithm was built using diagnoses, lab tests, and antidiabetic medication purchases from the organization's electronic medical record database. Data were extracted on adult members aged 26+ each year from January 1, 2004 through December 31, 2012. Rates of diabetes prevalence, incidence, screening, and mortality were reported, with incidence rates evaluated among the total, \"previously-screened,\" and \"previously-unscreened\" at-risk populations. RESULTS: There were 343,554 diabetes cases in 2012 (14.4%) out of 2,379,712 members aged 26+. A consistent but decelerating upward trend in diabetes prevalence was observed from 2004-2012. Annual mortality rates among diabetics decreased from 13.8/1000 to 10.7/1000 (p = 0.0002). Total population incidence rates declined from 13.3/1000 in 2006 to 10.8/1000 in 2012 (p &lt; 0.0001), with similar incidence trends (13.2/1000 to 10.2/1000; p = 0.0007) among previously-screened at-risk members, and a rise in testing rates from 53.0% to 66.7% (p = 0.0004). The previously-unscreened group decreased 28.6%, and the incidence rates within this group remained stable. CONCLUSIONS: The increase in diabetes prevalence is decelerating despite declining mortality and increasing testing rates. A decline in previously-screened incident cases and a shrinking pool of previously-unscreened members suggests that diabetes trends in Israel are moving toward equilibrium, rather than a growing epidemic.", "author" : [ { "dropping-particle" : "", "family" : "Karpati", "given" : "Tomas", "non-dropping-particle" : "", "parse-names" : false, "suffix" : "" }, { "dropping-particle" : "", "family" : "Cohen-Stavi", "given" : "Chandra J", "non-dropping-particle" : "", "parse-names" : false, "suffix" : "" }, { "dropping-particle" : "", "family" : "Leibowitz", "given" : "Morton", "non-dropping-particle" : "", "parse-names" : false, "suffix" : "" }, { "dropping-particle" : "", "family" : "Hoshen", "given" : "Moshe", "non-dropping-particle" : "", "parse-names" : false, "suffix" : "" }, { "dropping-particle" : "", "family" : "Feldman", "given" : "Becca S", "non-dropping-particle" : "", "parse-names" : false, "suffix" : "" }, { "dropping-particle" : "", "family" : "Balicer", "given" : "Ran D", "non-dropping-particle" : "", "parse-names" : false, "suffix" : "" } ], "container-title" : "Population health metrics", "id" : "ITEM-1", "issue" : "1", "issued" : { "date-parts" : [ [ "2014" ] ] }, "page" : "32", "title" : "Towards a subsiding diabetes epidemic: trends from a large population-based study in Israel.", "type" : "article-journal", "volume" : "12" }, "uris" : [ "http://www.mendeley.com/documents/?uuid=d411d4ff-182b-4700-8532-db8ead4c5bde" ] } ], "mendeley" : { "formattedCitation" : "(4)", "plainTextFormattedCitation" : "(4)", "previouslyFormattedCitation" : "(4)" }, "properties" : { "noteIndex" : 1 }, "schema" : "https://github.com/citation-style-language/schema/raw/master/csl-citation.json" }</w:instrText>
            </w:r>
            <w:r w:rsidRPr="00FF008A">
              <w:rPr>
                <w:rFonts w:ascii="Times New Roman" w:eastAsia="Times New Roman" w:hAnsi="Times New Roman" w:cs="Times New Roman"/>
                <w:sz w:val="24"/>
                <w:szCs w:val="24"/>
              </w:rPr>
              <w:fldChar w:fldCharType="separate"/>
            </w:r>
            <w:r w:rsidRPr="00C76F90">
              <w:rPr>
                <w:rFonts w:ascii="Times New Roman" w:eastAsia="Times New Roman" w:hAnsi="Times New Roman" w:cs="Times New Roman"/>
                <w:noProof/>
                <w:sz w:val="24"/>
                <w:szCs w:val="24"/>
              </w:rPr>
              <w:t>(4)</w:t>
            </w:r>
            <w:r w:rsidRPr="00FF008A">
              <w:rPr>
                <w:rFonts w:ascii="Times New Roman" w:eastAsia="Times New Roman" w:hAnsi="Times New Roman" w:cs="Times New Roman"/>
                <w:sz w:val="24"/>
                <w:szCs w:val="24"/>
              </w:rPr>
              <w:fldChar w:fldCharType="end"/>
            </w:r>
          </w:p>
        </w:tc>
      </w:tr>
      <w:tr w:rsidR="00C94C59" w14:paraId="24B42373" w14:textId="77777777" w:rsidTr="00931884">
        <w:tc>
          <w:tcPr>
            <w:tcW w:w="2214" w:type="dxa"/>
          </w:tcPr>
          <w:p w14:paraId="50E264D8"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 xml:space="preserve">Chronic cardiovascular </w:t>
            </w:r>
            <w:r w:rsidRPr="00FF008A">
              <w:rPr>
                <w:rFonts w:ascii="Times New Roman" w:eastAsia="Times New Roman" w:hAnsi="Times New Roman" w:cs="Times New Roman"/>
                <w:sz w:val="24"/>
                <w:szCs w:val="24"/>
              </w:rPr>
              <w:lastRenderedPageBreak/>
              <w:t>disease</w:t>
            </w:r>
          </w:p>
        </w:tc>
        <w:tc>
          <w:tcPr>
            <w:tcW w:w="2214" w:type="dxa"/>
          </w:tcPr>
          <w:p w14:paraId="1843A4D0"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lastRenderedPageBreak/>
              <w:t xml:space="preserve">250.7, 391, 394, 395, 396, 397, 398, 410-414, </w:t>
            </w:r>
            <w:r w:rsidRPr="00FF008A">
              <w:rPr>
                <w:rFonts w:ascii="Times New Roman" w:eastAsia="Times New Roman" w:hAnsi="Times New Roman" w:cs="Times New Roman"/>
                <w:sz w:val="24"/>
                <w:szCs w:val="24"/>
              </w:rPr>
              <w:lastRenderedPageBreak/>
              <w:t>424.0, 424.1, 427.3, 427.31, 427.32, 428, 430-438, 440, 442, 444.2, 445.0, 746, I25.5, I42, I50, I60.0-9, G45.9</w:t>
            </w:r>
          </w:p>
        </w:tc>
        <w:tc>
          <w:tcPr>
            <w:tcW w:w="2214" w:type="dxa"/>
          </w:tcPr>
          <w:p w14:paraId="76167A14"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lastRenderedPageBreak/>
              <w:t xml:space="preserve">K71, K75, K76, K78, K92, K90, </w:t>
            </w:r>
            <w:r w:rsidRPr="00FF008A">
              <w:rPr>
                <w:rFonts w:ascii="Times New Roman" w:eastAsia="Times New Roman" w:hAnsi="Times New Roman" w:cs="Times New Roman"/>
                <w:sz w:val="24"/>
                <w:szCs w:val="24"/>
              </w:rPr>
              <w:lastRenderedPageBreak/>
              <w:t>K83</w:t>
            </w:r>
          </w:p>
        </w:tc>
        <w:tc>
          <w:tcPr>
            <w:tcW w:w="2214" w:type="dxa"/>
          </w:tcPr>
          <w:p w14:paraId="57564C26"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lastRenderedPageBreak/>
              <w:t xml:space="preserve">Chronic disease registries for status/post stroke; cardiac arrhythmia; ischemic heart </w:t>
            </w:r>
            <w:r w:rsidRPr="00FF008A">
              <w:rPr>
                <w:rFonts w:ascii="Times New Roman" w:eastAsia="Times New Roman" w:hAnsi="Times New Roman" w:cs="Times New Roman"/>
                <w:sz w:val="24"/>
                <w:szCs w:val="24"/>
              </w:rPr>
              <w:lastRenderedPageBreak/>
              <w:t>disease; valvular heart disease (except mitral valve prolapse); congestive heart failure</w:t>
            </w:r>
          </w:p>
        </w:tc>
      </w:tr>
      <w:tr w:rsidR="00C94C59" w14:paraId="26093213" w14:textId="77777777" w:rsidTr="00931884">
        <w:tc>
          <w:tcPr>
            <w:tcW w:w="2214" w:type="dxa"/>
          </w:tcPr>
          <w:p w14:paraId="2DC0BDDB"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lastRenderedPageBreak/>
              <w:t>Cancer</w:t>
            </w:r>
          </w:p>
        </w:tc>
        <w:tc>
          <w:tcPr>
            <w:tcW w:w="2214" w:type="dxa"/>
          </w:tcPr>
          <w:p w14:paraId="5640548C" w14:textId="77777777" w:rsidR="00C94C59" w:rsidRPr="00FF008A" w:rsidRDefault="00C94C59" w:rsidP="00931884">
            <w:pPr>
              <w:rPr>
                <w:rFonts w:ascii="Times New Roman" w:eastAsia="Times New Roman" w:hAnsi="Times New Roman" w:cs="Times New Roman"/>
                <w:sz w:val="24"/>
                <w:szCs w:val="24"/>
              </w:rPr>
            </w:pPr>
          </w:p>
        </w:tc>
        <w:tc>
          <w:tcPr>
            <w:tcW w:w="2214" w:type="dxa"/>
          </w:tcPr>
          <w:p w14:paraId="7CF85E77" w14:textId="77777777" w:rsidR="00C94C59" w:rsidRPr="00FF008A" w:rsidRDefault="00C94C59" w:rsidP="00931884">
            <w:pPr>
              <w:rPr>
                <w:rFonts w:ascii="Times New Roman" w:eastAsia="Times New Roman" w:hAnsi="Times New Roman" w:cs="Times New Roman"/>
                <w:sz w:val="24"/>
                <w:szCs w:val="24"/>
              </w:rPr>
            </w:pPr>
          </w:p>
        </w:tc>
        <w:tc>
          <w:tcPr>
            <w:tcW w:w="2214" w:type="dxa"/>
          </w:tcPr>
          <w:p w14:paraId="5F4CF2BD"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Israel Ministry of Health Cancer Registry</w:t>
            </w:r>
          </w:p>
        </w:tc>
      </w:tr>
      <w:tr w:rsidR="00C94C59" w14:paraId="1E4BF727" w14:textId="77777777" w:rsidTr="00931884">
        <w:tc>
          <w:tcPr>
            <w:tcW w:w="2214" w:type="dxa"/>
          </w:tcPr>
          <w:p w14:paraId="49D2CE94"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Chronic Kidney Disease</w:t>
            </w:r>
          </w:p>
        </w:tc>
        <w:tc>
          <w:tcPr>
            <w:tcW w:w="2214" w:type="dxa"/>
          </w:tcPr>
          <w:p w14:paraId="374BEF24" w14:textId="77777777" w:rsidR="00C94C59" w:rsidRPr="00FF008A" w:rsidRDefault="00C94C59" w:rsidP="00931884">
            <w:pPr>
              <w:rPr>
                <w:rFonts w:ascii="Times New Roman" w:eastAsia="Times New Roman" w:hAnsi="Times New Roman" w:cs="Times New Roman"/>
                <w:sz w:val="24"/>
                <w:szCs w:val="24"/>
              </w:rPr>
            </w:pPr>
          </w:p>
        </w:tc>
        <w:tc>
          <w:tcPr>
            <w:tcW w:w="2214" w:type="dxa"/>
          </w:tcPr>
          <w:p w14:paraId="7721F6B7" w14:textId="77777777" w:rsidR="00C94C59" w:rsidRPr="00FF008A" w:rsidRDefault="00C94C59" w:rsidP="00931884">
            <w:pPr>
              <w:rPr>
                <w:rFonts w:ascii="Times New Roman" w:eastAsia="Times New Roman" w:hAnsi="Times New Roman" w:cs="Times New Roman"/>
                <w:sz w:val="24"/>
                <w:szCs w:val="24"/>
              </w:rPr>
            </w:pPr>
          </w:p>
        </w:tc>
        <w:tc>
          <w:tcPr>
            <w:tcW w:w="2214" w:type="dxa"/>
          </w:tcPr>
          <w:p w14:paraId="6D02C4FC"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CRI algorithm for chronic kidney disease, based on laboratory and demographic data</w:t>
            </w:r>
          </w:p>
        </w:tc>
      </w:tr>
      <w:tr w:rsidR="00C94C59" w14:paraId="1B9011E0" w14:textId="77777777" w:rsidTr="00931884">
        <w:tc>
          <w:tcPr>
            <w:tcW w:w="2214" w:type="dxa"/>
          </w:tcPr>
          <w:p w14:paraId="63555388"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Liver Disease</w:t>
            </w:r>
          </w:p>
        </w:tc>
        <w:tc>
          <w:tcPr>
            <w:tcW w:w="2214" w:type="dxa"/>
          </w:tcPr>
          <w:p w14:paraId="5B72635E"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571, 572</w:t>
            </w:r>
          </w:p>
        </w:tc>
        <w:tc>
          <w:tcPr>
            <w:tcW w:w="2214" w:type="dxa"/>
          </w:tcPr>
          <w:p w14:paraId="4E5AFA9E"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D97</w:t>
            </w:r>
          </w:p>
        </w:tc>
        <w:tc>
          <w:tcPr>
            <w:tcW w:w="2214" w:type="dxa"/>
          </w:tcPr>
          <w:p w14:paraId="134D67B4"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Chronic disease registry for cirrhosis, other liver disease</w:t>
            </w:r>
          </w:p>
        </w:tc>
      </w:tr>
      <w:tr w:rsidR="00C94C59" w14:paraId="2BF16946" w14:textId="77777777" w:rsidTr="00931884">
        <w:tc>
          <w:tcPr>
            <w:tcW w:w="2214" w:type="dxa"/>
          </w:tcPr>
          <w:p w14:paraId="010A7BAC"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Gastrointestinal Disease</w:t>
            </w:r>
          </w:p>
        </w:tc>
        <w:tc>
          <w:tcPr>
            <w:tcW w:w="2214" w:type="dxa"/>
          </w:tcPr>
          <w:p w14:paraId="0A3718EE"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530, 531, 532, 533, 544, 555, 556, 579.0</w:t>
            </w:r>
          </w:p>
        </w:tc>
        <w:tc>
          <w:tcPr>
            <w:tcW w:w="2214" w:type="dxa"/>
          </w:tcPr>
          <w:p w14:paraId="7EC412B6"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 xml:space="preserve">D86, D94, </w:t>
            </w:r>
          </w:p>
        </w:tc>
        <w:tc>
          <w:tcPr>
            <w:tcW w:w="2214" w:type="dxa"/>
          </w:tcPr>
          <w:p w14:paraId="430EDAEC"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 xml:space="preserve">Chronic disease registry for peptic ulcer disease; celiac disease; ulcerative colitis; </w:t>
            </w:r>
            <w:proofErr w:type="spellStart"/>
            <w:r w:rsidRPr="00FF008A">
              <w:rPr>
                <w:rFonts w:ascii="Times New Roman" w:eastAsia="Times New Roman" w:hAnsi="Times New Roman" w:cs="Times New Roman"/>
                <w:sz w:val="24"/>
                <w:szCs w:val="24"/>
              </w:rPr>
              <w:t>crohn’s</w:t>
            </w:r>
            <w:proofErr w:type="spellEnd"/>
            <w:r w:rsidRPr="00FF008A">
              <w:rPr>
                <w:rFonts w:ascii="Times New Roman" w:eastAsia="Times New Roman" w:hAnsi="Times New Roman" w:cs="Times New Roman"/>
                <w:sz w:val="24"/>
                <w:szCs w:val="24"/>
              </w:rPr>
              <w:t xml:space="preserve"> disease; </w:t>
            </w:r>
            <w:proofErr w:type="spellStart"/>
            <w:r w:rsidRPr="00FF008A">
              <w:rPr>
                <w:rFonts w:ascii="Times New Roman" w:eastAsia="Times New Roman" w:hAnsi="Times New Roman" w:cs="Times New Roman"/>
                <w:sz w:val="24"/>
                <w:szCs w:val="24"/>
              </w:rPr>
              <w:t>Refluex</w:t>
            </w:r>
            <w:proofErr w:type="spellEnd"/>
            <w:r w:rsidRPr="00FF008A">
              <w:rPr>
                <w:rFonts w:ascii="Times New Roman" w:eastAsia="Times New Roman" w:hAnsi="Times New Roman" w:cs="Times New Roman"/>
                <w:sz w:val="24"/>
                <w:szCs w:val="24"/>
              </w:rPr>
              <w:t xml:space="preserve"> Esophagitis/Gastritis/</w:t>
            </w:r>
            <w:proofErr w:type="spellStart"/>
            <w:r w:rsidRPr="00FF008A">
              <w:rPr>
                <w:rFonts w:ascii="Times New Roman" w:eastAsia="Times New Roman" w:hAnsi="Times New Roman" w:cs="Times New Roman"/>
                <w:sz w:val="24"/>
                <w:szCs w:val="24"/>
              </w:rPr>
              <w:t>Duodenitis</w:t>
            </w:r>
            <w:proofErr w:type="spellEnd"/>
          </w:p>
        </w:tc>
      </w:tr>
      <w:tr w:rsidR="00C94C59" w14:paraId="48B39A78" w14:textId="77777777" w:rsidTr="00931884">
        <w:tc>
          <w:tcPr>
            <w:tcW w:w="2214" w:type="dxa"/>
          </w:tcPr>
          <w:p w14:paraId="67607E97"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Chronic Pulmonary Disease</w:t>
            </w:r>
          </w:p>
        </w:tc>
        <w:tc>
          <w:tcPr>
            <w:tcW w:w="2214" w:type="dxa"/>
          </w:tcPr>
          <w:p w14:paraId="7BE550BA"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11, 12, 13, 135, 277.0, 491.2, 492, 493,494, 495, 496, 500, 501, 502, 503, 504, 505, 506, 508, 514, 515, 516, 517, 518, 519, 748</w:t>
            </w:r>
          </w:p>
        </w:tc>
        <w:tc>
          <w:tcPr>
            <w:tcW w:w="2214" w:type="dxa"/>
          </w:tcPr>
          <w:p w14:paraId="2756E2A9"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R70, R95</w:t>
            </w:r>
          </w:p>
        </w:tc>
        <w:tc>
          <w:tcPr>
            <w:tcW w:w="2214" w:type="dxa"/>
          </w:tcPr>
          <w:p w14:paraId="4B42473C"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Chronic Disease Registries for COPD and asthma</w:t>
            </w:r>
          </w:p>
        </w:tc>
      </w:tr>
      <w:tr w:rsidR="00C94C59" w14:paraId="3158BD1B" w14:textId="77777777" w:rsidTr="00931884">
        <w:tc>
          <w:tcPr>
            <w:tcW w:w="2214" w:type="dxa"/>
          </w:tcPr>
          <w:p w14:paraId="2D39C6FC"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 xml:space="preserve">Metabolic, Nutritional and </w:t>
            </w:r>
            <w:proofErr w:type="spellStart"/>
            <w:r w:rsidRPr="00FF008A">
              <w:rPr>
                <w:rFonts w:ascii="Times New Roman" w:eastAsia="Times New Roman" w:hAnsi="Times New Roman" w:cs="Times New Roman"/>
                <w:sz w:val="24"/>
                <w:szCs w:val="24"/>
              </w:rPr>
              <w:t>Endocrinologic</w:t>
            </w:r>
            <w:proofErr w:type="spellEnd"/>
            <w:r w:rsidRPr="00FF008A">
              <w:rPr>
                <w:rFonts w:ascii="Times New Roman" w:eastAsia="Times New Roman" w:hAnsi="Times New Roman" w:cs="Times New Roman"/>
                <w:sz w:val="24"/>
                <w:szCs w:val="24"/>
              </w:rPr>
              <w:t xml:space="preserve"> (excluding Diabetes)</w:t>
            </w:r>
          </w:p>
        </w:tc>
        <w:tc>
          <w:tcPr>
            <w:tcW w:w="2214" w:type="dxa"/>
          </w:tcPr>
          <w:p w14:paraId="1C937FC6"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240, 241, 242, 243, 244, 245, 246, 252.0, 253, 254, 255, 260, 261, 262, 263, 264, 265, 266, 267, 268, 269, 270, 271, 273, 274, 275, 277.1-9</w:t>
            </w:r>
          </w:p>
        </w:tc>
        <w:tc>
          <w:tcPr>
            <w:tcW w:w="2214" w:type="dxa"/>
          </w:tcPr>
          <w:p w14:paraId="61999AAE"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T81, T85, T86, T91</w:t>
            </w:r>
          </w:p>
        </w:tc>
        <w:tc>
          <w:tcPr>
            <w:tcW w:w="2214" w:type="dxa"/>
          </w:tcPr>
          <w:p w14:paraId="5CCFF78D"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 xml:space="preserve">Chronic Disease Registry for hyperthyroidism, hypothyroidism, hypo/hyperparathyroidism, acromegaly, Cushing’s Disease, </w:t>
            </w:r>
          </w:p>
        </w:tc>
      </w:tr>
      <w:tr w:rsidR="00C94C59" w14:paraId="169CD307" w14:textId="77777777" w:rsidTr="00931884">
        <w:tc>
          <w:tcPr>
            <w:tcW w:w="2214" w:type="dxa"/>
          </w:tcPr>
          <w:p w14:paraId="345B8954"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lastRenderedPageBreak/>
              <w:t xml:space="preserve">Neuromuscular </w:t>
            </w:r>
          </w:p>
        </w:tc>
        <w:tc>
          <w:tcPr>
            <w:tcW w:w="2214" w:type="dxa"/>
          </w:tcPr>
          <w:p w14:paraId="36B03129"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013, 046, 137.1, 290, 294, 331, 310, 318, 330, 331, 332, 333, 334, 335, 336, 337, 340, 345, 348, 349, 358, 359, 392, 430, 431, 432, 436, 437, 438, 728, 756, 780.3, 780.72, 907.2, 996.2, 996.75</w:t>
            </w:r>
          </w:p>
        </w:tc>
        <w:tc>
          <w:tcPr>
            <w:tcW w:w="2214" w:type="dxa"/>
          </w:tcPr>
          <w:p w14:paraId="205ABCFA"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N88</w:t>
            </w:r>
          </w:p>
        </w:tc>
        <w:tc>
          <w:tcPr>
            <w:tcW w:w="2214" w:type="dxa"/>
          </w:tcPr>
          <w:p w14:paraId="54107672"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 xml:space="preserve">Chronic Disease Registry for Parkinson’s Disease, Cerebral Palsy, Multiple Sclerosis, </w:t>
            </w:r>
            <w:proofErr w:type="spellStart"/>
            <w:r w:rsidRPr="00FF008A">
              <w:rPr>
                <w:rFonts w:ascii="Times New Roman" w:eastAsia="Times New Roman" w:hAnsi="Times New Roman" w:cs="Times New Roman"/>
                <w:sz w:val="24"/>
                <w:szCs w:val="24"/>
              </w:rPr>
              <w:t>Myesthenia</w:t>
            </w:r>
            <w:proofErr w:type="spellEnd"/>
            <w:r w:rsidRPr="00FF008A">
              <w:rPr>
                <w:rFonts w:ascii="Times New Roman" w:eastAsia="Times New Roman" w:hAnsi="Times New Roman" w:cs="Times New Roman"/>
                <w:sz w:val="24"/>
                <w:szCs w:val="24"/>
              </w:rPr>
              <w:t xml:space="preserve"> Gravis, Muscular Dystrophy</w:t>
            </w:r>
          </w:p>
        </w:tc>
      </w:tr>
      <w:tr w:rsidR="00C94C59" w14:paraId="3D34B5EC" w14:textId="77777777" w:rsidTr="00931884">
        <w:tc>
          <w:tcPr>
            <w:tcW w:w="2214" w:type="dxa"/>
          </w:tcPr>
          <w:p w14:paraId="19585E54"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Immunocompromised</w:t>
            </w:r>
          </w:p>
        </w:tc>
        <w:tc>
          <w:tcPr>
            <w:tcW w:w="2214" w:type="dxa"/>
          </w:tcPr>
          <w:p w14:paraId="6E278B7D" w14:textId="77777777" w:rsidR="00C94C59" w:rsidRPr="00FF008A" w:rsidRDefault="00C94C59" w:rsidP="00931884">
            <w:pPr>
              <w:rPr>
                <w:rFonts w:ascii="Times New Roman" w:eastAsia="Times New Roman" w:hAnsi="Times New Roman" w:cs="Times New Roman"/>
                <w:sz w:val="24"/>
                <w:szCs w:val="24"/>
              </w:rPr>
            </w:pPr>
          </w:p>
        </w:tc>
        <w:tc>
          <w:tcPr>
            <w:tcW w:w="2214" w:type="dxa"/>
          </w:tcPr>
          <w:p w14:paraId="7E1F257B" w14:textId="77777777" w:rsidR="00C94C59" w:rsidRPr="00FF008A" w:rsidRDefault="00C94C59" w:rsidP="00931884">
            <w:pPr>
              <w:rPr>
                <w:rFonts w:ascii="Times New Roman" w:eastAsia="Times New Roman" w:hAnsi="Times New Roman" w:cs="Times New Roman"/>
                <w:sz w:val="24"/>
                <w:szCs w:val="24"/>
              </w:rPr>
            </w:pPr>
          </w:p>
        </w:tc>
        <w:tc>
          <w:tcPr>
            <w:tcW w:w="2214" w:type="dxa"/>
          </w:tcPr>
          <w:p w14:paraId="0BEDCF41" w14:textId="77777777" w:rsidR="00C94C59" w:rsidRPr="00FF008A" w:rsidRDefault="00C94C59" w:rsidP="00931884">
            <w:pP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See A</w:t>
            </w:r>
            <w:r>
              <w:rPr>
                <w:rFonts w:ascii="Times New Roman" w:eastAsia="Times New Roman" w:hAnsi="Times New Roman" w:cs="Times New Roman"/>
                <w:sz w:val="24"/>
                <w:szCs w:val="24"/>
              </w:rPr>
              <w:t>nne</w:t>
            </w:r>
            <w:r w:rsidRPr="00FF008A">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2</w:t>
            </w:r>
          </w:p>
        </w:tc>
      </w:tr>
    </w:tbl>
    <w:p w14:paraId="2A33F940" w14:textId="77777777" w:rsidR="00C94C59" w:rsidRPr="00BA7CA5" w:rsidRDefault="00C94C59" w:rsidP="00C94C59">
      <w:pPr>
        <w:shd w:val="clear" w:color="auto" w:fill="FFFFFF"/>
        <w:rPr>
          <w:rFonts w:ascii="Times New Roman" w:eastAsia="Times New Roman" w:hAnsi="Times New Roman" w:cs="Times New Roman"/>
        </w:rPr>
      </w:pPr>
    </w:p>
    <w:p w14:paraId="26EDCFE9" w14:textId="77777777" w:rsidR="00C94C59" w:rsidRPr="0083497E" w:rsidRDefault="00C94C59" w:rsidP="00C94C59">
      <w:pPr>
        <w:spacing w:line="360" w:lineRule="auto"/>
        <w:ind w:right="44"/>
        <w:contextualSpacing/>
        <w:rPr>
          <w:rFonts w:ascii="Times New Roman" w:hAnsi="Times New Roman" w:cs="Times New Roman"/>
          <w:b/>
          <w:bCs/>
          <w:sz w:val="24"/>
          <w:szCs w:val="24"/>
        </w:rPr>
      </w:pPr>
      <w:r w:rsidRPr="0083497E">
        <w:rPr>
          <w:rFonts w:ascii="Times New Roman" w:eastAsia="Times New Roman" w:hAnsi="Times New Roman" w:cs="Times New Roman"/>
          <w:b/>
          <w:bCs/>
          <w:sz w:val="24"/>
          <w:szCs w:val="24"/>
        </w:rPr>
        <w:t xml:space="preserve">Annex 2.  Determining Immunocompromised Status </w:t>
      </w:r>
      <w:r w:rsidRPr="0083497E">
        <w:rPr>
          <w:rFonts w:ascii="Times New Roman" w:hAnsi="Times New Roman" w:cs="Times New Roman"/>
          <w:b/>
          <w:bCs/>
          <w:sz w:val="24"/>
          <w:szCs w:val="24"/>
        </w:rPr>
        <w:t>(Adapted from algorithm published in Baxter et al.</w:t>
      </w:r>
      <w:r w:rsidRPr="0083497E">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 "citationItems" : [ { "id" : "ITEM-1", "itemData" : { "DOI" : "10.1093/aje/kwx245", "ISSN" : "0002-9262", "author" : [ { "dropping-particle" : "", "family" : "Baxter", "given" : "Roger", "non-dropping-particle" : "", "parse-names" : false, "suffix" : "" }, { "dropping-particle" : "", "family" : "Bartlett", "given" : "Joan", "non-dropping-particle" : "", "parse-names" : false, "suffix" : "" }, { "dropping-particle" : "", "family" : "Fireman", "given" : "Bruce", "non-dropping-particle" : "", "parse-names" : false, "suffix" : "" }, { "dropping-particle" : "", "family" : "Marks", "given" : "Morgan", "non-dropping-particle" : "", "parse-names" : false, "suffix" : "" }, { "dropping-particle" : "", "family" : "Hansen", "given" : "John", "non-dropping-particle" : "", "parse-names" : false, "suffix" : "" }, { "dropping-particle" : "", "family" : "Lewis", "given" : "Edwin", "non-dropping-particle" : "", "parse-names" : false, "suffix" : "" }, { "dropping-particle" : "", "family" : "Aukes", "given" : "Laurie", "non-dropping-particle" : "", "parse-names" : false, "suffix" : "" }, { "dropping-particle" : "", "family" : "Chen", "given" : "Yong", "non-dropping-particle" : "", "parse-names" : false, "suffix" : "" }, { "dropping-particle" : "", "family" : "Klein", "given" : "Nicola P", "non-dropping-particle" : "", "parse-names" : false, "suffix" : "" }, { "dropping-particle" : "", "family" : "Saddier", "given" : "Patricia", "non-dropping-particle" : "", "parse-names" : false, "suffix" : "" } ], "container-title" : "American Journal of Epidemiology", "id" : "ITEM-1", "issued" : { "date-parts" : [ [ "2017", "6" ] ] }, "page" : "1-9", "title" : "Long-Term Effectiveness of the Live Zoster Vaccine in Preventing Shingles: A Cohort Study", "type" : "article-journal" }, "uris" : [ "http://www.mendeley.com/documents/?uuid=2a5a94cd-962c-4b93-8c75-4b4b74225858" ] } ], "mendeley" : { "formattedCitation" : "(6)", "plainTextFormattedCitation" : "(6)", "previouslyFormattedCitation" : "(6)" }, "properties" : { "noteIndex" : 2 }, "schema" : "https://github.com/citation-style-language/schema/raw/master/csl-citation.json" }</w:instrText>
      </w:r>
      <w:r w:rsidRPr="0083497E">
        <w:rPr>
          <w:rFonts w:ascii="Times New Roman" w:hAnsi="Times New Roman" w:cs="Times New Roman"/>
          <w:b/>
          <w:bCs/>
          <w:sz w:val="24"/>
          <w:szCs w:val="24"/>
        </w:rPr>
        <w:fldChar w:fldCharType="separate"/>
      </w:r>
      <w:r w:rsidRPr="0083497E">
        <w:rPr>
          <w:rFonts w:ascii="Times New Roman" w:hAnsi="Times New Roman" w:cs="Times New Roman"/>
          <w:b/>
          <w:bCs/>
          <w:noProof/>
          <w:sz w:val="24"/>
          <w:szCs w:val="24"/>
        </w:rPr>
        <w:t>(6)</w:t>
      </w:r>
      <w:r w:rsidRPr="0083497E">
        <w:rPr>
          <w:rFonts w:ascii="Times New Roman" w:hAnsi="Times New Roman" w:cs="Times New Roman"/>
          <w:b/>
          <w:bCs/>
          <w:sz w:val="24"/>
          <w:szCs w:val="24"/>
        </w:rPr>
        <w:fldChar w:fldCharType="end"/>
      </w:r>
      <w:r w:rsidRPr="0083497E">
        <w:rPr>
          <w:rFonts w:ascii="Times New Roman" w:hAnsi="Times New Roman" w:cs="Times New Roman"/>
          <w:b/>
          <w:bCs/>
          <w:sz w:val="24"/>
          <w:szCs w:val="24"/>
        </w:rPr>
        <w:t>)</w:t>
      </w:r>
    </w:p>
    <w:p w14:paraId="0C4DF850" w14:textId="77777777" w:rsidR="00C94C59" w:rsidRPr="00FF008A" w:rsidRDefault="00C94C59" w:rsidP="00C94C59">
      <w:pPr>
        <w:spacing w:line="360" w:lineRule="auto"/>
        <w:rPr>
          <w:rFonts w:ascii="Times New Roman" w:hAnsi="Times New Roman" w:cs="Times New Roman"/>
          <w:b/>
          <w:sz w:val="24"/>
          <w:szCs w:val="24"/>
        </w:rPr>
      </w:pPr>
      <w:r w:rsidRPr="00FF008A">
        <w:rPr>
          <w:rFonts w:ascii="Times New Roman" w:hAnsi="Times New Roman" w:cs="Times New Roman"/>
          <w:b/>
          <w:sz w:val="24"/>
          <w:szCs w:val="24"/>
        </w:rPr>
        <w:t>Measures of Immunocompromised Status</w:t>
      </w:r>
    </w:p>
    <w:p w14:paraId="263BC04C" w14:textId="77777777" w:rsidR="00C94C59" w:rsidRPr="00FF008A" w:rsidRDefault="00C94C59" w:rsidP="00C94C59">
      <w:pPr>
        <w:spacing w:line="360" w:lineRule="auto"/>
        <w:rPr>
          <w:rFonts w:ascii="Times New Roman" w:hAnsi="Times New Roman" w:cs="Times New Roman"/>
          <w:sz w:val="24"/>
          <w:szCs w:val="24"/>
        </w:rPr>
      </w:pPr>
      <w:r w:rsidRPr="00FF008A">
        <w:rPr>
          <w:rFonts w:ascii="Times New Roman" w:hAnsi="Times New Roman" w:cs="Times New Roman"/>
          <w:sz w:val="24"/>
          <w:szCs w:val="24"/>
        </w:rPr>
        <w:t xml:space="preserve">Immunocompromised (IC) status is measured on September 1 of the relevant study year. </w:t>
      </w:r>
    </w:p>
    <w:p w14:paraId="5D4CF607" w14:textId="77777777" w:rsidR="00C94C59" w:rsidRPr="00FF008A" w:rsidRDefault="00C94C59" w:rsidP="00C94C59">
      <w:pPr>
        <w:spacing w:line="360" w:lineRule="auto"/>
        <w:rPr>
          <w:rFonts w:ascii="Times New Roman" w:hAnsi="Times New Roman" w:cs="Times New Roman"/>
          <w:b/>
          <w:sz w:val="24"/>
          <w:szCs w:val="24"/>
          <w:u w:val="single"/>
        </w:rPr>
      </w:pPr>
      <w:r w:rsidRPr="00FF008A">
        <w:rPr>
          <w:rFonts w:ascii="Times New Roman" w:hAnsi="Times New Roman" w:cs="Times New Roman"/>
          <w:b/>
          <w:sz w:val="24"/>
          <w:szCs w:val="24"/>
          <w:u w:val="single"/>
        </w:rPr>
        <w:t xml:space="preserve">IC status </w:t>
      </w:r>
      <w:r w:rsidRPr="00FF008A">
        <w:rPr>
          <w:rFonts w:ascii="Times New Roman" w:hAnsi="Times New Roman" w:cs="Times New Roman"/>
          <w:b/>
          <w:bCs/>
          <w:sz w:val="24"/>
          <w:szCs w:val="24"/>
          <w:u w:val="single"/>
        </w:rPr>
        <w:t>at time of risk</w:t>
      </w:r>
    </w:p>
    <w:p w14:paraId="6C876340" w14:textId="16B60AAC" w:rsidR="00C94C59" w:rsidRPr="00FF008A" w:rsidRDefault="00C94C59" w:rsidP="00C94C59">
      <w:pPr>
        <w:spacing w:line="480" w:lineRule="auto"/>
        <w:rPr>
          <w:rFonts w:ascii="Times New Roman" w:hAnsi="Times New Roman" w:cs="Times New Roman"/>
          <w:sz w:val="24"/>
          <w:szCs w:val="24"/>
        </w:rPr>
      </w:pPr>
      <w:r w:rsidRPr="00FF008A">
        <w:rPr>
          <w:rFonts w:ascii="Times New Roman" w:hAnsi="Times New Roman" w:cs="Times New Roman"/>
          <w:sz w:val="24"/>
          <w:szCs w:val="24"/>
        </w:rPr>
        <w:t xml:space="preserve">We used eight variables to measure IC status, based primarily on conditions and medications during the past </w:t>
      </w:r>
      <w:r w:rsidR="006E28E8">
        <w:rPr>
          <w:rFonts w:ascii="Times New Roman" w:hAnsi="Times New Roman" w:cs="Times New Roman"/>
          <w:sz w:val="24"/>
          <w:szCs w:val="24"/>
        </w:rPr>
        <w:t xml:space="preserve">six or </w:t>
      </w:r>
      <w:r w:rsidRPr="00FF008A">
        <w:rPr>
          <w:rFonts w:ascii="Times New Roman" w:hAnsi="Times New Roman" w:cs="Times New Roman"/>
          <w:sz w:val="24"/>
          <w:szCs w:val="24"/>
        </w:rPr>
        <w:t xml:space="preserve">12 months. </w:t>
      </w:r>
    </w:p>
    <w:p w14:paraId="20F77FFE" w14:textId="77777777" w:rsidR="00C94C59" w:rsidRPr="00FF008A" w:rsidRDefault="00C94C59" w:rsidP="00C94C59">
      <w:pPr>
        <w:spacing w:line="480" w:lineRule="auto"/>
        <w:rPr>
          <w:rFonts w:ascii="Times New Roman" w:hAnsi="Times New Roman" w:cs="Times New Roman"/>
          <w:sz w:val="24"/>
          <w:szCs w:val="24"/>
        </w:rPr>
      </w:pPr>
      <w:r w:rsidRPr="00FF008A">
        <w:rPr>
          <w:rFonts w:ascii="Times New Roman" w:hAnsi="Times New Roman" w:cs="Times New Roman"/>
          <w:sz w:val="24"/>
          <w:szCs w:val="24"/>
        </w:rPr>
        <w:t>For each of the following variables, the person was assigned “1” to designate an immunocompromised state if the condition or medication was present, or “0” if it was not present:</w:t>
      </w:r>
    </w:p>
    <w:p w14:paraId="51F602EC" w14:textId="77777777" w:rsidR="00C94C59" w:rsidRPr="00FF008A" w:rsidRDefault="00C94C59" w:rsidP="00C94C59">
      <w:pPr>
        <w:numPr>
          <w:ilvl w:val="0"/>
          <w:numId w:val="12"/>
        </w:numPr>
        <w:spacing w:after="0" w:line="480" w:lineRule="auto"/>
        <w:rPr>
          <w:rFonts w:ascii="Times New Roman" w:hAnsi="Times New Roman" w:cs="Times New Roman"/>
          <w:sz w:val="24"/>
          <w:szCs w:val="24"/>
        </w:rPr>
      </w:pPr>
      <w:r w:rsidRPr="00FF008A">
        <w:rPr>
          <w:rFonts w:ascii="Times New Roman" w:hAnsi="Times New Roman" w:cs="Times New Roman"/>
          <w:sz w:val="24"/>
          <w:szCs w:val="24"/>
        </w:rPr>
        <w:t xml:space="preserve">Corticosteroids </w:t>
      </w:r>
    </w:p>
    <w:p w14:paraId="65DAF4CB" w14:textId="77777777" w:rsidR="00C94C59" w:rsidRPr="00FF008A" w:rsidRDefault="00C94C59" w:rsidP="00C94C59">
      <w:pPr>
        <w:numPr>
          <w:ilvl w:val="0"/>
          <w:numId w:val="12"/>
        </w:numPr>
        <w:spacing w:after="0" w:line="480" w:lineRule="auto"/>
        <w:rPr>
          <w:rFonts w:ascii="Times New Roman" w:hAnsi="Times New Roman" w:cs="Times New Roman"/>
          <w:sz w:val="24"/>
          <w:szCs w:val="24"/>
        </w:rPr>
      </w:pPr>
      <w:r w:rsidRPr="00FF008A">
        <w:rPr>
          <w:rFonts w:ascii="Times New Roman" w:hAnsi="Times New Roman" w:cs="Times New Roman"/>
          <w:sz w:val="24"/>
          <w:szCs w:val="24"/>
        </w:rPr>
        <w:t xml:space="preserve">Immunocompromising medications other than corticosteroids </w:t>
      </w:r>
      <w:r>
        <w:rPr>
          <w:rFonts w:ascii="Times New Roman" w:hAnsi="Times New Roman" w:cs="Times New Roman"/>
          <w:sz w:val="24"/>
          <w:szCs w:val="24"/>
        </w:rPr>
        <w:t xml:space="preserve"> </w:t>
      </w:r>
    </w:p>
    <w:p w14:paraId="1BEE0084" w14:textId="77777777" w:rsidR="00C94C59" w:rsidRPr="00FF008A" w:rsidRDefault="00C94C59" w:rsidP="00C94C59">
      <w:pPr>
        <w:numPr>
          <w:ilvl w:val="0"/>
          <w:numId w:val="12"/>
        </w:numPr>
        <w:spacing w:after="0" w:line="480" w:lineRule="auto"/>
        <w:rPr>
          <w:rFonts w:ascii="Times New Roman" w:hAnsi="Times New Roman" w:cs="Times New Roman"/>
          <w:sz w:val="24"/>
          <w:szCs w:val="24"/>
        </w:rPr>
      </w:pPr>
      <w:r w:rsidRPr="00FF008A">
        <w:rPr>
          <w:rFonts w:ascii="Times New Roman" w:hAnsi="Times New Roman" w:cs="Times New Roman"/>
          <w:sz w:val="24"/>
          <w:szCs w:val="24"/>
        </w:rPr>
        <w:t xml:space="preserve">Cancer radiotherapy </w:t>
      </w:r>
    </w:p>
    <w:p w14:paraId="14968998" w14:textId="77777777" w:rsidR="00C94C59" w:rsidRPr="00FF008A" w:rsidRDefault="00C94C59" w:rsidP="00C94C59">
      <w:pPr>
        <w:numPr>
          <w:ilvl w:val="0"/>
          <w:numId w:val="12"/>
        </w:numPr>
        <w:spacing w:after="0" w:line="480" w:lineRule="auto"/>
        <w:rPr>
          <w:rFonts w:ascii="Times New Roman" w:hAnsi="Times New Roman" w:cs="Times New Roman"/>
          <w:sz w:val="24"/>
          <w:szCs w:val="24"/>
        </w:rPr>
      </w:pPr>
      <w:r w:rsidRPr="00FF008A">
        <w:rPr>
          <w:rFonts w:ascii="Times New Roman" w:hAnsi="Times New Roman" w:cs="Times New Roman"/>
          <w:sz w:val="24"/>
          <w:szCs w:val="24"/>
        </w:rPr>
        <w:t xml:space="preserve">Blood cancer </w:t>
      </w:r>
    </w:p>
    <w:p w14:paraId="6E294430" w14:textId="77777777" w:rsidR="00C94C59" w:rsidRPr="00FF008A" w:rsidRDefault="00C94C59" w:rsidP="00C94C59">
      <w:pPr>
        <w:numPr>
          <w:ilvl w:val="0"/>
          <w:numId w:val="12"/>
        </w:numPr>
        <w:spacing w:after="0" w:line="480" w:lineRule="auto"/>
        <w:rPr>
          <w:rFonts w:ascii="Times New Roman" w:hAnsi="Times New Roman" w:cs="Times New Roman"/>
          <w:sz w:val="24"/>
          <w:szCs w:val="24"/>
        </w:rPr>
      </w:pPr>
      <w:r w:rsidRPr="00FF008A">
        <w:rPr>
          <w:rFonts w:ascii="Times New Roman" w:hAnsi="Times New Roman" w:cs="Times New Roman"/>
          <w:sz w:val="24"/>
          <w:szCs w:val="24"/>
        </w:rPr>
        <w:lastRenderedPageBreak/>
        <w:t xml:space="preserve">Metastatic cancer </w:t>
      </w:r>
    </w:p>
    <w:p w14:paraId="4029D994" w14:textId="77777777" w:rsidR="00C94C59" w:rsidRPr="00FF008A" w:rsidRDefault="00C94C59" w:rsidP="00C94C59">
      <w:pPr>
        <w:numPr>
          <w:ilvl w:val="0"/>
          <w:numId w:val="12"/>
        </w:numPr>
        <w:spacing w:after="0" w:line="480" w:lineRule="auto"/>
        <w:rPr>
          <w:rFonts w:ascii="Times New Roman" w:hAnsi="Times New Roman" w:cs="Times New Roman"/>
          <w:sz w:val="24"/>
          <w:szCs w:val="24"/>
        </w:rPr>
      </w:pPr>
      <w:r w:rsidRPr="00FF008A">
        <w:rPr>
          <w:rFonts w:ascii="Times New Roman" w:hAnsi="Times New Roman" w:cs="Times New Roman"/>
          <w:sz w:val="24"/>
          <w:szCs w:val="24"/>
        </w:rPr>
        <w:t>Bone marrow transplant (BMT) or hematopoietic stem cell transplant (HSCT)</w:t>
      </w:r>
    </w:p>
    <w:p w14:paraId="208CCB39" w14:textId="77777777" w:rsidR="00C94C59" w:rsidRPr="00FF008A" w:rsidRDefault="00C94C59" w:rsidP="00C94C59">
      <w:pPr>
        <w:numPr>
          <w:ilvl w:val="0"/>
          <w:numId w:val="12"/>
        </w:numPr>
        <w:spacing w:after="0" w:line="480" w:lineRule="auto"/>
        <w:rPr>
          <w:rFonts w:ascii="Times New Roman" w:hAnsi="Times New Roman" w:cs="Times New Roman"/>
          <w:sz w:val="24"/>
          <w:szCs w:val="24"/>
        </w:rPr>
      </w:pPr>
      <w:r w:rsidRPr="00FF008A">
        <w:rPr>
          <w:rFonts w:ascii="Times New Roman" w:hAnsi="Times New Roman" w:cs="Times New Roman"/>
          <w:sz w:val="24"/>
          <w:szCs w:val="24"/>
        </w:rPr>
        <w:t xml:space="preserve">Human Immunodeficiency Virus (HIV) </w:t>
      </w:r>
    </w:p>
    <w:p w14:paraId="545D15FC" w14:textId="77777777" w:rsidR="00C94C59" w:rsidRPr="00FF008A" w:rsidRDefault="00C94C59" w:rsidP="00C94C59">
      <w:pPr>
        <w:numPr>
          <w:ilvl w:val="0"/>
          <w:numId w:val="12"/>
        </w:numPr>
        <w:spacing w:after="0" w:line="480" w:lineRule="auto"/>
        <w:rPr>
          <w:rFonts w:ascii="Times New Roman" w:hAnsi="Times New Roman" w:cs="Times New Roman"/>
          <w:sz w:val="24"/>
          <w:szCs w:val="24"/>
        </w:rPr>
      </w:pPr>
      <w:r w:rsidRPr="00FF008A">
        <w:rPr>
          <w:rFonts w:ascii="Times New Roman" w:hAnsi="Times New Roman" w:cs="Times New Roman"/>
          <w:sz w:val="24"/>
          <w:szCs w:val="24"/>
        </w:rPr>
        <w:t xml:space="preserve">Rare immune deficiency conditions </w:t>
      </w:r>
    </w:p>
    <w:p w14:paraId="12213AF1" w14:textId="77777777" w:rsidR="00C94C59" w:rsidRPr="00FF008A" w:rsidRDefault="00C94C59" w:rsidP="00C94C59">
      <w:pPr>
        <w:spacing w:line="480" w:lineRule="auto"/>
        <w:rPr>
          <w:rFonts w:ascii="Times New Roman" w:hAnsi="Times New Roman" w:cs="Times New Roman"/>
          <w:sz w:val="24"/>
          <w:szCs w:val="24"/>
        </w:rPr>
      </w:pPr>
      <w:r w:rsidRPr="00FF008A">
        <w:rPr>
          <w:rFonts w:ascii="Times New Roman" w:hAnsi="Times New Roman" w:cs="Times New Roman"/>
          <w:bCs/>
          <w:sz w:val="24"/>
          <w:szCs w:val="24"/>
        </w:rPr>
        <w:t xml:space="preserve">The eight variables </w:t>
      </w:r>
      <w:r w:rsidRPr="00FF008A">
        <w:rPr>
          <w:rFonts w:ascii="Times New Roman" w:hAnsi="Times New Roman" w:cs="Times New Roman"/>
          <w:sz w:val="24"/>
          <w:szCs w:val="24"/>
        </w:rPr>
        <w:t>are not mutually exclusive (i.e., persons could be designated immunocompromised in more than one category).  Individuals were considered immunocompromised if any one of the eight conditions were present.</w:t>
      </w:r>
    </w:p>
    <w:p w14:paraId="1FDEF397" w14:textId="77777777" w:rsidR="00C94C59" w:rsidRPr="00FF008A" w:rsidRDefault="00C94C59" w:rsidP="00C94C59">
      <w:pPr>
        <w:spacing w:line="480" w:lineRule="auto"/>
        <w:rPr>
          <w:rFonts w:ascii="Times New Roman" w:hAnsi="Times New Roman" w:cs="Times New Roman"/>
          <w:b/>
          <w:sz w:val="24"/>
          <w:szCs w:val="24"/>
        </w:rPr>
      </w:pPr>
      <w:r w:rsidRPr="00FF008A">
        <w:rPr>
          <w:rFonts w:ascii="Times New Roman" w:hAnsi="Times New Roman" w:cs="Times New Roman"/>
          <w:b/>
          <w:sz w:val="24"/>
          <w:szCs w:val="24"/>
        </w:rPr>
        <w:t>Data sources</w:t>
      </w:r>
    </w:p>
    <w:p w14:paraId="473398A2" w14:textId="77777777" w:rsidR="00C94C59" w:rsidRPr="00FF008A" w:rsidRDefault="00C94C59" w:rsidP="00C94C59">
      <w:pPr>
        <w:spacing w:line="480" w:lineRule="auto"/>
        <w:rPr>
          <w:rFonts w:ascii="Times New Roman" w:hAnsi="Times New Roman" w:cs="Times New Roman"/>
          <w:color w:val="222222"/>
          <w:sz w:val="24"/>
          <w:szCs w:val="24"/>
          <w:shd w:val="clear" w:color="auto" w:fill="FFFFFF"/>
        </w:rPr>
      </w:pPr>
      <w:r w:rsidRPr="00FF008A">
        <w:rPr>
          <w:rFonts w:ascii="Times New Roman" w:hAnsi="Times New Roman" w:cs="Times New Roman"/>
          <w:color w:val="222222"/>
          <w:sz w:val="24"/>
          <w:szCs w:val="24"/>
          <w:shd w:val="clear" w:color="auto" w:fill="FFFFFF"/>
        </w:rPr>
        <w:t>Data sources included electronic medical records from CHS, including all records from CHS clinics, hospitals, and pharmacies. We included medications purchased from a CHS pharmacy or hospital, and</w:t>
      </w:r>
      <w:r w:rsidRPr="00FF008A">
        <w:rPr>
          <w:rFonts w:ascii="Times New Roman" w:hAnsi="Times New Roman" w:cs="Times New Roman"/>
          <w:color w:val="222222"/>
          <w:sz w:val="24"/>
          <w:szCs w:val="24"/>
        </w:rPr>
        <w:t xml:space="preserve"> identified conditions from outpatient, emergency department, and inpatient diagnoses. </w:t>
      </w:r>
      <w:r w:rsidRPr="00FF008A">
        <w:rPr>
          <w:rFonts w:ascii="Times New Roman" w:hAnsi="Times New Roman" w:cs="Times New Roman"/>
          <w:color w:val="222222"/>
          <w:sz w:val="24"/>
          <w:szCs w:val="24"/>
          <w:shd w:val="clear" w:color="auto" w:fill="FFFFFF"/>
        </w:rPr>
        <w:t xml:space="preserve">We used both primary and secondary diagnoses. </w:t>
      </w:r>
    </w:p>
    <w:p w14:paraId="21736235" w14:textId="77777777" w:rsidR="00C94C59" w:rsidRPr="00FF008A" w:rsidRDefault="00C94C59" w:rsidP="00C94C59">
      <w:pPr>
        <w:spacing w:line="480" w:lineRule="auto"/>
        <w:rPr>
          <w:rFonts w:ascii="Times New Roman" w:hAnsi="Times New Roman" w:cs="Times New Roman"/>
          <w:color w:val="222222"/>
          <w:sz w:val="24"/>
          <w:szCs w:val="24"/>
          <w:shd w:val="clear" w:color="auto" w:fill="FFFFFF"/>
        </w:rPr>
      </w:pPr>
      <w:r w:rsidRPr="00FF008A">
        <w:rPr>
          <w:rFonts w:ascii="Times New Roman" w:hAnsi="Times New Roman" w:cs="Times New Roman"/>
          <w:color w:val="222222"/>
          <w:sz w:val="24"/>
          <w:szCs w:val="24"/>
          <w:shd w:val="clear" w:color="auto" w:fill="FFFFFF"/>
        </w:rPr>
        <w:t xml:space="preserve">We also used the Israel Ministry of Health Cancer Registry as a source for identifying persons with cancer and individuals who initially presented with metastatic cancer. </w:t>
      </w:r>
    </w:p>
    <w:p w14:paraId="628B5F8C" w14:textId="77777777" w:rsidR="00C94C59" w:rsidRPr="00FF008A" w:rsidRDefault="00C94C59" w:rsidP="00C94C59">
      <w:pPr>
        <w:spacing w:line="480" w:lineRule="auto"/>
        <w:rPr>
          <w:rFonts w:ascii="Times New Roman" w:hAnsi="Times New Roman" w:cs="Times New Roman"/>
          <w:b/>
          <w:sz w:val="24"/>
          <w:szCs w:val="24"/>
        </w:rPr>
      </w:pPr>
      <w:r w:rsidRPr="00FF008A">
        <w:rPr>
          <w:rFonts w:ascii="Times New Roman" w:hAnsi="Times New Roman" w:cs="Times New Roman"/>
          <w:b/>
          <w:sz w:val="24"/>
          <w:szCs w:val="24"/>
        </w:rPr>
        <w:t>Eight variables used to measure IC status</w:t>
      </w:r>
    </w:p>
    <w:p w14:paraId="17DD64F7" w14:textId="630E2596" w:rsidR="00C94C59" w:rsidRPr="00FF008A" w:rsidRDefault="006E28E8" w:rsidP="00C94C59">
      <w:pPr>
        <w:spacing w:line="480" w:lineRule="auto"/>
        <w:rPr>
          <w:rFonts w:ascii="Times New Roman" w:hAnsi="Times New Roman" w:cs="Times New Roman"/>
          <w:sz w:val="24"/>
          <w:szCs w:val="24"/>
        </w:rPr>
      </w:pPr>
      <w:r>
        <w:rPr>
          <w:rFonts w:ascii="Times New Roman" w:hAnsi="Times New Roman" w:cs="Times New Roman"/>
          <w:sz w:val="24"/>
          <w:szCs w:val="24"/>
        </w:rPr>
        <w:t>Five</w:t>
      </w:r>
      <w:r w:rsidR="00C94C59" w:rsidRPr="00FF008A">
        <w:rPr>
          <w:rFonts w:ascii="Times New Roman" w:hAnsi="Times New Roman" w:cs="Times New Roman"/>
          <w:sz w:val="24"/>
          <w:szCs w:val="24"/>
        </w:rPr>
        <w:t xml:space="preserve"> of the eight IC variables indicate the presence of conditions or medications during the 12-month period prior to September 1 of the relevant study year. For </w:t>
      </w:r>
      <w:r>
        <w:rPr>
          <w:rFonts w:ascii="Times New Roman" w:hAnsi="Times New Roman" w:cs="Times New Roman"/>
          <w:sz w:val="24"/>
          <w:szCs w:val="24"/>
        </w:rPr>
        <w:t xml:space="preserve">corticosteroids, other immunocompromising medications, and </w:t>
      </w:r>
      <w:r w:rsidR="00C94C59" w:rsidRPr="00FF008A">
        <w:rPr>
          <w:rFonts w:ascii="Times New Roman" w:hAnsi="Times New Roman" w:cs="Times New Roman"/>
          <w:sz w:val="24"/>
          <w:szCs w:val="24"/>
        </w:rPr>
        <w:t>cancer radiotherapy, only the previous six-month period was considered.</w:t>
      </w:r>
    </w:p>
    <w:p w14:paraId="237708D0" w14:textId="6839D5F4" w:rsidR="00C94C59" w:rsidRPr="00D20E44" w:rsidRDefault="00C94C59" w:rsidP="00C94C59">
      <w:pPr>
        <w:spacing w:line="480" w:lineRule="auto"/>
        <w:rPr>
          <w:rFonts w:ascii="Times New Roman" w:hAnsi="Times New Roman" w:cs="Times New Roman"/>
          <w:color w:val="222222"/>
          <w:sz w:val="24"/>
          <w:szCs w:val="24"/>
          <w:shd w:val="clear" w:color="auto" w:fill="FFFFFF"/>
        </w:rPr>
      </w:pPr>
      <w:r w:rsidRPr="00FF008A">
        <w:rPr>
          <w:rFonts w:ascii="Times New Roman" w:hAnsi="Times New Roman" w:cs="Times New Roman"/>
          <w:b/>
          <w:sz w:val="24"/>
          <w:szCs w:val="24"/>
        </w:rPr>
        <w:t xml:space="preserve">1. IC </w:t>
      </w:r>
      <w:r w:rsidRPr="00FF008A">
        <w:rPr>
          <w:rFonts w:ascii="Times New Roman" w:hAnsi="Times New Roman" w:cs="Times New Roman"/>
          <w:sz w:val="24"/>
          <w:szCs w:val="24"/>
        </w:rPr>
        <w:t>–</w:t>
      </w:r>
      <w:r w:rsidRPr="00FF008A">
        <w:rPr>
          <w:rFonts w:ascii="Times New Roman" w:hAnsi="Times New Roman" w:cs="Times New Roman"/>
          <w:b/>
          <w:sz w:val="24"/>
          <w:szCs w:val="24"/>
        </w:rPr>
        <w:t xml:space="preserve"> Corticosteroids</w:t>
      </w:r>
      <w:r w:rsidRPr="00FF008A">
        <w:rPr>
          <w:rFonts w:ascii="Times New Roman" w:hAnsi="Times New Roman" w:cs="Times New Roman"/>
          <w:color w:val="222222"/>
          <w:sz w:val="24"/>
          <w:szCs w:val="24"/>
        </w:rPr>
        <w:br/>
      </w:r>
      <w:r w:rsidRPr="00FF008A">
        <w:rPr>
          <w:rFonts w:ascii="Times New Roman" w:hAnsi="Times New Roman" w:cs="Times New Roman"/>
          <w:color w:val="222222"/>
          <w:sz w:val="24"/>
          <w:szCs w:val="24"/>
          <w:shd w:val="clear" w:color="auto" w:fill="FFFFFF"/>
        </w:rPr>
        <w:t xml:space="preserve">We counted oral or intravenous forms of the following corticosteroids: prednisone, prednisolone, hydrocortisone, methylprednisolone, betamethasone, cortisone, triamcinolone, and </w:t>
      </w:r>
      <w:r w:rsidRPr="00FF008A">
        <w:rPr>
          <w:rFonts w:ascii="Times New Roman" w:hAnsi="Times New Roman" w:cs="Times New Roman"/>
          <w:color w:val="222222"/>
          <w:sz w:val="24"/>
          <w:szCs w:val="24"/>
          <w:shd w:val="clear" w:color="auto" w:fill="FFFFFF"/>
        </w:rPr>
        <w:lastRenderedPageBreak/>
        <w:t xml:space="preserve">dexamethasone. We considered patients immunocompromised if they used any amount of these medications during the previous </w:t>
      </w:r>
      <w:r w:rsidR="006E28E8">
        <w:rPr>
          <w:rFonts w:ascii="Times New Roman" w:hAnsi="Times New Roman" w:cs="Times New Roman"/>
          <w:color w:val="222222"/>
          <w:sz w:val="24"/>
          <w:szCs w:val="24"/>
          <w:shd w:val="clear" w:color="auto" w:fill="FFFFFF"/>
        </w:rPr>
        <w:t>six months</w:t>
      </w:r>
      <w:r w:rsidRPr="00FF008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D20E44">
        <w:rPr>
          <w:rFonts w:ascii="Times New Roman" w:hAnsi="Times New Roman" w:cs="Times New Roman"/>
          <w:color w:val="222222"/>
          <w:sz w:val="24"/>
          <w:szCs w:val="24"/>
          <w:shd w:val="clear" w:color="auto" w:fill="FFFFFF"/>
        </w:rPr>
        <w:t xml:space="preserve">We based </w:t>
      </w:r>
      <w:r>
        <w:rPr>
          <w:rFonts w:ascii="Times New Roman" w:hAnsi="Times New Roman" w:cs="Times New Roman"/>
          <w:color w:val="222222"/>
          <w:sz w:val="24"/>
          <w:szCs w:val="24"/>
          <w:shd w:val="clear" w:color="auto" w:fill="FFFFFF"/>
        </w:rPr>
        <w:t>this</w:t>
      </w:r>
      <w:r w:rsidRPr="00D20E44">
        <w:rPr>
          <w:rFonts w:ascii="Times New Roman" w:hAnsi="Times New Roman" w:cs="Times New Roman"/>
          <w:color w:val="222222"/>
          <w:sz w:val="24"/>
          <w:szCs w:val="24"/>
          <w:shd w:val="clear" w:color="auto" w:fill="FFFFFF"/>
        </w:rPr>
        <w:t xml:space="preserve"> definition</w:t>
      </w:r>
      <w:r>
        <w:rPr>
          <w:rFonts w:ascii="Times New Roman" w:hAnsi="Times New Roman" w:cs="Times New Roman"/>
          <w:color w:val="222222"/>
          <w:sz w:val="24"/>
          <w:szCs w:val="24"/>
          <w:shd w:val="clear" w:color="auto" w:fill="FFFFFF"/>
        </w:rPr>
        <w:t>, like</w:t>
      </w:r>
      <w:r w:rsidRPr="00D20E4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the other </w:t>
      </w:r>
      <w:r w:rsidRPr="00D20E44">
        <w:rPr>
          <w:rFonts w:ascii="Times New Roman" w:hAnsi="Times New Roman" w:cs="Times New Roman"/>
          <w:color w:val="222222"/>
          <w:sz w:val="24"/>
          <w:szCs w:val="24"/>
          <w:shd w:val="clear" w:color="auto" w:fill="FFFFFF"/>
        </w:rPr>
        <w:t xml:space="preserve"> immunocompromised categories</w:t>
      </w:r>
      <w:r>
        <w:rPr>
          <w:rFonts w:ascii="Times New Roman" w:hAnsi="Times New Roman" w:cs="Times New Roman"/>
          <w:color w:val="222222"/>
          <w:sz w:val="24"/>
          <w:szCs w:val="24"/>
          <w:shd w:val="clear" w:color="auto" w:fill="FFFFFF"/>
        </w:rPr>
        <w:t>,</w:t>
      </w:r>
      <w:r w:rsidRPr="00D20E44">
        <w:rPr>
          <w:rFonts w:ascii="Times New Roman" w:hAnsi="Times New Roman" w:cs="Times New Roman"/>
          <w:color w:val="222222"/>
          <w:sz w:val="24"/>
          <w:szCs w:val="24"/>
          <w:shd w:val="clear" w:color="auto" w:fill="FFFFFF"/>
        </w:rPr>
        <w:t xml:space="preserve"> on an algorithm for defining immunocompromised patient cohorts developed by Kaiser and Merck in an article published in 2017 in the Am</w:t>
      </w:r>
      <w:r w:rsidR="006E28E8">
        <w:rPr>
          <w:rFonts w:ascii="Times New Roman" w:hAnsi="Times New Roman" w:cs="Times New Roman"/>
          <w:color w:val="222222"/>
          <w:sz w:val="24"/>
          <w:szCs w:val="24"/>
          <w:shd w:val="clear" w:color="auto" w:fill="FFFFFF"/>
        </w:rPr>
        <w:t>erican</w:t>
      </w:r>
      <w:r w:rsidRPr="00D20E44">
        <w:rPr>
          <w:rFonts w:ascii="Times New Roman" w:hAnsi="Times New Roman" w:cs="Times New Roman"/>
          <w:color w:val="222222"/>
          <w:sz w:val="24"/>
          <w:szCs w:val="24"/>
          <w:shd w:val="clear" w:color="auto" w:fill="FFFFFF"/>
        </w:rPr>
        <w:t xml:space="preserve"> Journal</w:t>
      </w:r>
      <w:r>
        <w:rPr>
          <w:rFonts w:ascii="Times New Roman" w:hAnsi="Times New Roman" w:cs="Times New Roman"/>
          <w:color w:val="222222"/>
          <w:sz w:val="24"/>
          <w:szCs w:val="24"/>
          <w:shd w:val="clear" w:color="auto" w:fill="FFFFFF"/>
        </w:rPr>
        <w:t xml:space="preserve"> of Epidemiology </w:t>
      </w:r>
      <w:r>
        <w:rPr>
          <w:rFonts w:ascii="Times New Roman" w:hAnsi="Times New Roman" w:cs="Times New Roman"/>
          <w:color w:val="222222"/>
          <w:sz w:val="24"/>
          <w:szCs w:val="24"/>
          <w:shd w:val="clear" w:color="auto" w:fill="FFFFFF"/>
        </w:rPr>
        <w:fldChar w:fldCharType="begin" w:fldLock="1"/>
      </w:r>
      <w:r>
        <w:rPr>
          <w:rFonts w:ascii="Times New Roman" w:hAnsi="Times New Roman" w:cs="Times New Roman"/>
          <w:color w:val="222222"/>
          <w:sz w:val="24"/>
          <w:szCs w:val="24"/>
          <w:shd w:val="clear" w:color="auto" w:fill="FFFFFF"/>
        </w:rPr>
        <w:instrText>ADDIN CSL_CITATION { "citationItems" : [ { "id" : "ITEM-1", "itemData" : { "DOI" : "10.1093/aje/kwx245", "ISSN" : "0002-9262", "author" : [ { "dropping-particle" : "", "family" : "Baxter", "given" : "Roger", "non-dropping-particle" : "", "parse-names" : false, "suffix" : "" }, { "dropping-particle" : "", "family" : "Bartlett", "given" : "Joan", "non-dropping-particle" : "", "parse-names" : false, "suffix" : "" }, { "dropping-particle" : "", "family" : "Fireman", "given" : "Bruce", "non-dropping-particle" : "", "parse-names" : false, "suffix" : "" }, { "dropping-particle" : "", "family" : "Marks", "given" : "Morgan", "non-dropping-particle" : "", "parse-names" : false, "suffix" : "" }, { "dropping-particle" : "", "family" : "Hansen", "given" : "John", "non-dropping-particle" : "", "parse-names" : false, "suffix" : "" }, { "dropping-particle" : "", "family" : "Lewis", "given" : "Edwin", "non-dropping-particle" : "", "parse-names" : false, "suffix" : "" }, { "dropping-particle" : "", "family" : "Aukes", "given" : "Laurie", "non-dropping-particle" : "", "parse-names" : false, "suffix" : "" }, { "dropping-particle" : "", "family" : "Chen", "given" : "Yong", "non-dropping-particle" : "", "parse-names" : false, "suffix" : "" }, { "dropping-particle" : "", "family" : "Klein", "given" : "Nicola P", "non-dropping-particle" : "", "parse-names" : false, "suffix" : "" }, { "dropping-particle" : "", "family" : "Saddier", "given" : "Patricia", "non-dropping-particle" : "", "parse-names" : false, "suffix" : "" } ], "container-title" : "American Journal of Epidemiology", "id" : "ITEM-1", "issued" : { "date-parts" : [ [ "2017", "6" ] ] }, "page" : "1-9", "title" : "Long-Term Effectiveness of the Live Zoster Vaccine in Preventing Shingles: A Cohort Study", "type" : "article-journal" }, "uris" : [ "http://www.mendeley.com/documents/?uuid=2a5a94cd-962c-4b93-8c75-4b4b74225858" ] } ], "mendeley" : { "formattedCitation" : "(6)", "plainTextFormattedCitation" : "(6)", "previouslyFormattedCitation" : "(6)" }, "properties" : { "noteIndex" : 5 }, "schema" : "https://github.com/citation-style-language/schema/raw/master/csl-citation.json" }</w:instrText>
      </w:r>
      <w:r>
        <w:rPr>
          <w:rFonts w:ascii="Times New Roman" w:hAnsi="Times New Roman" w:cs="Times New Roman"/>
          <w:color w:val="222222"/>
          <w:sz w:val="24"/>
          <w:szCs w:val="24"/>
          <w:shd w:val="clear" w:color="auto" w:fill="FFFFFF"/>
        </w:rPr>
        <w:fldChar w:fldCharType="separate"/>
      </w:r>
      <w:r w:rsidRPr="00C0651A">
        <w:rPr>
          <w:rFonts w:ascii="Times New Roman" w:hAnsi="Times New Roman" w:cs="Times New Roman"/>
          <w:noProof/>
          <w:color w:val="222222"/>
          <w:sz w:val="24"/>
          <w:szCs w:val="24"/>
          <w:shd w:val="clear" w:color="auto" w:fill="FFFFFF"/>
        </w:rPr>
        <w:t>(6)</w:t>
      </w:r>
      <w:r>
        <w:rPr>
          <w:rFonts w:ascii="Times New Roman" w:hAnsi="Times New Roman" w:cs="Times New Roman"/>
          <w:color w:val="222222"/>
          <w:sz w:val="24"/>
          <w:szCs w:val="24"/>
          <w:shd w:val="clear" w:color="auto" w:fill="FFFFFF"/>
        </w:rPr>
        <w:fldChar w:fldCharType="end"/>
      </w:r>
      <w:r>
        <w:rPr>
          <w:rFonts w:ascii="Times New Roman" w:hAnsi="Times New Roman" w:cs="Times New Roman"/>
          <w:color w:val="222222"/>
          <w:sz w:val="24"/>
          <w:szCs w:val="24"/>
          <w:shd w:val="clear" w:color="auto" w:fill="FFFFFF"/>
        </w:rPr>
        <w:t>. While definitions of the amount of steroid use constituting immunocompromised status varies, s</w:t>
      </w:r>
      <w:r w:rsidRPr="00D20E44">
        <w:rPr>
          <w:rFonts w:ascii="Times New Roman" w:hAnsi="Times New Roman" w:cs="Times New Roman"/>
          <w:color w:val="222222"/>
          <w:sz w:val="24"/>
          <w:szCs w:val="24"/>
          <w:shd w:val="clear" w:color="auto" w:fill="FFFFFF"/>
        </w:rPr>
        <w:t xml:space="preserve">hort-term </w:t>
      </w:r>
      <w:r>
        <w:rPr>
          <w:rFonts w:ascii="Times New Roman" w:hAnsi="Times New Roman" w:cs="Times New Roman"/>
          <w:color w:val="222222"/>
          <w:sz w:val="24"/>
          <w:szCs w:val="24"/>
          <w:shd w:val="clear" w:color="auto" w:fill="FFFFFF"/>
        </w:rPr>
        <w:t xml:space="preserve">low-dose </w:t>
      </w:r>
      <w:r w:rsidRPr="00D20E44">
        <w:rPr>
          <w:rFonts w:ascii="Times New Roman" w:hAnsi="Times New Roman" w:cs="Times New Roman"/>
          <w:color w:val="222222"/>
          <w:sz w:val="24"/>
          <w:szCs w:val="24"/>
          <w:shd w:val="clear" w:color="auto" w:fill="FFFFFF"/>
        </w:rPr>
        <w:t>corticosteroid use has been associated with a number of mod</w:t>
      </w:r>
      <w:r>
        <w:rPr>
          <w:rFonts w:ascii="Times New Roman" w:hAnsi="Times New Roman" w:cs="Times New Roman"/>
          <w:color w:val="222222"/>
          <w:sz w:val="24"/>
          <w:szCs w:val="24"/>
          <w:shd w:val="clear" w:color="auto" w:fill="FFFFFF"/>
        </w:rPr>
        <w:t>erate and severe adverse events</w:t>
      </w:r>
      <w:r>
        <w:rPr>
          <w:rFonts w:ascii="Times New Roman" w:hAnsi="Times New Roman" w:cs="Times New Roman"/>
          <w:color w:val="222222"/>
          <w:sz w:val="24"/>
          <w:szCs w:val="24"/>
          <w:shd w:val="clear" w:color="auto" w:fill="FFFFFF"/>
        </w:rPr>
        <w:fldChar w:fldCharType="begin" w:fldLock="1"/>
      </w:r>
      <w:r>
        <w:rPr>
          <w:rFonts w:ascii="Times New Roman" w:hAnsi="Times New Roman" w:cs="Times New Roman"/>
          <w:color w:val="222222"/>
          <w:sz w:val="24"/>
          <w:szCs w:val="24"/>
          <w:shd w:val="clear" w:color="auto" w:fill="FFFFFF"/>
        </w:rPr>
        <w:instrText>ADDIN CSL_CITATION { "citationItems" : [ { "id" : "ITEM-1", "itemData" : { "DOI" : "10.1136/bmj.j1415", "ISSN" : "1756-1833", "PMID" : "28404617", "abstract" : "Objective To determine the frequency of prescriptions for short term use of oral corticosteroids, and adverse events (sepsis, venous thromboembolism, fractures) associated with their use.Design Retrospective cohort study and self controlled case series.Setting Nationwide dataset of private insurance claims.Participants Adults aged 18 to 64 years who were continuously enrolled from 2012 to 2014.Main outcome measures Rates of short term use of oral corticosteroids defined as less than 30 days duration. Incidence rates of adverse events in corticosteroid users and non-users. Incidence rate ratios for adverse events within 30 day and 31-90 day risk periods after drug initiation.Results Of 1 548 945 adults, 327 452 (21.1%) received at least one outpatient prescription for short term use of oral corticosteroids over the three year period. Use was more frequent among older patients, women, and white adults, with significant regional variation (all P&lt;0.001). The most common indications for use were upper respiratory tract infections, spinal conditions, and allergies. Prescriptions were provided by a diverse range of specialties. Within 30 days of drug initiation, there was an increase in rates of sepsis (incidence rate ratio 5.30, 95% confidence interval 3.80 to 7.41), venous thromboembolism (3.33, 2.78 to 3.99), and fracture (1.87, 1.69 to 2.07), which diminished over the subsequent 31-90 days. The increased risk persisted at prednisone equivalent doses of less than 20 mg/day (incidence rate ratio 4.02 for sepsis, 3.61 for venous thromboembolism, and 1.83 for fracture; all P&lt;0.001).Conclusion One in five American adults in a commercially insured plan were given prescriptions for short term use of oral corticosteroids during a three year period, with an associated increased risk of adverse events.", "author" : [ { "dropping-particle" : "", "family" : "Waljee", "given" : "Akbar K", "non-dropping-particle" : "", "parse-names" : false, "suffix" : "" }, { "dropping-particle" : "", "family" : "Rogers", "given" : "Mary A M", "non-dropping-particle" : "", "parse-names" : false, "suffix" : "" }, { "dropping-particle" : "", "family" : "Lin", "given" : "Paul", "non-dropping-particle" : "", "parse-names" : false, "suffix" : "" }, { "dropping-particle" : "", "family" : "Singal", "given" : "Amit G", "non-dropping-particle" : "", "parse-names" : false, "suffix" : "" }, { "dropping-particle" : "", "family" : "Stein", "given" : "Joshua D", "non-dropping-particle" : "", "parse-names" : false, "suffix" : "" }, { "dropping-particle" : "", "family" : "Marks", "given" : "Rory M", "non-dropping-particle" : "", "parse-names" : false, "suffix" : "" }, { "dropping-particle" : "", "family" : "Ayanian", "given" : "John Z", "non-dropping-particle" : "", "parse-names" : false, "suffix" : "" }, { "dropping-particle" : "", "family" : "Nallamothu", "given" : "Brahmajee K", "non-dropping-particle" : "", "parse-names" : false, "suffix" : "" } ], "container-title" : "BMJ (Clinical research ed.)", "id" : "ITEM-1", "issued" : { "date-parts" : [ [ "2017" ] ] }, "page" : "j1415", "title" : "Short term use of oral corticosteroids and related harms among adults in the United States: population based cohort study.", "type" : "article-journal", "volume" : "357" }, "uris" : [ "http://www.mendeley.com/documents/?uuid=c1415831-3a1a-4a02-899d-3982bd193547", "http://www.mendeley.com/documents/?uuid=ec217c07-c166-4dc0-962d-973a506b365b" ] } ], "mendeley" : { "formattedCitation" : "(7)", "plainTextFormattedCitation" : "(7)", "previouslyFormattedCitation" : "(7)" }, "properties" : { "noteIndex" : 6 }, "schema" : "https://github.com/citation-style-language/schema/raw/master/csl-citation.json" }</w:instrText>
      </w:r>
      <w:r>
        <w:rPr>
          <w:rFonts w:ascii="Times New Roman" w:hAnsi="Times New Roman" w:cs="Times New Roman"/>
          <w:color w:val="222222"/>
          <w:sz w:val="24"/>
          <w:szCs w:val="24"/>
          <w:shd w:val="clear" w:color="auto" w:fill="FFFFFF"/>
        </w:rPr>
        <w:fldChar w:fldCharType="separate"/>
      </w:r>
      <w:r w:rsidRPr="00C0651A">
        <w:rPr>
          <w:rFonts w:ascii="Times New Roman" w:hAnsi="Times New Roman" w:cs="Times New Roman"/>
          <w:noProof/>
          <w:color w:val="222222"/>
          <w:sz w:val="24"/>
          <w:szCs w:val="24"/>
          <w:shd w:val="clear" w:color="auto" w:fill="FFFFFF"/>
        </w:rPr>
        <w:t>(7)</w:t>
      </w:r>
      <w:r>
        <w:rPr>
          <w:rFonts w:ascii="Times New Roman" w:hAnsi="Times New Roman" w:cs="Times New Roman"/>
          <w:color w:val="222222"/>
          <w:sz w:val="24"/>
          <w:szCs w:val="24"/>
          <w:shd w:val="clear" w:color="auto" w:fill="FFFFFF"/>
        </w:rPr>
        <w:fldChar w:fldCharType="end"/>
      </w:r>
      <w:r>
        <w:rPr>
          <w:rFonts w:ascii="Times New Roman" w:hAnsi="Times New Roman" w:cs="Times New Roman"/>
          <w:color w:val="222222"/>
          <w:sz w:val="24"/>
          <w:szCs w:val="24"/>
          <w:shd w:val="clear" w:color="auto" w:fill="FFFFFF"/>
        </w:rPr>
        <w:t>.</w:t>
      </w:r>
    </w:p>
    <w:p w14:paraId="2899C611" w14:textId="77777777" w:rsidR="00C94C59" w:rsidRPr="00FF008A" w:rsidRDefault="00C94C59" w:rsidP="00C94C59">
      <w:pPr>
        <w:spacing w:line="480" w:lineRule="auto"/>
        <w:rPr>
          <w:rFonts w:ascii="Times New Roman" w:hAnsi="Times New Roman" w:cs="Times New Roman"/>
          <w:sz w:val="24"/>
          <w:szCs w:val="24"/>
        </w:rPr>
      </w:pPr>
    </w:p>
    <w:p w14:paraId="2E503DFD" w14:textId="77777777" w:rsidR="00C94C59" w:rsidRPr="00FF008A" w:rsidRDefault="00C94C59" w:rsidP="00C94C59">
      <w:pPr>
        <w:spacing w:line="480" w:lineRule="auto"/>
        <w:rPr>
          <w:rFonts w:ascii="Times New Roman" w:hAnsi="Times New Roman" w:cs="Times New Roman"/>
          <w:b/>
          <w:sz w:val="24"/>
          <w:szCs w:val="24"/>
        </w:rPr>
      </w:pPr>
      <w:r w:rsidRPr="00FF008A">
        <w:rPr>
          <w:rFonts w:ascii="Times New Roman" w:hAnsi="Times New Roman" w:cs="Times New Roman"/>
          <w:b/>
          <w:sz w:val="24"/>
          <w:szCs w:val="24"/>
        </w:rPr>
        <w:t>2. IC – Immunocompromising medications other than corticosteroids</w:t>
      </w:r>
    </w:p>
    <w:p w14:paraId="5766D525" w14:textId="70240171" w:rsidR="00C94C59" w:rsidRPr="00BA7CA5" w:rsidRDefault="00C94C59" w:rsidP="00C94C59">
      <w:pPr>
        <w:spacing w:line="480" w:lineRule="auto"/>
        <w:rPr>
          <w:rFonts w:ascii="Times New Roman" w:hAnsi="Times New Roman" w:cs="Times New Roman"/>
          <w:color w:val="222222"/>
          <w:shd w:val="clear" w:color="auto" w:fill="FFFFFF"/>
        </w:rPr>
      </w:pPr>
      <w:r w:rsidRPr="00FF008A">
        <w:rPr>
          <w:rFonts w:ascii="Times New Roman" w:hAnsi="Times New Roman" w:cs="Times New Roman"/>
          <w:color w:val="222222"/>
          <w:sz w:val="24"/>
          <w:szCs w:val="24"/>
          <w:shd w:val="clear" w:color="auto" w:fill="FFFFFF"/>
        </w:rPr>
        <w:t xml:space="preserve">We considered non-corticosteroid immunocompromising medications </w:t>
      </w:r>
      <w:r w:rsidR="00CD481E">
        <w:rPr>
          <w:rFonts w:ascii="Times New Roman" w:hAnsi="Times New Roman" w:cs="Times New Roman"/>
          <w:color w:val="222222"/>
          <w:sz w:val="24"/>
          <w:szCs w:val="24"/>
          <w:shd w:val="clear" w:color="auto" w:fill="FFFFFF"/>
        </w:rPr>
        <w:t>during the six months</w:t>
      </w:r>
      <w:r w:rsidRPr="00FF008A">
        <w:rPr>
          <w:rFonts w:ascii="Times New Roman" w:hAnsi="Times New Roman" w:cs="Times New Roman"/>
          <w:color w:val="222222"/>
          <w:sz w:val="24"/>
          <w:szCs w:val="24"/>
          <w:shd w:val="clear" w:color="auto" w:fill="FFFFFF"/>
        </w:rPr>
        <w:t xml:space="preserve"> prior to September 1 of the relevant study year. The list of immunocompromising medications included therapeutic categories known to inhibit immune response, including anti-neoplastic (chemotherapy), disease modifying anti-rheumatic (DMARD)</w:t>
      </w:r>
      <w:r w:rsidRPr="00FF008A">
        <w:rPr>
          <w:rFonts w:ascii="Times New Roman" w:hAnsi="Times New Roman" w:cs="Times New Roman"/>
          <w:sz w:val="24"/>
          <w:szCs w:val="24"/>
        </w:rPr>
        <w:t>,</w:t>
      </w:r>
      <w:r w:rsidRPr="00FF008A">
        <w:rPr>
          <w:rFonts w:ascii="Times New Roman" w:hAnsi="Times New Roman" w:cs="Times New Roman"/>
          <w:color w:val="222222"/>
          <w:sz w:val="24"/>
          <w:szCs w:val="24"/>
          <w:shd w:val="clear" w:color="auto" w:fill="FFFFFF"/>
        </w:rPr>
        <w:t xml:space="preserve"> immunomodulator agents, and other immunosuppressant medications. Use of any of these medications at l</w:t>
      </w:r>
      <w:r w:rsidR="006E28E8">
        <w:rPr>
          <w:rFonts w:ascii="Times New Roman" w:hAnsi="Times New Roman" w:cs="Times New Roman"/>
          <w:color w:val="222222"/>
          <w:sz w:val="24"/>
          <w:szCs w:val="24"/>
          <w:shd w:val="clear" w:color="auto" w:fill="FFFFFF"/>
        </w:rPr>
        <w:t>east once during the previous six</w:t>
      </w:r>
      <w:r w:rsidRPr="00FF008A">
        <w:rPr>
          <w:rFonts w:ascii="Times New Roman" w:hAnsi="Times New Roman" w:cs="Times New Roman"/>
          <w:color w:val="222222"/>
          <w:sz w:val="24"/>
          <w:szCs w:val="24"/>
          <w:shd w:val="clear" w:color="auto" w:fill="FFFFFF"/>
        </w:rPr>
        <w:t xml:space="preserve"> months conferred immunocompromised status. These medications are described in Table 5 are classified according to immunocompromising status (0 = No IC, 1 = IC).</w:t>
      </w:r>
      <w:r>
        <w:rPr>
          <w:rFonts w:ascii="Times New Roman" w:hAnsi="Times New Roman" w:cs="Times New Roman"/>
          <w:color w:val="222222"/>
          <w:sz w:val="24"/>
          <w:szCs w:val="24"/>
          <w:shd w:val="clear" w:color="auto" w:fill="FFFFFF"/>
        </w:rPr>
        <w:t xml:space="preserve"> As above.</w:t>
      </w:r>
    </w:p>
    <w:p w14:paraId="1F0BDC29" w14:textId="77777777" w:rsidR="00C94C59" w:rsidRPr="00FF008A" w:rsidRDefault="00C94C59" w:rsidP="00C94C59">
      <w:pPr>
        <w:spacing w:line="480" w:lineRule="auto"/>
        <w:rPr>
          <w:rFonts w:ascii="Times New Roman" w:hAnsi="Times New Roman" w:cs="Times New Roman"/>
          <w:b/>
          <w:sz w:val="24"/>
          <w:szCs w:val="24"/>
        </w:rPr>
      </w:pPr>
      <w:r w:rsidRPr="00FF008A">
        <w:rPr>
          <w:rFonts w:ascii="Times New Roman" w:hAnsi="Times New Roman" w:cs="Times New Roman"/>
          <w:b/>
          <w:sz w:val="24"/>
          <w:szCs w:val="24"/>
        </w:rPr>
        <w:t>3. IC – Cancer radiotherapy</w:t>
      </w:r>
    </w:p>
    <w:p w14:paraId="2509E411" w14:textId="77777777" w:rsidR="00C94C59" w:rsidRPr="00FF008A" w:rsidRDefault="00C94C59" w:rsidP="00C94C59">
      <w:pPr>
        <w:spacing w:line="480" w:lineRule="auto"/>
        <w:rPr>
          <w:rFonts w:ascii="Times New Roman" w:hAnsi="Times New Roman" w:cs="Times New Roman"/>
          <w:sz w:val="24"/>
          <w:szCs w:val="24"/>
        </w:rPr>
      </w:pPr>
      <w:r w:rsidRPr="00FF008A">
        <w:rPr>
          <w:rFonts w:ascii="Times New Roman" w:hAnsi="Times New Roman" w:cs="Times New Roman"/>
          <w:sz w:val="24"/>
          <w:szCs w:val="24"/>
        </w:rPr>
        <w:t xml:space="preserve">We considered radiation treatment in the six months prior to September 1 of the relevant study year to confer immunocompromised status. We included diagnosis and procedure codes as well as data from radiation oncology visits. </w:t>
      </w:r>
    </w:p>
    <w:p w14:paraId="077F2B7C" w14:textId="77777777" w:rsidR="00C94C59" w:rsidRPr="00FF008A" w:rsidRDefault="00C94C59" w:rsidP="00C94C59">
      <w:pPr>
        <w:spacing w:line="480" w:lineRule="auto"/>
        <w:rPr>
          <w:rFonts w:ascii="Times New Roman" w:hAnsi="Times New Roman" w:cs="Times New Roman"/>
          <w:sz w:val="24"/>
          <w:szCs w:val="24"/>
        </w:rPr>
      </w:pPr>
      <w:r w:rsidRPr="00FF008A">
        <w:rPr>
          <w:rFonts w:ascii="Times New Roman" w:hAnsi="Times New Roman" w:cs="Times New Roman"/>
          <w:sz w:val="24"/>
          <w:szCs w:val="24"/>
        </w:rPr>
        <w:t>We identified radiation treatment administered by CHS using ICD-9 diagnosis codes (Table 1) and relevant CPT-4 codes and other procedural codes (V580, V661, V671).</w:t>
      </w:r>
    </w:p>
    <w:p w14:paraId="34B3D637" w14:textId="77777777" w:rsidR="00C94C59" w:rsidRPr="00FF008A" w:rsidRDefault="00C94C59" w:rsidP="00C94C59">
      <w:pPr>
        <w:tabs>
          <w:tab w:val="left" w:pos="720"/>
        </w:tabs>
        <w:spacing w:line="360" w:lineRule="auto"/>
        <w:rPr>
          <w:rFonts w:ascii="Times New Roman" w:hAnsi="Times New Roman" w:cs="Times New Roman"/>
          <w:color w:val="222222"/>
          <w:sz w:val="24"/>
          <w:szCs w:val="24"/>
          <w:shd w:val="clear" w:color="auto" w:fill="FFFFFF"/>
        </w:rPr>
      </w:pPr>
      <w:r w:rsidRPr="00FF008A">
        <w:rPr>
          <w:rFonts w:ascii="Times New Roman" w:hAnsi="Times New Roman" w:cs="Times New Roman"/>
          <w:b/>
          <w:sz w:val="24"/>
          <w:szCs w:val="24"/>
        </w:rPr>
        <w:lastRenderedPageBreak/>
        <w:t>Table 1. Diagnosis and procedure codes for cancer radiotherapy</w:t>
      </w:r>
    </w:p>
    <w:tbl>
      <w:tblPr>
        <w:tblW w:w="7110" w:type="dxa"/>
        <w:tblInd w:w="-5" w:type="dxa"/>
        <w:tblLook w:val="04A0" w:firstRow="1" w:lastRow="0" w:firstColumn="1" w:lastColumn="0" w:noHBand="0" w:noVBand="1"/>
      </w:tblPr>
      <w:tblGrid>
        <w:gridCol w:w="1440"/>
        <w:gridCol w:w="5670"/>
      </w:tblGrid>
      <w:tr w:rsidR="00C94C59" w:rsidRPr="00BA7CA5" w14:paraId="0C271288"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DCF39" w14:textId="77777777" w:rsidR="00C94C59" w:rsidRPr="00FF008A" w:rsidRDefault="00C94C59" w:rsidP="00931884">
            <w:pPr>
              <w:spacing w:line="360" w:lineRule="auto"/>
              <w:rPr>
                <w:rFonts w:ascii="Times New Roman" w:eastAsia="Times New Roman" w:hAnsi="Times New Roman" w:cs="Times New Roman"/>
                <w:b/>
                <w:color w:val="000000"/>
                <w:sz w:val="24"/>
                <w:szCs w:val="24"/>
              </w:rPr>
            </w:pPr>
            <w:r w:rsidRPr="00FF008A">
              <w:rPr>
                <w:rFonts w:ascii="Times New Roman" w:eastAsia="Times New Roman" w:hAnsi="Times New Roman" w:cs="Times New Roman"/>
                <w:b/>
                <w:color w:val="000000"/>
                <w:sz w:val="24"/>
                <w:szCs w:val="24"/>
              </w:rPr>
              <w:t>ICD-9</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6273B657" w14:textId="77777777" w:rsidR="00C94C59" w:rsidRPr="00FF008A" w:rsidRDefault="00C94C59" w:rsidP="00931884">
            <w:pPr>
              <w:spacing w:line="360" w:lineRule="auto"/>
              <w:rPr>
                <w:rFonts w:ascii="Times New Roman" w:eastAsia="Times New Roman" w:hAnsi="Times New Roman" w:cs="Times New Roman"/>
                <w:b/>
                <w:color w:val="000000"/>
                <w:sz w:val="24"/>
                <w:szCs w:val="24"/>
              </w:rPr>
            </w:pPr>
            <w:r w:rsidRPr="00FF008A">
              <w:rPr>
                <w:rFonts w:ascii="Times New Roman" w:eastAsia="Times New Roman" w:hAnsi="Times New Roman" w:cs="Times New Roman"/>
                <w:b/>
                <w:color w:val="000000"/>
                <w:sz w:val="24"/>
                <w:szCs w:val="24"/>
              </w:rPr>
              <w:t>Description</w:t>
            </w:r>
          </w:p>
        </w:tc>
      </w:tr>
      <w:tr w:rsidR="00C94C59" w:rsidRPr="00BA7CA5" w14:paraId="04FEC110"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51FEA699" w14:textId="77777777" w:rsidR="00C94C59" w:rsidRPr="00FF008A" w:rsidRDefault="00C94C59" w:rsidP="00931884">
            <w:pPr>
              <w:spacing w:line="360" w:lineRule="auto"/>
              <w:jc w:val="center"/>
              <w:rPr>
                <w:rFonts w:ascii="Times New Roman" w:eastAsia="Times New Roman" w:hAnsi="Times New Roman" w:cs="Times New Roman"/>
                <w:color w:val="000000"/>
                <w:sz w:val="24"/>
                <w:szCs w:val="24"/>
              </w:rPr>
            </w:pPr>
            <w:r w:rsidRPr="00FF008A">
              <w:rPr>
                <w:rFonts w:ascii="Times New Roman" w:hAnsi="Times New Roman" w:cs="Times New Roman"/>
                <w:sz w:val="24"/>
                <w:szCs w:val="24"/>
              </w:rPr>
              <w:t>V58.0</w:t>
            </w:r>
          </w:p>
        </w:tc>
        <w:tc>
          <w:tcPr>
            <w:tcW w:w="5670" w:type="dxa"/>
            <w:tcBorders>
              <w:top w:val="single" w:sz="4" w:space="0" w:color="auto"/>
              <w:left w:val="nil"/>
              <w:bottom w:val="single" w:sz="4" w:space="0" w:color="auto"/>
              <w:right w:val="single" w:sz="4" w:space="0" w:color="auto"/>
            </w:tcBorders>
            <w:shd w:val="clear" w:color="auto" w:fill="auto"/>
            <w:noWrap/>
            <w:hideMark/>
          </w:tcPr>
          <w:p w14:paraId="314A2874" w14:textId="77777777" w:rsidR="00C94C59" w:rsidRPr="00FF008A" w:rsidRDefault="00C94C59" w:rsidP="00931884">
            <w:pPr>
              <w:spacing w:line="360" w:lineRule="auto"/>
              <w:rPr>
                <w:rFonts w:ascii="Times New Roman" w:eastAsia="Times New Roman" w:hAnsi="Times New Roman" w:cs="Times New Roman"/>
                <w:color w:val="000000"/>
                <w:sz w:val="24"/>
                <w:szCs w:val="24"/>
              </w:rPr>
            </w:pPr>
            <w:r w:rsidRPr="00FF008A">
              <w:rPr>
                <w:rFonts w:ascii="Times New Roman" w:hAnsi="Times New Roman" w:cs="Times New Roman"/>
                <w:bCs/>
                <w:color w:val="000000"/>
                <w:sz w:val="24"/>
                <w:szCs w:val="24"/>
                <w:shd w:val="clear" w:color="auto" w:fill="FFFFFF"/>
              </w:rPr>
              <w:t>Encounter for radiotherapy</w:t>
            </w:r>
          </w:p>
        </w:tc>
      </w:tr>
      <w:tr w:rsidR="00C94C59" w:rsidRPr="00BA7CA5" w14:paraId="4383EF98"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3C412AE6" w14:textId="77777777" w:rsidR="00C94C59" w:rsidRPr="00FF008A" w:rsidRDefault="00C94C59" w:rsidP="00931884">
            <w:pPr>
              <w:spacing w:line="360" w:lineRule="auto"/>
              <w:jc w:val="center"/>
              <w:rPr>
                <w:rFonts w:ascii="Times New Roman" w:eastAsia="Times New Roman" w:hAnsi="Times New Roman" w:cs="Times New Roman"/>
                <w:color w:val="000000"/>
                <w:sz w:val="24"/>
                <w:szCs w:val="24"/>
              </w:rPr>
            </w:pPr>
            <w:r w:rsidRPr="00FF008A">
              <w:rPr>
                <w:rFonts w:ascii="Times New Roman" w:hAnsi="Times New Roman" w:cs="Times New Roman"/>
                <w:sz w:val="24"/>
                <w:szCs w:val="24"/>
              </w:rPr>
              <w:t>V66.1</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2B179A37" w14:textId="77777777" w:rsidR="00C94C59" w:rsidRPr="00FF008A" w:rsidRDefault="00C94C59" w:rsidP="00931884">
            <w:pPr>
              <w:tabs>
                <w:tab w:val="left" w:pos="900"/>
              </w:tabs>
              <w:autoSpaceDE w:val="0"/>
              <w:autoSpaceDN w:val="0"/>
              <w:adjustRightInd w:val="0"/>
              <w:spacing w:line="360" w:lineRule="auto"/>
              <w:rPr>
                <w:rFonts w:ascii="Times New Roman" w:hAnsi="Times New Roman" w:cs="Times New Roman"/>
                <w:sz w:val="24"/>
                <w:szCs w:val="24"/>
              </w:rPr>
            </w:pPr>
            <w:r w:rsidRPr="00FF008A">
              <w:rPr>
                <w:rFonts w:ascii="Times New Roman" w:hAnsi="Times New Roman" w:cs="Times New Roman"/>
                <w:bCs/>
                <w:color w:val="000000"/>
                <w:sz w:val="24"/>
                <w:szCs w:val="24"/>
                <w:shd w:val="clear" w:color="auto" w:fill="FFFFFF"/>
              </w:rPr>
              <w:t>Convalescence following radiotherapy</w:t>
            </w:r>
          </w:p>
        </w:tc>
      </w:tr>
      <w:tr w:rsidR="00C94C59" w:rsidRPr="00BA7CA5" w14:paraId="3D2DD5BC"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78B7C3A" w14:textId="77777777" w:rsidR="00C94C59" w:rsidRPr="00FF008A" w:rsidRDefault="00C94C59" w:rsidP="00931884">
            <w:pPr>
              <w:spacing w:line="360" w:lineRule="auto"/>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V671</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7D298705" w14:textId="77777777" w:rsidR="00C94C59" w:rsidRPr="00FF008A" w:rsidRDefault="00C94C59" w:rsidP="00931884">
            <w:pPr>
              <w:tabs>
                <w:tab w:val="left" w:pos="900"/>
              </w:tabs>
              <w:autoSpaceDE w:val="0"/>
              <w:autoSpaceDN w:val="0"/>
              <w:adjustRightInd w:val="0"/>
              <w:spacing w:line="360" w:lineRule="auto"/>
              <w:rPr>
                <w:rFonts w:ascii="Times New Roman" w:hAnsi="Times New Roman" w:cs="Times New Roman"/>
                <w:sz w:val="24"/>
                <w:szCs w:val="24"/>
              </w:rPr>
            </w:pPr>
            <w:r w:rsidRPr="00FF008A">
              <w:rPr>
                <w:rFonts w:ascii="Times New Roman" w:hAnsi="Times New Roman" w:cs="Times New Roman"/>
                <w:bCs/>
                <w:color w:val="000000"/>
                <w:sz w:val="24"/>
                <w:szCs w:val="24"/>
                <w:shd w:val="clear" w:color="auto" w:fill="FFFFFF"/>
              </w:rPr>
              <w:t>Follow-up examination following radiotherapy</w:t>
            </w:r>
          </w:p>
        </w:tc>
      </w:tr>
    </w:tbl>
    <w:p w14:paraId="226D5E26" w14:textId="77777777" w:rsidR="00C94C59" w:rsidRPr="00BA7CA5" w:rsidRDefault="00C94C59" w:rsidP="00C94C59">
      <w:pPr>
        <w:spacing w:line="360" w:lineRule="auto"/>
        <w:rPr>
          <w:rFonts w:ascii="Times New Roman" w:hAnsi="Times New Roman" w:cs="Times New Roman"/>
          <w:b/>
        </w:rPr>
      </w:pPr>
    </w:p>
    <w:p w14:paraId="58C18AE8" w14:textId="77777777" w:rsidR="00C94C59" w:rsidRPr="00FF008A" w:rsidRDefault="00C94C59" w:rsidP="00C94C59">
      <w:pPr>
        <w:spacing w:line="360" w:lineRule="auto"/>
        <w:rPr>
          <w:rFonts w:ascii="Times New Roman" w:hAnsi="Times New Roman" w:cs="Times New Roman"/>
          <w:sz w:val="24"/>
          <w:szCs w:val="24"/>
        </w:rPr>
      </w:pPr>
      <w:r w:rsidRPr="00FF008A">
        <w:rPr>
          <w:rFonts w:ascii="Times New Roman" w:hAnsi="Times New Roman" w:cs="Times New Roman"/>
          <w:b/>
          <w:sz w:val="24"/>
          <w:szCs w:val="24"/>
        </w:rPr>
        <w:t xml:space="preserve">4. IC </w:t>
      </w:r>
      <w:r w:rsidRPr="00FF008A">
        <w:rPr>
          <w:rFonts w:ascii="Times New Roman" w:hAnsi="Times New Roman" w:cs="Times New Roman"/>
          <w:sz w:val="24"/>
          <w:szCs w:val="24"/>
        </w:rPr>
        <w:t xml:space="preserve">– </w:t>
      </w:r>
      <w:r w:rsidRPr="00FF008A">
        <w:rPr>
          <w:rFonts w:ascii="Times New Roman" w:hAnsi="Times New Roman" w:cs="Times New Roman"/>
          <w:b/>
          <w:sz w:val="24"/>
          <w:szCs w:val="24"/>
        </w:rPr>
        <w:t>Blood Cancer</w:t>
      </w:r>
    </w:p>
    <w:p w14:paraId="13FABB7A" w14:textId="77777777" w:rsidR="00C94C59" w:rsidRPr="00FF008A" w:rsidRDefault="00C94C59" w:rsidP="00C94C59">
      <w:pPr>
        <w:spacing w:line="480" w:lineRule="auto"/>
        <w:rPr>
          <w:rFonts w:ascii="Times New Roman" w:hAnsi="Times New Roman" w:cs="Times New Roman"/>
          <w:sz w:val="24"/>
          <w:szCs w:val="24"/>
        </w:rPr>
      </w:pPr>
      <w:r w:rsidRPr="00FF008A">
        <w:rPr>
          <w:rFonts w:ascii="Times New Roman" w:hAnsi="Times New Roman" w:cs="Times New Roman"/>
          <w:sz w:val="24"/>
          <w:szCs w:val="24"/>
        </w:rPr>
        <w:t xml:space="preserve">Persons were considered immunocompromised if they were diagnosed as having blood cancer (ICD-9 codes 200-208 or similar diagnoses in the Israel Ministry of Health cancer registry) during the previous year (Table 2). </w:t>
      </w:r>
    </w:p>
    <w:p w14:paraId="14F6FEF4" w14:textId="77777777" w:rsidR="00C94C59" w:rsidRPr="00FF008A" w:rsidRDefault="00C94C59" w:rsidP="00C94C59">
      <w:pPr>
        <w:tabs>
          <w:tab w:val="left" w:pos="720"/>
        </w:tabs>
        <w:spacing w:line="360" w:lineRule="auto"/>
        <w:rPr>
          <w:rFonts w:ascii="Times New Roman" w:hAnsi="Times New Roman" w:cs="Times New Roman"/>
          <w:color w:val="222222"/>
          <w:sz w:val="24"/>
          <w:szCs w:val="24"/>
          <w:shd w:val="clear" w:color="auto" w:fill="FFFFFF"/>
        </w:rPr>
      </w:pPr>
      <w:r w:rsidRPr="00FF008A">
        <w:rPr>
          <w:rFonts w:ascii="Times New Roman" w:hAnsi="Times New Roman" w:cs="Times New Roman"/>
          <w:b/>
          <w:sz w:val="24"/>
          <w:szCs w:val="24"/>
        </w:rPr>
        <w:t>Table 2. Categories of blood cancers (ICD-9 codes 200-208)</w:t>
      </w:r>
    </w:p>
    <w:tbl>
      <w:tblPr>
        <w:tblW w:w="7110" w:type="dxa"/>
        <w:tblInd w:w="-5" w:type="dxa"/>
        <w:tblLook w:val="04A0" w:firstRow="1" w:lastRow="0" w:firstColumn="1" w:lastColumn="0" w:noHBand="0" w:noVBand="1"/>
      </w:tblPr>
      <w:tblGrid>
        <w:gridCol w:w="1440"/>
        <w:gridCol w:w="5670"/>
      </w:tblGrid>
      <w:tr w:rsidR="00C94C59" w:rsidRPr="00BA7CA5" w14:paraId="33C37821"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FA2FE" w14:textId="77777777" w:rsidR="00C94C59" w:rsidRPr="00FF008A" w:rsidRDefault="00C94C59" w:rsidP="00931884">
            <w:pPr>
              <w:spacing w:line="360" w:lineRule="auto"/>
              <w:jc w:val="center"/>
              <w:rPr>
                <w:rFonts w:ascii="Times New Roman" w:eastAsia="Times New Roman" w:hAnsi="Times New Roman" w:cs="Times New Roman"/>
                <w:b/>
                <w:color w:val="000000"/>
                <w:sz w:val="24"/>
                <w:szCs w:val="24"/>
              </w:rPr>
            </w:pPr>
            <w:r w:rsidRPr="00FF008A">
              <w:rPr>
                <w:rFonts w:ascii="Times New Roman" w:eastAsia="Times New Roman" w:hAnsi="Times New Roman" w:cs="Times New Roman"/>
                <w:b/>
                <w:color w:val="000000"/>
                <w:sz w:val="24"/>
                <w:szCs w:val="24"/>
              </w:rPr>
              <w:t>ICD-9</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213CC7A3" w14:textId="77777777" w:rsidR="00C94C59" w:rsidRPr="00FF008A" w:rsidRDefault="00C94C59" w:rsidP="00931884">
            <w:pPr>
              <w:spacing w:line="360" w:lineRule="auto"/>
              <w:jc w:val="center"/>
              <w:rPr>
                <w:rFonts w:ascii="Times New Roman" w:eastAsia="Times New Roman" w:hAnsi="Times New Roman" w:cs="Times New Roman"/>
                <w:b/>
                <w:color w:val="000000"/>
                <w:sz w:val="24"/>
                <w:szCs w:val="24"/>
              </w:rPr>
            </w:pPr>
            <w:r w:rsidRPr="00FF008A">
              <w:rPr>
                <w:rFonts w:ascii="Times New Roman" w:eastAsia="Times New Roman" w:hAnsi="Times New Roman" w:cs="Times New Roman"/>
                <w:b/>
                <w:color w:val="000000"/>
                <w:sz w:val="24"/>
                <w:szCs w:val="24"/>
              </w:rPr>
              <w:t>Description</w:t>
            </w:r>
          </w:p>
        </w:tc>
      </w:tr>
      <w:tr w:rsidR="00C94C59" w:rsidRPr="00BA7CA5" w14:paraId="377F9FCB"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6CE46181" w14:textId="77777777" w:rsidR="00C94C59" w:rsidRPr="00FF008A" w:rsidRDefault="00C94C59" w:rsidP="00931884">
            <w:pPr>
              <w:spacing w:line="360" w:lineRule="auto"/>
              <w:jc w:val="center"/>
              <w:rPr>
                <w:rFonts w:ascii="Times New Roman" w:eastAsia="Times New Roman" w:hAnsi="Times New Roman" w:cs="Times New Roman"/>
                <w:color w:val="000000"/>
                <w:sz w:val="24"/>
                <w:szCs w:val="24"/>
              </w:rPr>
            </w:pPr>
            <w:r w:rsidRPr="00FF008A">
              <w:rPr>
                <w:rFonts w:ascii="Times New Roman" w:hAnsi="Times New Roman" w:cs="Times New Roman"/>
                <w:sz w:val="24"/>
                <w:szCs w:val="24"/>
              </w:rPr>
              <w:t>200</w:t>
            </w:r>
          </w:p>
        </w:tc>
        <w:tc>
          <w:tcPr>
            <w:tcW w:w="5670" w:type="dxa"/>
            <w:tcBorders>
              <w:top w:val="single" w:sz="4" w:space="0" w:color="auto"/>
              <w:left w:val="nil"/>
              <w:bottom w:val="single" w:sz="4" w:space="0" w:color="auto"/>
              <w:right w:val="single" w:sz="4" w:space="0" w:color="auto"/>
            </w:tcBorders>
            <w:shd w:val="clear" w:color="auto" w:fill="auto"/>
            <w:noWrap/>
            <w:hideMark/>
          </w:tcPr>
          <w:p w14:paraId="107D71B3" w14:textId="77777777" w:rsidR="00C94C59" w:rsidRPr="00FF008A" w:rsidRDefault="00C94C59" w:rsidP="00931884">
            <w:pPr>
              <w:spacing w:line="360" w:lineRule="auto"/>
              <w:rPr>
                <w:rFonts w:ascii="Times New Roman" w:eastAsia="Times New Roman" w:hAnsi="Times New Roman" w:cs="Times New Roman"/>
                <w:color w:val="000000"/>
                <w:sz w:val="24"/>
                <w:szCs w:val="24"/>
              </w:rPr>
            </w:pPr>
            <w:proofErr w:type="spellStart"/>
            <w:r w:rsidRPr="00FF008A">
              <w:rPr>
                <w:rFonts w:ascii="Times New Roman" w:hAnsi="Times New Roman" w:cs="Times New Roman"/>
                <w:color w:val="000000"/>
                <w:sz w:val="24"/>
                <w:szCs w:val="24"/>
              </w:rPr>
              <w:t>Lymphosarcoma</w:t>
            </w:r>
            <w:proofErr w:type="spellEnd"/>
            <w:r w:rsidRPr="00FF008A">
              <w:rPr>
                <w:rFonts w:ascii="Times New Roman" w:hAnsi="Times New Roman" w:cs="Times New Roman"/>
                <w:color w:val="000000"/>
                <w:sz w:val="24"/>
                <w:szCs w:val="24"/>
              </w:rPr>
              <w:t xml:space="preserve"> and </w:t>
            </w:r>
            <w:proofErr w:type="spellStart"/>
            <w:r w:rsidRPr="00FF008A">
              <w:rPr>
                <w:rFonts w:ascii="Times New Roman" w:hAnsi="Times New Roman" w:cs="Times New Roman"/>
                <w:color w:val="000000"/>
                <w:sz w:val="24"/>
                <w:szCs w:val="24"/>
              </w:rPr>
              <w:t>reticulosarcoma</w:t>
            </w:r>
            <w:proofErr w:type="spellEnd"/>
            <w:r w:rsidRPr="00FF008A">
              <w:rPr>
                <w:rFonts w:ascii="Times New Roman" w:hAnsi="Times New Roman" w:cs="Times New Roman"/>
                <w:color w:val="000000"/>
                <w:sz w:val="24"/>
                <w:szCs w:val="24"/>
              </w:rPr>
              <w:t xml:space="preserve"> and other specified malignant tumors of lymphatic tissue</w:t>
            </w:r>
          </w:p>
        </w:tc>
      </w:tr>
      <w:tr w:rsidR="00C94C59" w:rsidRPr="00BA7CA5" w14:paraId="531E465F"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3621F854" w14:textId="77777777" w:rsidR="00C94C59" w:rsidRPr="00FF008A" w:rsidRDefault="00C94C59" w:rsidP="00931884">
            <w:pPr>
              <w:spacing w:line="360" w:lineRule="auto"/>
              <w:jc w:val="center"/>
              <w:rPr>
                <w:rFonts w:ascii="Times New Roman" w:eastAsia="Times New Roman" w:hAnsi="Times New Roman" w:cs="Times New Roman"/>
                <w:color w:val="000000"/>
                <w:sz w:val="24"/>
                <w:szCs w:val="24"/>
              </w:rPr>
            </w:pPr>
            <w:r w:rsidRPr="00FF008A">
              <w:rPr>
                <w:rFonts w:ascii="Times New Roman" w:hAnsi="Times New Roman" w:cs="Times New Roman"/>
                <w:sz w:val="24"/>
                <w:szCs w:val="24"/>
              </w:rPr>
              <w:t>201</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5040703A" w14:textId="77777777" w:rsidR="00C94C59" w:rsidRPr="00FF008A" w:rsidRDefault="00C94C59" w:rsidP="00931884">
            <w:pPr>
              <w:tabs>
                <w:tab w:val="left" w:pos="900"/>
              </w:tabs>
              <w:autoSpaceDE w:val="0"/>
              <w:autoSpaceDN w:val="0"/>
              <w:adjustRightInd w:val="0"/>
              <w:spacing w:line="360" w:lineRule="auto"/>
              <w:rPr>
                <w:rFonts w:ascii="Times New Roman" w:hAnsi="Times New Roman" w:cs="Times New Roman"/>
                <w:sz w:val="24"/>
                <w:szCs w:val="24"/>
              </w:rPr>
            </w:pPr>
            <w:r w:rsidRPr="00FF008A">
              <w:rPr>
                <w:rFonts w:ascii="Times New Roman" w:hAnsi="Times New Roman" w:cs="Times New Roman"/>
                <w:color w:val="000000"/>
                <w:sz w:val="24"/>
                <w:szCs w:val="24"/>
              </w:rPr>
              <w:t>Hodgkin's disease</w:t>
            </w:r>
          </w:p>
        </w:tc>
      </w:tr>
      <w:tr w:rsidR="00C94C59" w:rsidRPr="00BA7CA5" w14:paraId="0671592E"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B7E9A87" w14:textId="77777777" w:rsidR="00C94C59" w:rsidRPr="00FF008A" w:rsidRDefault="00C94C59" w:rsidP="00931884">
            <w:pPr>
              <w:spacing w:line="360" w:lineRule="auto"/>
              <w:jc w:val="center"/>
              <w:rPr>
                <w:rFonts w:ascii="Times New Roman" w:hAnsi="Times New Roman" w:cs="Times New Roman"/>
                <w:sz w:val="24"/>
                <w:szCs w:val="24"/>
              </w:rPr>
            </w:pPr>
            <w:r w:rsidRPr="00FF008A">
              <w:rPr>
                <w:rFonts w:ascii="Times New Roman" w:hAnsi="Times New Roman" w:cs="Times New Roman"/>
                <w:sz w:val="24"/>
                <w:szCs w:val="24"/>
              </w:rPr>
              <w:t>202</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52FB1C16" w14:textId="77777777" w:rsidR="00C94C59" w:rsidRPr="00FF008A" w:rsidRDefault="00C94C59" w:rsidP="00931884">
            <w:pPr>
              <w:tabs>
                <w:tab w:val="left" w:pos="900"/>
              </w:tabs>
              <w:autoSpaceDE w:val="0"/>
              <w:autoSpaceDN w:val="0"/>
              <w:adjustRightInd w:val="0"/>
              <w:spacing w:line="360" w:lineRule="auto"/>
              <w:rPr>
                <w:rFonts w:ascii="Times New Roman" w:hAnsi="Times New Roman" w:cs="Times New Roman"/>
                <w:color w:val="000000"/>
                <w:sz w:val="24"/>
                <w:szCs w:val="24"/>
              </w:rPr>
            </w:pPr>
            <w:r w:rsidRPr="00FF008A">
              <w:rPr>
                <w:rFonts w:ascii="Times New Roman" w:hAnsi="Times New Roman" w:cs="Times New Roman"/>
                <w:color w:val="000000"/>
                <w:sz w:val="24"/>
                <w:szCs w:val="24"/>
              </w:rPr>
              <w:t>Other malignant neoplasms of lymphoid and histiocytic tissue</w:t>
            </w:r>
          </w:p>
        </w:tc>
      </w:tr>
      <w:tr w:rsidR="00C94C59" w:rsidRPr="00BA7CA5" w14:paraId="3017F0A2"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576DD60" w14:textId="77777777" w:rsidR="00C94C59" w:rsidRPr="00FF008A" w:rsidRDefault="00C94C59" w:rsidP="00931884">
            <w:pPr>
              <w:spacing w:line="360" w:lineRule="auto"/>
              <w:jc w:val="center"/>
              <w:rPr>
                <w:rFonts w:ascii="Times New Roman" w:hAnsi="Times New Roman" w:cs="Times New Roman"/>
                <w:sz w:val="24"/>
                <w:szCs w:val="24"/>
              </w:rPr>
            </w:pPr>
            <w:r w:rsidRPr="00FF008A">
              <w:rPr>
                <w:rFonts w:ascii="Times New Roman" w:hAnsi="Times New Roman" w:cs="Times New Roman"/>
                <w:sz w:val="24"/>
                <w:szCs w:val="24"/>
              </w:rPr>
              <w:t>203</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7C179765" w14:textId="77777777" w:rsidR="00C94C59" w:rsidRPr="00FF008A" w:rsidRDefault="00C94C59" w:rsidP="00931884">
            <w:pPr>
              <w:tabs>
                <w:tab w:val="left" w:pos="900"/>
              </w:tabs>
              <w:autoSpaceDE w:val="0"/>
              <w:autoSpaceDN w:val="0"/>
              <w:adjustRightInd w:val="0"/>
              <w:spacing w:line="360" w:lineRule="auto"/>
              <w:rPr>
                <w:rFonts w:ascii="Times New Roman" w:hAnsi="Times New Roman" w:cs="Times New Roman"/>
                <w:color w:val="000000"/>
                <w:sz w:val="24"/>
                <w:szCs w:val="24"/>
              </w:rPr>
            </w:pPr>
            <w:r w:rsidRPr="00FF008A">
              <w:rPr>
                <w:rFonts w:ascii="Times New Roman" w:hAnsi="Times New Roman" w:cs="Times New Roman"/>
                <w:color w:val="000000"/>
                <w:sz w:val="24"/>
                <w:szCs w:val="24"/>
              </w:rPr>
              <w:t>Multiple myeloma and immunoproliferative neoplasms</w:t>
            </w:r>
          </w:p>
        </w:tc>
      </w:tr>
      <w:tr w:rsidR="00C94C59" w:rsidRPr="00BA7CA5" w14:paraId="198878F8"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17742E8" w14:textId="77777777" w:rsidR="00C94C59" w:rsidRPr="00FF008A" w:rsidRDefault="00C94C59" w:rsidP="00931884">
            <w:pPr>
              <w:spacing w:line="360" w:lineRule="auto"/>
              <w:jc w:val="center"/>
              <w:rPr>
                <w:rFonts w:ascii="Times New Roman" w:hAnsi="Times New Roman" w:cs="Times New Roman"/>
                <w:sz w:val="24"/>
                <w:szCs w:val="24"/>
              </w:rPr>
            </w:pPr>
            <w:r w:rsidRPr="00FF008A">
              <w:rPr>
                <w:rFonts w:ascii="Times New Roman" w:hAnsi="Times New Roman" w:cs="Times New Roman"/>
                <w:sz w:val="24"/>
                <w:szCs w:val="24"/>
              </w:rPr>
              <w:t>204</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774E7FC4" w14:textId="77777777" w:rsidR="00C94C59" w:rsidRPr="00FF008A" w:rsidRDefault="00C94C59" w:rsidP="00931884">
            <w:pPr>
              <w:tabs>
                <w:tab w:val="left" w:pos="900"/>
              </w:tabs>
              <w:autoSpaceDE w:val="0"/>
              <w:autoSpaceDN w:val="0"/>
              <w:adjustRightInd w:val="0"/>
              <w:spacing w:line="360" w:lineRule="auto"/>
              <w:rPr>
                <w:rFonts w:ascii="Times New Roman" w:hAnsi="Times New Roman" w:cs="Times New Roman"/>
                <w:color w:val="000000"/>
                <w:sz w:val="24"/>
                <w:szCs w:val="24"/>
              </w:rPr>
            </w:pPr>
            <w:r w:rsidRPr="00FF008A">
              <w:rPr>
                <w:rFonts w:ascii="Times New Roman" w:hAnsi="Times New Roman" w:cs="Times New Roman"/>
                <w:color w:val="000000"/>
                <w:sz w:val="24"/>
                <w:szCs w:val="24"/>
              </w:rPr>
              <w:t>Lymphoid leukemia</w:t>
            </w:r>
          </w:p>
        </w:tc>
      </w:tr>
      <w:tr w:rsidR="00C94C59" w:rsidRPr="00BA7CA5" w14:paraId="2627F7FA"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39571D3" w14:textId="77777777" w:rsidR="00C94C59" w:rsidRPr="00FF008A" w:rsidRDefault="00C94C59" w:rsidP="00931884">
            <w:pPr>
              <w:spacing w:line="360" w:lineRule="auto"/>
              <w:jc w:val="center"/>
              <w:rPr>
                <w:rFonts w:ascii="Times New Roman" w:hAnsi="Times New Roman" w:cs="Times New Roman"/>
                <w:sz w:val="24"/>
                <w:szCs w:val="24"/>
              </w:rPr>
            </w:pPr>
            <w:r w:rsidRPr="00FF008A">
              <w:rPr>
                <w:rFonts w:ascii="Times New Roman" w:hAnsi="Times New Roman" w:cs="Times New Roman"/>
                <w:sz w:val="24"/>
                <w:szCs w:val="24"/>
              </w:rPr>
              <w:t>205</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373C7A2E" w14:textId="77777777" w:rsidR="00C94C59" w:rsidRPr="00FF008A" w:rsidRDefault="00C94C59" w:rsidP="00931884">
            <w:pPr>
              <w:tabs>
                <w:tab w:val="left" w:pos="900"/>
              </w:tabs>
              <w:autoSpaceDE w:val="0"/>
              <w:autoSpaceDN w:val="0"/>
              <w:adjustRightInd w:val="0"/>
              <w:spacing w:line="360" w:lineRule="auto"/>
              <w:rPr>
                <w:rFonts w:ascii="Times New Roman" w:hAnsi="Times New Roman" w:cs="Times New Roman"/>
                <w:color w:val="000000"/>
                <w:sz w:val="24"/>
                <w:szCs w:val="24"/>
              </w:rPr>
            </w:pPr>
            <w:r w:rsidRPr="00FF008A">
              <w:rPr>
                <w:rFonts w:ascii="Times New Roman" w:hAnsi="Times New Roman" w:cs="Times New Roman"/>
                <w:color w:val="000000"/>
                <w:sz w:val="24"/>
                <w:szCs w:val="24"/>
              </w:rPr>
              <w:t>Myeloid leukemia</w:t>
            </w:r>
          </w:p>
        </w:tc>
      </w:tr>
      <w:tr w:rsidR="00C94C59" w:rsidRPr="00BA7CA5" w14:paraId="6853F3D8"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660ED50" w14:textId="77777777" w:rsidR="00C94C59" w:rsidRPr="00FF008A" w:rsidRDefault="00C94C59" w:rsidP="00931884">
            <w:pPr>
              <w:spacing w:line="360" w:lineRule="auto"/>
              <w:jc w:val="center"/>
              <w:rPr>
                <w:rFonts w:ascii="Times New Roman" w:hAnsi="Times New Roman" w:cs="Times New Roman"/>
                <w:sz w:val="24"/>
                <w:szCs w:val="24"/>
              </w:rPr>
            </w:pPr>
            <w:r w:rsidRPr="00FF008A">
              <w:rPr>
                <w:rFonts w:ascii="Times New Roman" w:hAnsi="Times New Roman" w:cs="Times New Roman"/>
                <w:sz w:val="24"/>
                <w:szCs w:val="24"/>
              </w:rPr>
              <w:t>206</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2F7CF872" w14:textId="77777777" w:rsidR="00C94C59" w:rsidRPr="00FF008A" w:rsidRDefault="00C94C59" w:rsidP="00931884">
            <w:pPr>
              <w:tabs>
                <w:tab w:val="left" w:pos="900"/>
              </w:tabs>
              <w:autoSpaceDE w:val="0"/>
              <w:autoSpaceDN w:val="0"/>
              <w:adjustRightInd w:val="0"/>
              <w:spacing w:line="360" w:lineRule="auto"/>
              <w:rPr>
                <w:rFonts w:ascii="Times New Roman" w:hAnsi="Times New Roman" w:cs="Times New Roman"/>
                <w:color w:val="000000"/>
                <w:sz w:val="24"/>
                <w:szCs w:val="24"/>
              </w:rPr>
            </w:pPr>
            <w:r w:rsidRPr="00FF008A">
              <w:rPr>
                <w:rFonts w:ascii="Times New Roman" w:hAnsi="Times New Roman" w:cs="Times New Roman"/>
                <w:color w:val="000000"/>
                <w:sz w:val="24"/>
                <w:szCs w:val="24"/>
              </w:rPr>
              <w:t>Monocytic leukemia</w:t>
            </w:r>
          </w:p>
        </w:tc>
      </w:tr>
      <w:tr w:rsidR="00C94C59" w:rsidRPr="00BA7CA5" w14:paraId="35DA0381"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7BE9BC7" w14:textId="77777777" w:rsidR="00C94C59" w:rsidRPr="00FF008A" w:rsidRDefault="00C94C59" w:rsidP="00931884">
            <w:pPr>
              <w:spacing w:line="360" w:lineRule="auto"/>
              <w:jc w:val="center"/>
              <w:rPr>
                <w:rFonts w:ascii="Times New Roman" w:hAnsi="Times New Roman" w:cs="Times New Roman"/>
                <w:sz w:val="24"/>
                <w:szCs w:val="24"/>
              </w:rPr>
            </w:pPr>
            <w:r w:rsidRPr="00FF008A">
              <w:rPr>
                <w:rFonts w:ascii="Times New Roman" w:hAnsi="Times New Roman" w:cs="Times New Roman"/>
                <w:sz w:val="24"/>
                <w:szCs w:val="24"/>
              </w:rPr>
              <w:t>207</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666B1A3A" w14:textId="77777777" w:rsidR="00C94C59" w:rsidRPr="00FF008A" w:rsidRDefault="00C94C59" w:rsidP="00931884">
            <w:pPr>
              <w:tabs>
                <w:tab w:val="left" w:pos="900"/>
              </w:tabs>
              <w:autoSpaceDE w:val="0"/>
              <w:autoSpaceDN w:val="0"/>
              <w:adjustRightInd w:val="0"/>
              <w:spacing w:line="360" w:lineRule="auto"/>
              <w:rPr>
                <w:rFonts w:ascii="Times New Roman" w:hAnsi="Times New Roman" w:cs="Times New Roman"/>
                <w:color w:val="000000"/>
                <w:sz w:val="24"/>
                <w:szCs w:val="24"/>
              </w:rPr>
            </w:pPr>
            <w:r w:rsidRPr="00FF008A">
              <w:rPr>
                <w:rFonts w:ascii="Times New Roman" w:hAnsi="Times New Roman" w:cs="Times New Roman"/>
                <w:color w:val="000000"/>
                <w:sz w:val="24"/>
                <w:szCs w:val="24"/>
              </w:rPr>
              <w:t>Other specified leukemia</w:t>
            </w:r>
          </w:p>
        </w:tc>
      </w:tr>
      <w:tr w:rsidR="00C94C59" w:rsidRPr="00BA7CA5" w14:paraId="334BC5FF"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7C53CF0" w14:textId="77777777" w:rsidR="00C94C59" w:rsidRPr="00FF008A" w:rsidRDefault="00C94C59" w:rsidP="00931884">
            <w:pPr>
              <w:spacing w:line="360" w:lineRule="auto"/>
              <w:jc w:val="center"/>
              <w:rPr>
                <w:rFonts w:ascii="Times New Roman" w:hAnsi="Times New Roman" w:cs="Times New Roman"/>
                <w:sz w:val="24"/>
                <w:szCs w:val="24"/>
              </w:rPr>
            </w:pPr>
            <w:r w:rsidRPr="00FF008A">
              <w:rPr>
                <w:rFonts w:ascii="Times New Roman" w:hAnsi="Times New Roman" w:cs="Times New Roman"/>
                <w:sz w:val="24"/>
                <w:szCs w:val="24"/>
              </w:rPr>
              <w:lastRenderedPageBreak/>
              <w:t>208</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34BF8B32" w14:textId="77777777" w:rsidR="00C94C59" w:rsidRPr="00FF008A" w:rsidRDefault="00C94C59" w:rsidP="00931884">
            <w:pPr>
              <w:tabs>
                <w:tab w:val="left" w:pos="900"/>
              </w:tabs>
              <w:autoSpaceDE w:val="0"/>
              <w:autoSpaceDN w:val="0"/>
              <w:adjustRightInd w:val="0"/>
              <w:spacing w:line="360" w:lineRule="auto"/>
              <w:rPr>
                <w:rFonts w:ascii="Times New Roman" w:hAnsi="Times New Roman" w:cs="Times New Roman"/>
                <w:color w:val="000000"/>
                <w:sz w:val="24"/>
                <w:szCs w:val="24"/>
              </w:rPr>
            </w:pPr>
            <w:r w:rsidRPr="00FF008A">
              <w:rPr>
                <w:rFonts w:ascii="Times New Roman" w:hAnsi="Times New Roman" w:cs="Times New Roman"/>
                <w:color w:val="000000"/>
                <w:sz w:val="24"/>
                <w:szCs w:val="24"/>
              </w:rPr>
              <w:t>Leukemia of unspecified cell type</w:t>
            </w:r>
          </w:p>
        </w:tc>
      </w:tr>
    </w:tbl>
    <w:p w14:paraId="7CF79064" w14:textId="77777777" w:rsidR="00C94C59" w:rsidRPr="00BA7CA5" w:rsidRDefault="00C94C59" w:rsidP="00C94C59">
      <w:pPr>
        <w:spacing w:line="360" w:lineRule="auto"/>
        <w:rPr>
          <w:rFonts w:ascii="Times New Roman" w:hAnsi="Times New Roman" w:cs="Times New Roman"/>
        </w:rPr>
      </w:pPr>
    </w:p>
    <w:p w14:paraId="406B347B" w14:textId="77777777" w:rsidR="00C94C59" w:rsidRPr="00FF008A" w:rsidRDefault="00C94C59" w:rsidP="00C94C59">
      <w:pPr>
        <w:spacing w:line="360" w:lineRule="auto"/>
        <w:rPr>
          <w:rFonts w:ascii="Times New Roman" w:hAnsi="Times New Roman" w:cs="Times New Roman"/>
          <w:b/>
          <w:sz w:val="24"/>
          <w:szCs w:val="24"/>
        </w:rPr>
      </w:pPr>
      <w:r w:rsidRPr="00FF008A">
        <w:rPr>
          <w:rFonts w:ascii="Times New Roman" w:hAnsi="Times New Roman" w:cs="Times New Roman"/>
          <w:b/>
          <w:sz w:val="24"/>
          <w:szCs w:val="24"/>
        </w:rPr>
        <w:t>5. IC – Metastatic cancer</w:t>
      </w:r>
    </w:p>
    <w:p w14:paraId="6BC918BD" w14:textId="77777777" w:rsidR="00C94C59" w:rsidRPr="00FF008A" w:rsidRDefault="00C94C59" w:rsidP="00C94C59">
      <w:pPr>
        <w:spacing w:line="480" w:lineRule="auto"/>
        <w:rPr>
          <w:rFonts w:ascii="Times New Roman" w:hAnsi="Times New Roman" w:cs="Times New Roman"/>
          <w:sz w:val="24"/>
          <w:szCs w:val="24"/>
        </w:rPr>
      </w:pPr>
      <w:r w:rsidRPr="00FF008A">
        <w:rPr>
          <w:rFonts w:ascii="Times New Roman" w:hAnsi="Times New Roman" w:cs="Times New Roman"/>
          <w:sz w:val="24"/>
          <w:szCs w:val="24"/>
        </w:rPr>
        <w:t xml:space="preserve">We used staging information from the Israel Ministry of Health cancer registry to identify persons with metastatic disease at initial diagnosis. In the registry, persons are classified as having metastatic cancer if either Surveillance, Epidemiology, and End Results (SEER) or Tumor, Nodes, Metastasis (TNM) staging indicates an advanced stage or the presence of distant metastases. </w:t>
      </w:r>
    </w:p>
    <w:p w14:paraId="1CC7047F" w14:textId="77777777" w:rsidR="00C94C59" w:rsidRPr="00FF008A" w:rsidRDefault="00C94C59" w:rsidP="00C94C59">
      <w:pPr>
        <w:spacing w:line="480" w:lineRule="auto"/>
        <w:rPr>
          <w:rFonts w:ascii="Times New Roman" w:hAnsi="Times New Roman" w:cs="Times New Roman"/>
          <w:sz w:val="24"/>
          <w:szCs w:val="24"/>
        </w:rPr>
      </w:pPr>
      <w:r w:rsidRPr="00FF008A">
        <w:rPr>
          <w:rFonts w:ascii="Times New Roman" w:hAnsi="Times New Roman" w:cs="Times New Roman"/>
          <w:sz w:val="24"/>
          <w:szCs w:val="24"/>
        </w:rPr>
        <w:t>We used metastasis diagnosis (ICD-9 codes 196-199) to identify persons who develop metastasis at a later point. (The Israel Ministry of Health cancer registry includes all newly diagnosed cases of cancer but does not capture information on recurrences or progression to metastatic cancer).</w:t>
      </w:r>
    </w:p>
    <w:p w14:paraId="1A043D1A" w14:textId="77777777" w:rsidR="00C94C59" w:rsidRPr="00FF008A" w:rsidRDefault="00C94C59" w:rsidP="00C94C59">
      <w:pPr>
        <w:spacing w:line="480" w:lineRule="auto"/>
        <w:rPr>
          <w:rFonts w:ascii="Times New Roman" w:hAnsi="Times New Roman" w:cs="Times New Roman"/>
          <w:sz w:val="24"/>
          <w:szCs w:val="24"/>
        </w:rPr>
      </w:pPr>
      <w:r w:rsidRPr="00FF008A">
        <w:rPr>
          <w:rFonts w:ascii="Times New Roman" w:hAnsi="Times New Roman" w:cs="Times New Roman"/>
          <w:sz w:val="24"/>
          <w:szCs w:val="24"/>
        </w:rPr>
        <w:t xml:space="preserve"> Persons identified as having metastatic cancer from the Israel Ministry of Health cancer registry were considered to have metastatic cancer if they were listed in the registry as having metastatic cancer. Persons identified as having metastatic cancer through an ICD-9 diagnosis alone were only considered to have metastatic cancer if the ICD-9 code was recorded in the previous year. This distinction reflects the higher accuracy of the Israel Ministry of Health registry compared to diagnosis codes for identifying metastatic cancer. </w:t>
      </w:r>
    </w:p>
    <w:p w14:paraId="2FA8D46E" w14:textId="77777777" w:rsidR="00C94C59" w:rsidRDefault="00C94C59" w:rsidP="00C94C59">
      <w:pPr>
        <w:spacing w:line="360" w:lineRule="auto"/>
        <w:rPr>
          <w:rFonts w:ascii="Times New Roman" w:hAnsi="Times New Roman" w:cs="Times New Roman"/>
          <w:b/>
          <w:sz w:val="24"/>
          <w:szCs w:val="24"/>
        </w:rPr>
      </w:pPr>
    </w:p>
    <w:p w14:paraId="7AEA4C76" w14:textId="77777777" w:rsidR="00C94C59" w:rsidRPr="00FF008A" w:rsidRDefault="00C94C59" w:rsidP="00C94C59">
      <w:pPr>
        <w:spacing w:line="360" w:lineRule="auto"/>
        <w:rPr>
          <w:rFonts w:ascii="Times New Roman" w:hAnsi="Times New Roman" w:cs="Times New Roman"/>
          <w:b/>
          <w:sz w:val="24"/>
          <w:szCs w:val="24"/>
        </w:rPr>
      </w:pPr>
      <w:r w:rsidRPr="00FF008A">
        <w:rPr>
          <w:rFonts w:ascii="Times New Roman" w:hAnsi="Times New Roman" w:cs="Times New Roman"/>
          <w:b/>
          <w:sz w:val="24"/>
          <w:szCs w:val="24"/>
        </w:rPr>
        <w:t>6. IC – Bone marrow or hematopoietic stem cell transplant (BMT/HSCT)</w:t>
      </w:r>
    </w:p>
    <w:p w14:paraId="0984362B" w14:textId="77777777" w:rsidR="00C94C59" w:rsidRPr="00FF008A" w:rsidRDefault="00C94C59" w:rsidP="00C94C59">
      <w:pPr>
        <w:spacing w:line="480" w:lineRule="auto"/>
        <w:rPr>
          <w:rFonts w:ascii="Times New Roman" w:hAnsi="Times New Roman" w:cs="Times New Roman"/>
          <w:sz w:val="24"/>
          <w:szCs w:val="24"/>
        </w:rPr>
      </w:pPr>
      <w:r w:rsidRPr="00FF008A">
        <w:rPr>
          <w:rFonts w:ascii="Times New Roman" w:hAnsi="Times New Roman" w:cs="Times New Roman"/>
          <w:sz w:val="24"/>
          <w:szCs w:val="24"/>
        </w:rPr>
        <w:t>Persons were considered immunocompromised if they received a diagnosis during the past year indicating that they have had a BMT or HSCT at any time. We identified a mix of transplant recipients who received their transplants in the recent and distant past.</w:t>
      </w:r>
    </w:p>
    <w:p w14:paraId="301EC74B" w14:textId="77777777" w:rsidR="00C94C59" w:rsidRPr="00FF008A" w:rsidRDefault="00C94C59" w:rsidP="00C94C59">
      <w:pPr>
        <w:spacing w:line="480" w:lineRule="auto"/>
        <w:rPr>
          <w:rFonts w:ascii="Times New Roman" w:hAnsi="Times New Roman" w:cs="Times New Roman"/>
          <w:sz w:val="24"/>
          <w:szCs w:val="24"/>
        </w:rPr>
      </w:pPr>
      <w:r w:rsidRPr="00FF008A">
        <w:rPr>
          <w:rFonts w:ascii="Times New Roman" w:hAnsi="Times New Roman" w:cs="Times New Roman"/>
          <w:sz w:val="24"/>
          <w:szCs w:val="24"/>
        </w:rPr>
        <w:lastRenderedPageBreak/>
        <w:t>We used ICD-9 procedure codes and equivalent CHS procedure codes to find allogeneic BMT and HSCT procedures both allogeneic and autologous. (Table 3)</w:t>
      </w:r>
    </w:p>
    <w:p w14:paraId="43808D9A" w14:textId="77777777" w:rsidR="00C94C59" w:rsidRPr="00FF008A" w:rsidRDefault="00C94C59" w:rsidP="00C94C59">
      <w:pPr>
        <w:autoSpaceDE w:val="0"/>
        <w:autoSpaceDN w:val="0"/>
        <w:adjustRightInd w:val="0"/>
        <w:spacing w:line="360" w:lineRule="auto"/>
        <w:rPr>
          <w:rFonts w:ascii="Times New Roman" w:hAnsi="Times New Roman" w:cs="Times New Roman"/>
          <w:b/>
          <w:bCs/>
          <w:sz w:val="24"/>
          <w:szCs w:val="24"/>
        </w:rPr>
      </w:pPr>
      <w:r w:rsidRPr="00FF008A">
        <w:rPr>
          <w:rFonts w:ascii="Times New Roman" w:hAnsi="Times New Roman" w:cs="Times New Roman"/>
          <w:b/>
          <w:sz w:val="24"/>
          <w:szCs w:val="24"/>
        </w:rPr>
        <w:t>Table 3. Diagnosis and procedure codes for BMT and HSCT</w:t>
      </w:r>
    </w:p>
    <w:p w14:paraId="35C51720" w14:textId="77777777" w:rsidR="00C94C59" w:rsidRPr="00BA7CA5" w:rsidRDefault="00C94C59" w:rsidP="00C94C59">
      <w:pPr>
        <w:tabs>
          <w:tab w:val="left" w:pos="900"/>
        </w:tabs>
        <w:autoSpaceDE w:val="0"/>
        <w:autoSpaceDN w:val="0"/>
        <w:adjustRightInd w:val="0"/>
        <w:spacing w:line="360" w:lineRule="auto"/>
        <w:rPr>
          <w:rFonts w:ascii="Times New Roman" w:hAnsi="Times New Roman" w:cs="Times New Roman"/>
        </w:rPr>
      </w:pPr>
    </w:p>
    <w:tbl>
      <w:tblPr>
        <w:tblW w:w="7110" w:type="dxa"/>
        <w:tblInd w:w="-5" w:type="dxa"/>
        <w:tblLook w:val="04A0" w:firstRow="1" w:lastRow="0" w:firstColumn="1" w:lastColumn="0" w:noHBand="0" w:noVBand="1"/>
      </w:tblPr>
      <w:tblGrid>
        <w:gridCol w:w="1440"/>
        <w:gridCol w:w="5670"/>
      </w:tblGrid>
      <w:tr w:rsidR="00C94C59" w:rsidRPr="00BA7CA5" w14:paraId="1BB18B26"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4F9B8" w14:textId="77777777" w:rsidR="00C94C59" w:rsidRPr="00FF008A" w:rsidRDefault="00C94C59" w:rsidP="00931884">
            <w:pPr>
              <w:spacing w:line="360" w:lineRule="auto"/>
              <w:jc w:val="center"/>
              <w:rPr>
                <w:rFonts w:ascii="Times New Roman" w:eastAsia="Times New Roman" w:hAnsi="Times New Roman" w:cs="Times New Roman"/>
                <w:b/>
                <w:color w:val="000000"/>
                <w:sz w:val="24"/>
                <w:szCs w:val="24"/>
              </w:rPr>
            </w:pPr>
            <w:r w:rsidRPr="00FF008A">
              <w:rPr>
                <w:rFonts w:ascii="Times New Roman" w:eastAsia="Times New Roman" w:hAnsi="Times New Roman" w:cs="Times New Roman"/>
                <w:b/>
                <w:color w:val="000000"/>
                <w:sz w:val="24"/>
                <w:szCs w:val="24"/>
              </w:rPr>
              <w:t>ICD-9</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70BCF28A" w14:textId="77777777" w:rsidR="00C94C59" w:rsidRPr="00FF008A" w:rsidRDefault="00C94C59" w:rsidP="00931884">
            <w:pPr>
              <w:spacing w:line="360" w:lineRule="auto"/>
              <w:jc w:val="center"/>
              <w:rPr>
                <w:rFonts w:ascii="Times New Roman" w:eastAsia="Times New Roman" w:hAnsi="Times New Roman" w:cs="Times New Roman"/>
                <w:b/>
                <w:color w:val="000000"/>
                <w:sz w:val="24"/>
                <w:szCs w:val="24"/>
              </w:rPr>
            </w:pPr>
            <w:r w:rsidRPr="00FF008A">
              <w:rPr>
                <w:rFonts w:ascii="Times New Roman" w:eastAsia="Times New Roman" w:hAnsi="Times New Roman" w:cs="Times New Roman"/>
                <w:b/>
                <w:color w:val="000000"/>
                <w:sz w:val="24"/>
                <w:szCs w:val="24"/>
              </w:rPr>
              <w:t>Description</w:t>
            </w:r>
          </w:p>
        </w:tc>
      </w:tr>
      <w:tr w:rsidR="00C94C59" w:rsidRPr="00BA7CA5" w14:paraId="3780B983" w14:textId="77777777" w:rsidTr="00931884">
        <w:trPr>
          <w:trHeight w:val="288"/>
        </w:trPr>
        <w:tc>
          <w:tcPr>
            <w:tcW w:w="7110" w:type="dxa"/>
            <w:gridSpan w:val="2"/>
            <w:tcBorders>
              <w:top w:val="single" w:sz="4" w:space="0" w:color="auto"/>
              <w:left w:val="single" w:sz="4" w:space="0" w:color="auto"/>
              <w:bottom w:val="single" w:sz="4" w:space="0" w:color="auto"/>
              <w:right w:val="single" w:sz="4" w:space="0" w:color="auto"/>
            </w:tcBorders>
            <w:shd w:val="clear" w:color="auto" w:fill="auto"/>
            <w:noWrap/>
          </w:tcPr>
          <w:p w14:paraId="053403C1" w14:textId="77777777" w:rsidR="00C94C59" w:rsidRPr="00FF008A" w:rsidRDefault="00C94C59" w:rsidP="00931884">
            <w:pPr>
              <w:spacing w:line="360" w:lineRule="auto"/>
              <w:rPr>
                <w:rFonts w:ascii="Times New Roman" w:hAnsi="Times New Roman" w:cs="Times New Roman"/>
                <w:bCs/>
                <w:color w:val="000000"/>
                <w:sz w:val="24"/>
                <w:szCs w:val="24"/>
                <w:shd w:val="clear" w:color="auto" w:fill="FFFFFF"/>
              </w:rPr>
            </w:pPr>
            <w:r w:rsidRPr="00FF008A">
              <w:rPr>
                <w:rFonts w:ascii="Times New Roman" w:hAnsi="Times New Roman" w:cs="Times New Roman"/>
                <w:bCs/>
                <w:color w:val="000000"/>
                <w:sz w:val="24"/>
                <w:szCs w:val="24"/>
                <w:shd w:val="clear" w:color="auto" w:fill="FFFFFF"/>
              </w:rPr>
              <w:t>Diagnosis codes:</w:t>
            </w:r>
          </w:p>
        </w:tc>
      </w:tr>
      <w:tr w:rsidR="00C94C59" w:rsidRPr="00BA7CA5" w14:paraId="0D6BFC76"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6059AB7B" w14:textId="77777777" w:rsidR="00C94C59" w:rsidRPr="00FF008A" w:rsidRDefault="00C94C59" w:rsidP="00931884">
            <w:pPr>
              <w:spacing w:line="360" w:lineRule="auto"/>
              <w:jc w:val="center"/>
              <w:rPr>
                <w:rFonts w:ascii="Times New Roman" w:eastAsia="Times New Roman" w:hAnsi="Times New Roman" w:cs="Times New Roman"/>
                <w:color w:val="000000"/>
                <w:sz w:val="24"/>
                <w:szCs w:val="24"/>
              </w:rPr>
            </w:pPr>
            <w:r w:rsidRPr="00FF008A">
              <w:rPr>
                <w:rFonts w:ascii="Times New Roman" w:hAnsi="Times New Roman" w:cs="Times New Roman"/>
                <w:sz w:val="24"/>
                <w:szCs w:val="24"/>
              </w:rPr>
              <w:t>V42.81</w:t>
            </w:r>
          </w:p>
        </w:tc>
        <w:tc>
          <w:tcPr>
            <w:tcW w:w="5670" w:type="dxa"/>
            <w:tcBorders>
              <w:top w:val="single" w:sz="4" w:space="0" w:color="auto"/>
              <w:left w:val="nil"/>
              <w:bottom w:val="single" w:sz="4" w:space="0" w:color="auto"/>
              <w:right w:val="single" w:sz="4" w:space="0" w:color="auto"/>
            </w:tcBorders>
            <w:shd w:val="clear" w:color="auto" w:fill="auto"/>
            <w:noWrap/>
            <w:hideMark/>
          </w:tcPr>
          <w:p w14:paraId="6B14862A" w14:textId="77777777" w:rsidR="00C94C59" w:rsidRPr="00FF008A" w:rsidRDefault="00C94C59" w:rsidP="00931884">
            <w:pPr>
              <w:spacing w:line="360" w:lineRule="auto"/>
              <w:rPr>
                <w:rFonts w:ascii="Times New Roman" w:eastAsia="Times New Roman" w:hAnsi="Times New Roman" w:cs="Times New Roman"/>
                <w:color w:val="000000"/>
                <w:sz w:val="24"/>
                <w:szCs w:val="24"/>
              </w:rPr>
            </w:pPr>
            <w:r w:rsidRPr="00FF008A">
              <w:rPr>
                <w:rFonts w:ascii="Times New Roman" w:hAnsi="Times New Roman" w:cs="Times New Roman"/>
                <w:bCs/>
                <w:color w:val="000000"/>
                <w:sz w:val="24"/>
                <w:szCs w:val="24"/>
                <w:shd w:val="clear" w:color="auto" w:fill="FFFFFF"/>
              </w:rPr>
              <w:t>Bone marrow replaced by transplant</w:t>
            </w:r>
          </w:p>
        </w:tc>
      </w:tr>
      <w:tr w:rsidR="00C94C59" w:rsidRPr="00BA7CA5" w14:paraId="0AA23CE9"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02C0F072" w14:textId="77777777" w:rsidR="00C94C59" w:rsidRPr="00FF008A" w:rsidRDefault="00C94C59" w:rsidP="00931884">
            <w:pPr>
              <w:spacing w:line="360" w:lineRule="auto"/>
              <w:jc w:val="center"/>
              <w:rPr>
                <w:rFonts w:ascii="Times New Roman" w:eastAsia="Times New Roman" w:hAnsi="Times New Roman" w:cs="Times New Roman"/>
                <w:color w:val="000000"/>
                <w:sz w:val="24"/>
                <w:szCs w:val="24"/>
              </w:rPr>
            </w:pPr>
            <w:r w:rsidRPr="00FF008A">
              <w:rPr>
                <w:rFonts w:ascii="Times New Roman" w:hAnsi="Times New Roman" w:cs="Times New Roman"/>
                <w:sz w:val="24"/>
                <w:szCs w:val="24"/>
              </w:rPr>
              <w:t>V42.82</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3ED4F405" w14:textId="77777777" w:rsidR="00C94C59" w:rsidRPr="00FF008A" w:rsidRDefault="00C94C59" w:rsidP="00931884">
            <w:pPr>
              <w:tabs>
                <w:tab w:val="left" w:pos="900"/>
              </w:tabs>
              <w:autoSpaceDE w:val="0"/>
              <w:autoSpaceDN w:val="0"/>
              <w:adjustRightInd w:val="0"/>
              <w:spacing w:line="360" w:lineRule="auto"/>
              <w:rPr>
                <w:rFonts w:ascii="Times New Roman" w:hAnsi="Times New Roman" w:cs="Times New Roman"/>
                <w:sz w:val="24"/>
                <w:szCs w:val="24"/>
              </w:rPr>
            </w:pPr>
            <w:r w:rsidRPr="00FF008A">
              <w:rPr>
                <w:rFonts w:ascii="Times New Roman" w:hAnsi="Times New Roman" w:cs="Times New Roman"/>
                <w:bCs/>
                <w:color w:val="000000"/>
                <w:sz w:val="24"/>
                <w:szCs w:val="24"/>
                <w:shd w:val="clear" w:color="auto" w:fill="FFFFFF"/>
              </w:rPr>
              <w:t>Peripheral stem cells replaced by transplant</w:t>
            </w:r>
          </w:p>
        </w:tc>
      </w:tr>
      <w:tr w:rsidR="00C94C59" w:rsidRPr="00BA7CA5" w14:paraId="1A718A4A"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D078001" w14:textId="77777777" w:rsidR="00C94C59" w:rsidRPr="00FF008A" w:rsidRDefault="00C94C59" w:rsidP="00931884">
            <w:pPr>
              <w:spacing w:line="360" w:lineRule="auto"/>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996.85</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73C6532B" w14:textId="77777777" w:rsidR="00C94C59" w:rsidRPr="00FF008A" w:rsidRDefault="00C94C59" w:rsidP="00931884">
            <w:pPr>
              <w:tabs>
                <w:tab w:val="left" w:pos="900"/>
              </w:tabs>
              <w:autoSpaceDE w:val="0"/>
              <w:autoSpaceDN w:val="0"/>
              <w:adjustRightInd w:val="0"/>
              <w:spacing w:line="360" w:lineRule="auto"/>
              <w:rPr>
                <w:rFonts w:ascii="Times New Roman" w:hAnsi="Times New Roman" w:cs="Times New Roman"/>
                <w:sz w:val="24"/>
                <w:szCs w:val="24"/>
              </w:rPr>
            </w:pPr>
            <w:r w:rsidRPr="00FF008A">
              <w:rPr>
                <w:rFonts w:ascii="Times New Roman" w:hAnsi="Times New Roman" w:cs="Times New Roman"/>
                <w:bCs/>
                <w:color w:val="000000"/>
                <w:sz w:val="24"/>
                <w:szCs w:val="24"/>
                <w:shd w:val="clear" w:color="auto" w:fill="FFFFFF"/>
              </w:rPr>
              <w:t>Complications of transplanted bone marrow</w:t>
            </w:r>
          </w:p>
        </w:tc>
      </w:tr>
      <w:tr w:rsidR="00C94C59" w:rsidRPr="00BA7CA5" w14:paraId="09ECF2A1" w14:textId="77777777" w:rsidTr="00931884">
        <w:trPr>
          <w:trHeight w:val="288"/>
        </w:trPr>
        <w:tc>
          <w:tcPr>
            <w:tcW w:w="7110" w:type="dxa"/>
            <w:gridSpan w:val="2"/>
            <w:tcBorders>
              <w:top w:val="single" w:sz="4" w:space="0" w:color="auto"/>
              <w:left w:val="single" w:sz="4" w:space="0" w:color="auto"/>
              <w:bottom w:val="single" w:sz="4" w:space="0" w:color="auto"/>
              <w:right w:val="single" w:sz="4" w:space="0" w:color="auto"/>
            </w:tcBorders>
            <w:shd w:val="clear" w:color="auto" w:fill="auto"/>
            <w:noWrap/>
          </w:tcPr>
          <w:p w14:paraId="10D3017E" w14:textId="77777777" w:rsidR="00C94C59" w:rsidRPr="00FF008A" w:rsidRDefault="00C94C59" w:rsidP="00931884">
            <w:pPr>
              <w:spacing w:line="360" w:lineRule="auto"/>
              <w:rPr>
                <w:rFonts w:ascii="Times New Roman" w:hAnsi="Times New Roman" w:cs="Times New Roman"/>
                <w:bCs/>
                <w:color w:val="000000"/>
                <w:sz w:val="24"/>
                <w:szCs w:val="24"/>
                <w:shd w:val="clear" w:color="auto" w:fill="FFFFFF"/>
              </w:rPr>
            </w:pPr>
            <w:r w:rsidRPr="00FF008A">
              <w:rPr>
                <w:rFonts w:ascii="Times New Roman" w:hAnsi="Times New Roman" w:cs="Times New Roman"/>
                <w:bCs/>
                <w:color w:val="000000"/>
                <w:sz w:val="24"/>
                <w:szCs w:val="24"/>
                <w:shd w:val="clear" w:color="auto" w:fill="FFFFFF"/>
              </w:rPr>
              <w:t>Procedure codes:</w:t>
            </w:r>
          </w:p>
        </w:tc>
      </w:tr>
      <w:tr w:rsidR="00C94C59" w:rsidRPr="00BA7CA5" w14:paraId="604D87DD"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6224B246" w14:textId="77777777" w:rsidR="00C94C59" w:rsidRPr="00FF008A" w:rsidRDefault="00C94C59" w:rsidP="00931884">
            <w:pPr>
              <w:spacing w:line="360" w:lineRule="auto"/>
              <w:jc w:val="center"/>
              <w:rPr>
                <w:rFonts w:ascii="Times New Roman" w:eastAsia="Times New Roman" w:hAnsi="Times New Roman" w:cs="Times New Roman"/>
                <w:color w:val="000000"/>
                <w:sz w:val="24"/>
                <w:szCs w:val="24"/>
              </w:rPr>
            </w:pPr>
            <w:r w:rsidRPr="00FF008A">
              <w:rPr>
                <w:rFonts w:ascii="Times New Roman" w:hAnsi="Times New Roman" w:cs="Times New Roman"/>
                <w:sz w:val="24"/>
                <w:szCs w:val="24"/>
              </w:rPr>
              <w:t>41.02</w:t>
            </w:r>
          </w:p>
        </w:tc>
        <w:tc>
          <w:tcPr>
            <w:tcW w:w="5670" w:type="dxa"/>
            <w:tcBorders>
              <w:top w:val="single" w:sz="4" w:space="0" w:color="auto"/>
              <w:left w:val="nil"/>
              <w:bottom w:val="single" w:sz="4" w:space="0" w:color="auto"/>
              <w:right w:val="single" w:sz="4" w:space="0" w:color="auto"/>
            </w:tcBorders>
            <w:shd w:val="clear" w:color="auto" w:fill="auto"/>
            <w:noWrap/>
            <w:hideMark/>
          </w:tcPr>
          <w:p w14:paraId="34D81294" w14:textId="77777777" w:rsidR="00C94C59" w:rsidRPr="00FF008A" w:rsidRDefault="00C94C59" w:rsidP="00931884">
            <w:pPr>
              <w:spacing w:line="360" w:lineRule="auto"/>
              <w:rPr>
                <w:rFonts w:ascii="Times New Roman" w:eastAsia="Times New Roman" w:hAnsi="Times New Roman" w:cs="Times New Roman"/>
                <w:color w:val="000000"/>
                <w:sz w:val="24"/>
                <w:szCs w:val="24"/>
              </w:rPr>
            </w:pPr>
            <w:r w:rsidRPr="00FF008A">
              <w:rPr>
                <w:rStyle w:val="threedigitcodelistdescription"/>
                <w:rFonts w:ascii="Times New Roman" w:hAnsi="Times New Roman" w:cs="Times New Roman"/>
                <w:color w:val="000000"/>
                <w:sz w:val="24"/>
                <w:szCs w:val="24"/>
              </w:rPr>
              <w:t>Allogeneic bone marrow transplant with purging</w:t>
            </w:r>
            <w:r w:rsidRPr="00FF008A">
              <w:rPr>
                <w:rStyle w:val="apple-converted-space"/>
                <w:rFonts w:ascii="Times New Roman" w:hAnsi="Times New Roman" w:cs="Times New Roman"/>
                <w:color w:val="000000"/>
                <w:sz w:val="24"/>
                <w:szCs w:val="24"/>
              </w:rPr>
              <w:t> </w:t>
            </w:r>
          </w:p>
        </w:tc>
      </w:tr>
      <w:tr w:rsidR="00C94C59" w:rsidRPr="00BA7CA5" w14:paraId="6B727144"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196209CC" w14:textId="77777777" w:rsidR="00C94C59" w:rsidRPr="00FF008A" w:rsidRDefault="00C94C59" w:rsidP="00931884">
            <w:pPr>
              <w:spacing w:line="360" w:lineRule="auto"/>
              <w:jc w:val="center"/>
              <w:rPr>
                <w:rFonts w:ascii="Times New Roman" w:eastAsia="Times New Roman" w:hAnsi="Times New Roman" w:cs="Times New Roman"/>
                <w:color w:val="000000"/>
                <w:sz w:val="24"/>
                <w:szCs w:val="24"/>
              </w:rPr>
            </w:pPr>
            <w:r w:rsidRPr="00FF008A">
              <w:rPr>
                <w:rFonts w:ascii="Times New Roman" w:hAnsi="Times New Roman" w:cs="Times New Roman"/>
                <w:sz w:val="24"/>
                <w:szCs w:val="24"/>
              </w:rPr>
              <w:t>41.03</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611E88C9" w14:textId="77777777" w:rsidR="00C94C59" w:rsidRPr="00FF008A" w:rsidRDefault="00C94C59" w:rsidP="00931884">
            <w:pPr>
              <w:tabs>
                <w:tab w:val="left" w:pos="900"/>
              </w:tabs>
              <w:autoSpaceDE w:val="0"/>
              <w:autoSpaceDN w:val="0"/>
              <w:adjustRightInd w:val="0"/>
              <w:spacing w:line="360" w:lineRule="auto"/>
              <w:rPr>
                <w:rFonts w:ascii="Times New Roman" w:hAnsi="Times New Roman" w:cs="Times New Roman"/>
                <w:sz w:val="24"/>
                <w:szCs w:val="24"/>
              </w:rPr>
            </w:pPr>
            <w:r w:rsidRPr="00FF008A">
              <w:rPr>
                <w:rStyle w:val="threedigitcodelistdescription"/>
                <w:rFonts w:ascii="Times New Roman" w:hAnsi="Times New Roman" w:cs="Times New Roman"/>
                <w:color w:val="000000"/>
                <w:sz w:val="24"/>
                <w:szCs w:val="24"/>
              </w:rPr>
              <w:t>Allogeneic bone marrow transplant without purging</w:t>
            </w:r>
            <w:r w:rsidRPr="00FF008A">
              <w:rPr>
                <w:rStyle w:val="apple-converted-space"/>
                <w:rFonts w:ascii="Times New Roman" w:hAnsi="Times New Roman" w:cs="Times New Roman"/>
                <w:color w:val="000000"/>
                <w:sz w:val="24"/>
                <w:szCs w:val="24"/>
              </w:rPr>
              <w:t> </w:t>
            </w:r>
          </w:p>
        </w:tc>
      </w:tr>
      <w:tr w:rsidR="00C94C59" w:rsidRPr="00BA7CA5" w14:paraId="42B47C2C"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0702D46" w14:textId="77777777" w:rsidR="00C94C59" w:rsidRPr="00FF008A" w:rsidRDefault="00C94C59" w:rsidP="00931884">
            <w:pPr>
              <w:spacing w:line="360" w:lineRule="auto"/>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41.05</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0A859BBE" w14:textId="77777777" w:rsidR="00C94C59" w:rsidRPr="00FF008A" w:rsidRDefault="00C94C59" w:rsidP="00931884">
            <w:pPr>
              <w:tabs>
                <w:tab w:val="left" w:pos="900"/>
              </w:tabs>
              <w:autoSpaceDE w:val="0"/>
              <w:autoSpaceDN w:val="0"/>
              <w:adjustRightInd w:val="0"/>
              <w:spacing w:line="360" w:lineRule="auto"/>
              <w:rPr>
                <w:rFonts w:ascii="Times New Roman" w:hAnsi="Times New Roman" w:cs="Times New Roman"/>
                <w:sz w:val="24"/>
                <w:szCs w:val="24"/>
              </w:rPr>
            </w:pPr>
            <w:r w:rsidRPr="00FF008A">
              <w:rPr>
                <w:rStyle w:val="threedigitcodelistdescription"/>
                <w:rFonts w:ascii="Times New Roman" w:hAnsi="Times New Roman" w:cs="Times New Roman"/>
                <w:color w:val="000000"/>
                <w:sz w:val="24"/>
                <w:szCs w:val="24"/>
              </w:rPr>
              <w:t>Allogeneic hematopoietic stem cell transplant without purging</w:t>
            </w:r>
            <w:r w:rsidRPr="00FF008A">
              <w:rPr>
                <w:rStyle w:val="apple-converted-space"/>
                <w:rFonts w:ascii="Times New Roman" w:hAnsi="Times New Roman" w:cs="Times New Roman"/>
                <w:color w:val="000000"/>
                <w:sz w:val="24"/>
                <w:szCs w:val="24"/>
              </w:rPr>
              <w:t> </w:t>
            </w:r>
          </w:p>
        </w:tc>
      </w:tr>
      <w:tr w:rsidR="00C94C59" w:rsidRPr="00BA7CA5" w14:paraId="0C5E76EE" w14:textId="77777777" w:rsidTr="00931884">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10C8E03" w14:textId="77777777" w:rsidR="00C94C59" w:rsidRPr="00FF008A" w:rsidRDefault="00C94C59" w:rsidP="00931884">
            <w:pPr>
              <w:spacing w:line="360" w:lineRule="auto"/>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41.08</w:t>
            </w:r>
          </w:p>
        </w:tc>
        <w:tc>
          <w:tcPr>
            <w:tcW w:w="5670" w:type="dxa"/>
            <w:tcBorders>
              <w:top w:val="single" w:sz="4" w:space="0" w:color="auto"/>
              <w:left w:val="nil"/>
              <w:bottom w:val="single" w:sz="4" w:space="0" w:color="auto"/>
              <w:right w:val="single" w:sz="4" w:space="0" w:color="auto"/>
            </w:tcBorders>
            <w:shd w:val="clear" w:color="auto" w:fill="auto"/>
            <w:noWrap/>
            <w:vAlign w:val="bottom"/>
          </w:tcPr>
          <w:p w14:paraId="79B0BD63" w14:textId="77777777" w:rsidR="00C94C59" w:rsidRPr="00FF008A" w:rsidRDefault="00C94C59" w:rsidP="00931884">
            <w:pPr>
              <w:tabs>
                <w:tab w:val="left" w:pos="900"/>
              </w:tabs>
              <w:autoSpaceDE w:val="0"/>
              <w:autoSpaceDN w:val="0"/>
              <w:adjustRightInd w:val="0"/>
              <w:spacing w:line="360" w:lineRule="auto"/>
              <w:rPr>
                <w:rFonts w:ascii="Times New Roman" w:hAnsi="Times New Roman" w:cs="Times New Roman"/>
                <w:bCs/>
                <w:color w:val="000000"/>
                <w:sz w:val="24"/>
                <w:szCs w:val="24"/>
                <w:shd w:val="clear" w:color="auto" w:fill="FFFFFF"/>
              </w:rPr>
            </w:pPr>
            <w:r w:rsidRPr="00FF008A">
              <w:rPr>
                <w:rStyle w:val="threedigitcodelistdescription"/>
                <w:rFonts w:ascii="Times New Roman" w:hAnsi="Times New Roman" w:cs="Times New Roman"/>
                <w:color w:val="000000"/>
                <w:sz w:val="24"/>
                <w:szCs w:val="24"/>
              </w:rPr>
              <w:t>Allogeneic hematopoietic stem cell transplant with purging</w:t>
            </w:r>
            <w:r w:rsidRPr="00FF008A">
              <w:rPr>
                <w:rStyle w:val="apple-converted-space"/>
                <w:rFonts w:ascii="Times New Roman" w:hAnsi="Times New Roman" w:cs="Times New Roman"/>
                <w:color w:val="000000"/>
                <w:sz w:val="24"/>
                <w:szCs w:val="24"/>
              </w:rPr>
              <w:t> </w:t>
            </w:r>
          </w:p>
        </w:tc>
      </w:tr>
    </w:tbl>
    <w:p w14:paraId="1F053499" w14:textId="77777777" w:rsidR="00C94C59" w:rsidRPr="00BA7CA5" w:rsidRDefault="00C94C59" w:rsidP="00C94C59">
      <w:pPr>
        <w:spacing w:line="360" w:lineRule="auto"/>
        <w:rPr>
          <w:rFonts w:ascii="Times New Roman" w:hAnsi="Times New Roman" w:cs="Times New Roman"/>
          <w:color w:val="222222"/>
          <w:shd w:val="clear" w:color="auto" w:fill="FFFFFF"/>
        </w:rPr>
      </w:pPr>
    </w:p>
    <w:p w14:paraId="25BF8489" w14:textId="77777777" w:rsidR="00C94C59" w:rsidRPr="00BA7CA5" w:rsidRDefault="00C94C59" w:rsidP="00C94C59">
      <w:pPr>
        <w:spacing w:line="360" w:lineRule="auto"/>
        <w:rPr>
          <w:rFonts w:ascii="Times New Roman" w:hAnsi="Times New Roman" w:cs="Times New Roman"/>
          <w:b/>
        </w:rPr>
      </w:pPr>
      <w:r w:rsidRPr="00BA7CA5">
        <w:rPr>
          <w:rFonts w:ascii="Times New Roman" w:hAnsi="Times New Roman" w:cs="Times New Roman"/>
          <w:b/>
        </w:rPr>
        <w:t xml:space="preserve">7. IC </w:t>
      </w:r>
      <w:r w:rsidRPr="00BA7CA5">
        <w:rPr>
          <w:rFonts w:ascii="Times New Roman" w:hAnsi="Times New Roman" w:cs="Times New Roman"/>
        </w:rPr>
        <w:t xml:space="preserve">– </w:t>
      </w:r>
      <w:r w:rsidRPr="00BA7CA5">
        <w:rPr>
          <w:rFonts w:ascii="Times New Roman" w:hAnsi="Times New Roman" w:cs="Times New Roman"/>
          <w:b/>
        </w:rPr>
        <w:t>HIV</w:t>
      </w:r>
    </w:p>
    <w:p w14:paraId="3F4C4307" w14:textId="77777777" w:rsidR="00C94C59" w:rsidRPr="00FF008A" w:rsidRDefault="00C94C59" w:rsidP="00C94C59">
      <w:pPr>
        <w:spacing w:line="480" w:lineRule="auto"/>
        <w:rPr>
          <w:rFonts w:ascii="Times New Roman" w:hAnsi="Times New Roman" w:cs="Times New Roman"/>
          <w:sz w:val="24"/>
          <w:szCs w:val="24"/>
        </w:rPr>
      </w:pPr>
      <w:r w:rsidRPr="00FF008A">
        <w:rPr>
          <w:rFonts w:ascii="Times New Roman" w:hAnsi="Times New Roman" w:cs="Times New Roman"/>
          <w:color w:val="222222"/>
          <w:sz w:val="24"/>
          <w:szCs w:val="24"/>
          <w:shd w:val="clear" w:color="auto" w:fill="FFFFFF"/>
        </w:rPr>
        <w:t xml:space="preserve">Persons were considered immunocompromised they had record of HIV infection, regardless of CD4 count or medications. </w:t>
      </w:r>
    </w:p>
    <w:p w14:paraId="6BB4336A" w14:textId="2970B31F" w:rsidR="00C94C59" w:rsidRDefault="00C94C59" w:rsidP="00C94C59">
      <w:pPr>
        <w:spacing w:line="360" w:lineRule="auto"/>
        <w:rPr>
          <w:rFonts w:ascii="Times New Roman" w:hAnsi="Times New Roman" w:cs="Times New Roman"/>
          <w:color w:val="222222"/>
          <w:shd w:val="clear" w:color="auto" w:fill="FFFFFF"/>
        </w:rPr>
      </w:pPr>
      <w:r w:rsidRPr="00BA7CA5">
        <w:rPr>
          <w:rFonts w:ascii="Times New Roman" w:hAnsi="Times New Roman" w:cs="Times New Roman"/>
        </w:rPr>
        <w:t xml:space="preserve"> </w:t>
      </w:r>
    </w:p>
    <w:p w14:paraId="63948068" w14:textId="530EEEF2" w:rsidR="004A4C18" w:rsidRDefault="004A4C18" w:rsidP="00C94C59">
      <w:pPr>
        <w:spacing w:line="360" w:lineRule="auto"/>
        <w:rPr>
          <w:rFonts w:ascii="Times New Roman" w:hAnsi="Times New Roman" w:cs="Times New Roman"/>
          <w:color w:val="222222"/>
          <w:shd w:val="clear" w:color="auto" w:fill="FFFFFF"/>
        </w:rPr>
      </w:pPr>
    </w:p>
    <w:p w14:paraId="7EF19998" w14:textId="77777777" w:rsidR="004A4C18" w:rsidRPr="00BA7CA5" w:rsidRDefault="004A4C18" w:rsidP="00C94C59">
      <w:pPr>
        <w:spacing w:line="360" w:lineRule="auto"/>
        <w:rPr>
          <w:rFonts w:ascii="Times New Roman" w:hAnsi="Times New Roman" w:cs="Times New Roman"/>
          <w:color w:val="222222"/>
          <w:shd w:val="clear" w:color="auto" w:fill="FFFFFF"/>
        </w:rPr>
      </w:pPr>
    </w:p>
    <w:p w14:paraId="7B255B78" w14:textId="77777777" w:rsidR="00C94C59" w:rsidRPr="00FF008A" w:rsidRDefault="00C94C59" w:rsidP="00C94C59">
      <w:pPr>
        <w:spacing w:line="360" w:lineRule="auto"/>
        <w:rPr>
          <w:rFonts w:ascii="Times New Roman" w:hAnsi="Times New Roman" w:cs="Times New Roman"/>
          <w:b/>
          <w:sz w:val="24"/>
          <w:szCs w:val="24"/>
        </w:rPr>
      </w:pPr>
      <w:r w:rsidRPr="00FF008A">
        <w:rPr>
          <w:rFonts w:ascii="Times New Roman" w:hAnsi="Times New Roman" w:cs="Times New Roman"/>
          <w:b/>
          <w:sz w:val="24"/>
          <w:szCs w:val="24"/>
        </w:rPr>
        <w:lastRenderedPageBreak/>
        <w:t>8. IC – Rare immune deficiency conditions</w:t>
      </w:r>
    </w:p>
    <w:p w14:paraId="6333156F" w14:textId="77777777" w:rsidR="00C94C59" w:rsidRPr="00FF008A" w:rsidRDefault="00C94C59" w:rsidP="00C94C59">
      <w:pPr>
        <w:spacing w:line="480" w:lineRule="auto"/>
        <w:rPr>
          <w:rStyle w:val="apple-converted-space"/>
          <w:rFonts w:ascii="Times New Roman" w:hAnsi="Times New Roman" w:cs="Times New Roman"/>
          <w:sz w:val="24"/>
          <w:szCs w:val="24"/>
        </w:rPr>
      </w:pPr>
      <w:r w:rsidRPr="00FF008A">
        <w:rPr>
          <w:rFonts w:ascii="Times New Roman" w:hAnsi="Times New Roman" w:cs="Times New Roman"/>
          <w:sz w:val="24"/>
          <w:szCs w:val="24"/>
        </w:rPr>
        <w:t xml:space="preserve">Persons were considered immunocompromised if they had selected diagnoses from a number of categories of immune disorders in the year prior to September 1 of the relevant study year. </w:t>
      </w:r>
      <w:r w:rsidRPr="00FF008A">
        <w:rPr>
          <w:rStyle w:val="apple-converted-space"/>
          <w:rFonts w:ascii="Times New Roman" w:hAnsi="Times New Roman" w:cs="Times New Roman"/>
          <w:bCs/>
          <w:color w:val="000000"/>
          <w:sz w:val="24"/>
          <w:szCs w:val="24"/>
          <w:shd w:val="clear" w:color="auto" w:fill="FFFFFF"/>
        </w:rPr>
        <w:t>The descriptions of the diseases and the relevant ICD-9 codes are listed in Table 4.</w:t>
      </w:r>
    </w:p>
    <w:p w14:paraId="39CA337E" w14:textId="77777777" w:rsidR="00C94C59" w:rsidRPr="00BA7CA5" w:rsidRDefault="00C94C59" w:rsidP="00C94C59">
      <w:pPr>
        <w:spacing w:line="360" w:lineRule="auto"/>
        <w:rPr>
          <w:rStyle w:val="apple-converted-space"/>
          <w:rFonts w:ascii="Times New Roman" w:hAnsi="Times New Roman" w:cs="Times New Roman"/>
          <w:b/>
          <w:bCs/>
          <w:color w:val="000000"/>
          <w:shd w:val="clear" w:color="auto" w:fill="FFFFFF"/>
        </w:rPr>
      </w:pPr>
    </w:p>
    <w:p w14:paraId="1D263F65" w14:textId="77777777" w:rsidR="00C94C59" w:rsidRPr="00FF008A" w:rsidRDefault="00C94C59" w:rsidP="00C94C59">
      <w:pPr>
        <w:spacing w:line="360" w:lineRule="auto"/>
        <w:rPr>
          <w:rFonts w:ascii="Times New Roman" w:hAnsi="Times New Roman" w:cs="Times New Roman"/>
          <w:b/>
          <w:sz w:val="24"/>
          <w:szCs w:val="24"/>
        </w:rPr>
      </w:pPr>
      <w:r w:rsidRPr="00FF008A">
        <w:rPr>
          <w:rFonts w:ascii="Times New Roman" w:hAnsi="Times New Roman" w:cs="Times New Roman"/>
          <w:b/>
          <w:sz w:val="24"/>
          <w:szCs w:val="24"/>
        </w:rPr>
        <w:t>Table 4. Diagnosis codes for rare immune deficiency conditions and the IC level assigned to each diagnosis to measure IC status at vaccination</w:t>
      </w:r>
    </w:p>
    <w:tbl>
      <w:tblPr>
        <w:tblStyle w:val="a9"/>
        <w:tblW w:w="0" w:type="auto"/>
        <w:tblLook w:val="04A0" w:firstRow="1" w:lastRow="0" w:firstColumn="1" w:lastColumn="0" w:noHBand="0" w:noVBand="1"/>
      </w:tblPr>
      <w:tblGrid>
        <w:gridCol w:w="1096"/>
        <w:gridCol w:w="6294"/>
        <w:gridCol w:w="222"/>
      </w:tblGrid>
      <w:tr w:rsidR="00C94C59" w:rsidRPr="00BA7CA5" w14:paraId="018CB7F4" w14:textId="77777777" w:rsidTr="00931884">
        <w:trPr>
          <w:trHeight w:val="253"/>
        </w:trPr>
        <w:tc>
          <w:tcPr>
            <w:tcW w:w="7390" w:type="dxa"/>
            <w:gridSpan w:val="2"/>
          </w:tcPr>
          <w:p w14:paraId="5F5AB844"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b/>
                <w:color w:val="000000"/>
                <w:sz w:val="24"/>
                <w:szCs w:val="24"/>
                <w:shd w:val="clear" w:color="auto" w:fill="FFFFFF"/>
              </w:rPr>
            </w:pPr>
            <w:r w:rsidRPr="00BA7CA5">
              <w:rPr>
                <w:rFonts w:ascii="Times New Roman" w:hAnsi="Times New Roman" w:cs="Times New Roman"/>
                <w:b/>
                <w:color w:val="000000"/>
                <w:sz w:val="24"/>
                <w:szCs w:val="24"/>
                <w:shd w:val="clear" w:color="auto" w:fill="FFFFFF"/>
              </w:rPr>
              <w:t>ICD-9</w:t>
            </w:r>
          </w:p>
        </w:tc>
        <w:tc>
          <w:tcPr>
            <w:tcW w:w="0" w:type="auto"/>
            <w:vMerge w:val="restart"/>
          </w:tcPr>
          <w:p w14:paraId="365BF9D9"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b/>
                <w:sz w:val="24"/>
                <w:szCs w:val="24"/>
              </w:rPr>
            </w:pPr>
          </w:p>
        </w:tc>
      </w:tr>
      <w:tr w:rsidR="00C94C59" w:rsidRPr="00BA7CA5" w14:paraId="663947C6" w14:textId="77777777" w:rsidTr="00931884">
        <w:trPr>
          <w:trHeight w:val="253"/>
        </w:trPr>
        <w:tc>
          <w:tcPr>
            <w:tcW w:w="1096" w:type="dxa"/>
          </w:tcPr>
          <w:p w14:paraId="0E79AF03"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r w:rsidRPr="00BA7CA5">
              <w:rPr>
                <w:rFonts w:ascii="Times New Roman" w:hAnsi="Times New Roman" w:cs="Times New Roman"/>
                <w:b/>
                <w:sz w:val="24"/>
                <w:szCs w:val="24"/>
              </w:rPr>
              <w:t>Code</w:t>
            </w:r>
          </w:p>
        </w:tc>
        <w:tc>
          <w:tcPr>
            <w:tcW w:w="0" w:type="auto"/>
          </w:tcPr>
          <w:p w14:paraId="6D3BAF60"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b/>
                <w:color w:val="000000"/>
                <w:sz w:val="24"/>
                <w:szCs w:val="24"/>
                <w:shd w:val="clear" w:color="auto" w:fill="FFFFFF"/>
              </w:rPr>
            </w:pPr>
            <w:r w:rsidRPr="00BA7CA5">
              <w:rPr>
                <w:rFonts w:ascii="Times New Roman" w:hAnsi="Times New Roman" w:cs="Times New Roman"/>
                <w:b/>
                <w:color w:val="000000"/>
                <w:sz w:val="24"/>
                <w:szCs w:val="24"/>
                <w:shd w:val="clear" w:color="auto" w:fill="FFFFFF"/>
              </w:rPr>
              <w:t>Description</w:t>
            </w:r>
          </w:p>
        </w:tc>
        <w:tc>
          <w:tcPr>
            <w:tcW w:w="0" w:type="auto"/>
            <w:vMerge/>
          </w:tcPr>
          <w:p w14:paraId="25C3DE70"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p>
        </w:tc>
      </w:tr>
      <w:tr w:rsidR="00C94C59" w:rsidRPr="00BA7CA5" w14:paraId="5B5E6C39" w14:textId="77777777" w:rsidTr="00931884">
        <w:trPr>
          <w:trHeight w:val="253"/>
        </w:trPr>
        <w:tc>
          <w:tcPr>
            <w:tcW w:w="1096" w:type="dxa"/>
          </w:tcPr>
          <w:p w14:paraId="3E837602"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sz w:val="24"/>
                <w:szCs w:val="24"/>
              </w:rPr>
              <w:t>279.0x</w:t>
            </w:r>
          </w:p>
        </w:tc>
        <w:tc>
          <w:tcPr>
            <w:tcW w:w="0" w:type="auto"/>
          </w:tcPr>
          <w:p w14:paraId="545306F6"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color w:val="000000"/>
                <w:sz w:val="24"/>
                <w:szCs w:val="24"/>
                <w:shd w:val="clear" w:color="auto" w:fill="FFFFFF"/>
              </w:rPr>
              <w:t>Deficiency of humoral immunity</w:t>
            </w:r>
          </w:p>
        </w:tc>
        <w:tc>
          <w:tcPr>
            <w:tcW w:w="0" w:type="auto"/>
          </w:tcPr>
          <w:p w14:paraId="103EFC36"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p>
        </w:tc>
      </w:tr>
      <w:tr w:rsidR="00C94C59" w:rsidRPr="00BA7CA5" w14:paraId="29914F5A" w14:textId="77777777" w:rsidTr="00931884">
        <w:trPr>
          <w:trHeight w:val="253"/>
        </w:trPr>
        <w:tc>
          <w:tcPr>
            <w:tcW w:w="1096" w:type="dxa"/>
          </w:tcPr>
          <w:p w14:paraId="506AA0EC"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sz w:val="24"/>
                <w:szCs w:val="24"/>
              </w:rPr>
              <w:t>279.10</w:t>
            </w:r>
          </w:p>
        </w:tc>
        <w:tc>
          <w:tcPr>
            <w:tcW w:w="0" w:type="auto"/>
          </w:tcPr>
          <w:p w14:paraId="25AC4BE3"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color w:val="000000"/>
                <w:sz w:val="24"/>
                <w:szCs w:val="24"/>
                <w:shd w:val="clear" w:color="auto" w:fill="FFFFFF"/>
              </w:rPr>
              <w:t>Immunodeficiency with predominant T-cell defect, unspecified</w:t>
            </w:r>
          </w:p>
        </w:tc>
        <w:tc>
          <w:tcPr>
            <w:tcW w:w="0" w:type="auto"/>
          </w:tcPr>
          <w:p w14:paraId="5DE8083F"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p>
        </w:tc>
      </w:tr>
      <w:tr w:rsidR="00C94C59" w:rsidRPr="00BA7CA5" w14:paraId="0388ED82" w14:textId="77777777" w:rsidTr="00931884">
        <w:trPr>
          <w:trHeight w:val="253"/>
        </w:trPr>
        <w:tc>
          <w:tcPr>
            <w:tcW w:w="1096" w:type="dxa"/>
          </w:tcPr>
          <w:p w14:paraId="469DE9D7"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sz w:val="24"/>
                <w:szCs w:val="24"/>
              </w:rPr>
              <w:t>279.11</w:t>
            </w:r>
          </w:p>
        </w:tc>
        <w:tc>
          <w:tcPr>
            <w:tcW w:w="0" w:type="auto"/>
          </w:tcPr>
          <w:p w14:paraId="3320B526"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proofErr w:type="spellStart"/>
            <w:r w:rsidRPr="00BA7CA5">
              <w:rPr>
                <w:rFonts w:ascii="Times New Roman" w:hAnsi="Times New Roman" w:cs="Times New Roman"/>
                <w:color w:val="000000"/>
                <w:sz w:val="24"/>
                <w:szCs w:val="24"/>
                <w:shd w:val="clear" w:color="auto" w:fill="FFFFFF"/>
              </w:rPr>
              <w:t>Digeorge's</w:t>
            </w:r>
            <w:proofErr w:type="spellEnd"/>
            <w:r w:rsidRPr="00BA7CA5">
              <w:rPr>
                <w:rFonts w:ascii="Times New Roman" w:hAnsi="Times New Roman" w:cs="Times New Roman"/>
                <w:color w:val="000000"/>
                <w:sz w:val="24"/>
                <w:szCs w:val="24"/>
                <w:shd w:val="clear" w:color="auto" w:fill="FFFFFF"/>
              </w:rPr>
              <w:t xml:space="preserve"> syndrome</w:t>
            </w:r>
          </w:p>
        </w:tc>
        <w:tc>
          <w:tcPr>
            <w:tcW w:w="0" w:type="auto"/>
          </w:tcPr>
          <w:p w14:paraId="08D236B2"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p>
        </w:tc>
      </w:tr>
      <w:tr w:rsidR="00C94C59" w:rsidRPr="00BA7CA5" w14:paraId="18718253" w14:textId="77777777" w:rsidTr="00931884">
        <w:trPr>
          <w:trHeight w:val="253"/>
        </w:trPr>
        <w:tc>
          <w:tcPr>
            <w:tcW w:w="1096" w:type="dxa"/>
          </w:tcPr>
          <w:p w14:paraId="370C5976"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sz w:val="24"/>
                <w:szCs w:val="24"/>
              </w:rPr>
              <w:t>279.12</w:t>
            </w:r>
          </w:p>
        </w:tc>
        <w:tc>
          <w:tcPr>
            <w:tcW w:w="0" w:type="auto"/>
          </w:tcPr>
          <w:p w14:paraId="6FD0D769"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proofErr w:type="spellStart"/>
            <w:r w:rsidRPr="00BA7CA5">
              <w:rPr>
                <w:rFonts w:ascii="Times New Roman" w:hAnsi="Times New Roman" w:cs="Times New Roman"/>
                <w:color w:val="000000"/>
                <w:sz w:val="24"/>
                <w:szCs w:val="24"/>
                <w:shd w:val="clear" w:color="auto" w:fill="FFFFFF"/>
              </w:rPr>
              <w:t>Wiskott-aldrich</w:t>
            </w:r>
            <w:proofErr w:type="spellEnd"/>
            <w:r w:rsidRPr="00BA7CA5">
              <w:rPr>
                <w:rFonts w:ascii="Times New Roman" w:hAnsi="Times New Roman" w:cs="Times New Roman"/>
                <w:color w:val="000000"/>
                <w:sz w:val="24"/>
                <w:szCs w:val="24"/>
                <w:shd w:val="clear" w:color="auto" w:fill="FFFFFF"/>
              </w:rPr>
              <w:t xml:space="preserve"> syndrome</w:t>
            </w:r>
          </w:p>
        </w:tc>
        <w:tc>
          <w:tcPr>
            <w:tcW w:w="0" w:type="auto"/>
          </w:tcPr>
          <w:p w14:paraId="39E4C54A"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p>
        </w:tc>
      </w:tr>
      <w:tr w:rsidR="00C94C59" w:rsidRPr="00BA7CA5" w14:paraId="60D760AF" w14:textId="77777777" w:rsidTr="00931884">
        <w:trPr>
          <w:trHeight w:val="253"/>
        </w:trPr>
        <w:tc>
          <w:tcPr>
            <w:tcW w:w="1096" w:type="dxa"/>
          </w:tcPr>
          <w:p w14:paraId="55A166D8"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sz w:val="24"/>
                <w:szCs w:val="24"/>
              </w:rPr>
              <w:t>279.13</w:t>
            </w:r>
          </w:p>
        </w:tc>
        <w:tc>
          <w:tcPr>
            <w:tcW w:w="0" w:type="auto"/>
          </w:tcPr>
          <w:p w14:paraId="2BF34B41"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proofErr w:type="spellStart"/>
            <w:r w:rsidRPr="00BA7CA5">
              <w:rPr>
                <w:rFonts w:ascii="Times New Roman" w:hAnsi="Times New Roman" w:cs="Times New Roman"/>
                <w:color w:val="000000"/>
                <w:sz w:val="24"/>
                <w:szCs w:val="24"/>
                <w:shd w:val="clear" w:color="auto" w:fill="FFFFFF"/>
              </w:rPr>
              <w:t>Nezelof's</w:t>
            </w:r>
            <w:proofErr w:type="spellEnd"/>
            <w:r w:rsidRPr="00BA7CA5">
              <w:rPr>
                <w:rFonts w:ascii="Times New Roman" w:hAnsi="Times New Roman" w:cs="Times New Roman"/>
                <w:color w:val="000000"/>
                <w:sz w:val="24"/>
                <w:szCs w:val="24"/>
                <w:shd w:val="clear" w:color="auto" w:fill="FFFFFF"/>
              </w:rPr>
              <w:t xml:space="preserve"> syndrome</w:t>
            </w:r>
          </w:p>
        </w:tc>
        <w:tc>
          <w:tcPr>
            <w:tcW w:w="0" w:type="auto"/>
          </w:tcPr>
          <w:p w14:paraId="2F9ACDD6"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p>
        </w:tc>
      </w:tr>
      <w:tr w:rsidR="00C94C59" w:rsidRPr="00BA7CA5" w14:paraId="5619A027" w14:textId="77777777" w:rsidTr="00931884">
        <w:trPr>
          <w:trHeight w:val="253"/>
        </w:trPr>
        <w:tc>
          <w:tcPr>
            <w:tcW w:w="1096" w:type="dxa"/>
          </w:tcPr>
          <w:p w14:paraId="41A50087"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sz w:val="24"/>
                <w:szCs w:val="24"/>
              </w:rPr>
              <w:t>279.19</w:t>
            </w:r>
          </w:p>
        </w:tc>
        <w:tc>
          <w:tcPr>
            <w:tcW w:w="0" w:type="auto"/>
          </w:tcPr>
          <w:p w14:paraId="7212048B"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color w:val="000000"/>
                <w:sz w:val="24"/>
                <w:szCs w:val="24"/>
                <w:shd w:val="clear" w:color="auto" w:fill="FFFFFF"/>
              </w:rPr>
              <w:t>Other deficiency of cell-mediated immunity</w:t>
            </w:r>
          </w:p>
        </w:tc>
        <w:tc>
          <w:tcPr>
            <w:tcW w:w="0" w:type="auto"/>
          </w:tcPr>
          <w:p w14:paraId="38454FF8"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p>
        </w:tc>
      </w:tr>
      <w:tr w:rsidR="00C94C59" w:rsidRPr="00BA7CA5" w14:paraId="224D10A5" w14:textId="77777777" w:rsidTr="00931884">
        <w:trPr>
          <w:trHeight w:val="253"/>
        </w:trPr>
        <w:tc>
          <w:tcPr>
            <w:tcW w:w="1096" w:type="dxa"/>
          </w:tcPr>
          <w:p w14:paraId="3021E7D0"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sz w:val="24"/>
                <w:szCs w:val="24"/>
              </w:rPr>
              <w:t>279.2</w:t>
            </w:r>
          </w:p>
        </w:tc>
        <w:tc>
          <w:tcPr>
            <w:tcW w:w="0" w:type="auto"/>
          </w:tcPr>
          <w:p w14:paraId="1FC6E2C4"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color w:val="000000"/>
                <w:sz w:val="24"/>
                <w:szCs w:val="24"/>
                <w:shd w:val="clear" w:color="auto" w:fill="FFFFFF"/>
              </w:rPr>
              <w:t>Combined immunity deficiency</w:t>
            </w:r>
          </w:p>
        </w:tc>
        <w:tc>
          <w:tcPr>
            <w:tcW w:w="0" w:type="auto"/>
          </w:tcPr>
          <w:p w14:paraId="2BF648A1"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p>
        </w:tc>
      </w:tr>
      <w:tr w:rsidR="00C94C59" w:rsidRPr="00BA7CA5" w14:paraId="6256A1A8" w14:textId="77777777" w:rsidTr="00931884">
        <w:trPr>
          <w:trHeight w:val="253"/>
        </w:trPr>
        <w:tc>
          <w:tcPr>
            <w:tcW w:w="1096" w:type="dxa"/>
          </w:tcPr>
          <w:p w14:paraId="018460B6"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sz w:val="24"/>
                <w:szCs w:val="24"/>
              </w:rPr>
              <w:t>279.3</w:t>
            </w:r>
          </w:p>
        </w:tc>
        <w:tc>
          <w:tcPr>
            <w:tcW w:w="0" w:type="auto"/>
          </w:tcPr>
          <w:p w14:paraId="4E7EE6A1"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color w:val="000000"/>
                <w:sz w:val="24"/>
                <w:szCs w:val="24"/>
                <w:shd w:val="clear" w:color="auto" w:fill="FFFFFF"/>
              </w:rPr>
              <w:t>Unspecified immunity deficiency</w:t>
            </w:r>
          </w:p>
        </w:tc>
        <w:tc>
          <w:tcPr>
            <w:tcW w:w="0" w:type="auto"/>
          </w:tcPr>
          <w:p w14:paraId="75629763"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p>
        </w:tc>
      </w:tr>
      <w:tr w:rsidR="00C94C59" w:rsidRPr="00BA7CA5" w14:paraId="31351A6C" w14:textId="77777777" w:rsidTr="00931884">
        <w:trPr>
          <w:trHeight w:val="253"/>
        </w:trPr>
        <w:tc>
          <w:tcPr>
            <w:tcW w:w="1096" w:type="dxa"/>
          </w:tcPr>
          <w:p w14:paraId="30848B11"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sz w:val="24"/>
                <w:szCs w:val="24"/>
              </w:rPr>
              <w:t>279.41</w:t>
            </w:r>
          </w:p>
        </w:tc>
        <w:tc>
          <w:tcPr>
            <w:tcW w:w="0" w:type="auto"/>
          </w:tcPr>
          <w:p w14:paraId="67D7C744"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color w:val="000000"/>
                <w:sz w:val="24"/>
                <w:szCs w:val="24"/>
                <w:shd w:val="clear" w:color="auto" w:fill="FFFFFF"/>
              </w:rPr>
            </w:pPr>
            <w:r w:rsidRPr="00BA7CA5">
              <w:rPr>
                <w:rFonts w:ascii="Times New Roman" w:hAnsi="Times New Roman" w:cs="Times New Roman"/>
                <w:color w:val="000000"/>
                <w:sz w:val="24"/>
                <w:szCs w:val="24"/>
                <w:shd w:val="clear" w:color="auto" w:fill="FFFFFF"/>
              </w:rPr>
              <w:t>Autoimmune lymphoproliferative syndrome</w:t>
            </w:r>
          </w:p>
        </w:tc>
        <w:tc>
          <w:tcPr>
            <w:tcW w:w="0" w:type="auto"/>
          </w:tcPr>
          <w:p w14:paraId="5C046F77"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p>
        </w:tc>
      </w:tr>
      <w:tr w:rsidR="00C94C59" w:rsidRPr="00BA7CA5" w14:paraId="05E1A865" w14:textId="77777777" w:rsidTr="00931884">
        <w:trPr>
          <w:trHeight w:val="253"/>
        </w:trPr>
        <w:tc>
          <w:tcPr>
            <w:tcW w:w="1096" w:type="dxa"/>
          </w:tcPr>
          <w:p w14:paraId="5D43742E"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sz w:val="24"/>
                <w:szCs w:val="24"/>
              </w:rPr>
              <w:t>284.09</w:t>
            </w:r>
          </w:p>
        </w:tc>
        <w:tc>
          <w:tcPr>
            <w:tcW w:w="0" w:type="auto"/>
          </w:tcPr>
          <w:p w14:paraId="7FCCE578"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color w:val="000000"/>
                <w:sz w:val="24"/>
                <w:szCs w:val="24"/>
                <w:shd w:val="clear" w:color="auto" w:fill="FFFFFF"/>
              </w:rPr>
            </w:pPr>
            <w:r w:rsidRPr="00BA7CA5">
              <w:rPr>
                <w:rFonts w:ascii="Times New Roman" w:hAnsi="Times New Roman" w:cs="Times New Roman"/>
                <w:color w:val="000000"/>
                <w:sz w:val="24"/>
                <w:szCs w:val="24"/>
                <w:shd w:val="clear" w:color="auto" w:fill="FFFFFF"/>
              </w:rPr>
              <w:t>Other constitutional aplastic anemia</w:t>
            </w:r>
          </w:p>
        </w:tc>
        <w:tc>
          <w:tcPr>
            <w:tcW w:w="0" w:type="auto"/>
          </w:tcPr>
          <w:p w14:paraId="728C27D9"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p>
        </w:tc>
      </w:tr>
      <w:tr w:rsidR="00C94C59" w:rsidRPr="00BA7CA5" w14:paraId="783F259C" w14:textId="77777777" w:rsidTr="00931884">
        <w:trPr>
          <w:trHeight w:val="253"/>
        </w:trPr>
        <w:tc>
          <w:tcPr>
            <w:tcW w:w="1096" w:type="dxa"/>
          </w:tcPr>
          <w:p w14:paraId="3D05E835"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sz w:val="24"/>
                <w:szCs w:val="24"/>
              </w:rPr>
              <w:t>284.89</w:t>
            </w:r>
          </w:p>
        </w:tc>
        <w:tc>
          <w:tcPr>
            <w:tcW w:w="0" w:type="auto"/>
          </w:tcPr>
          <w:p w14:paraId="26AA17F7"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color w:val="000000"/>
                <w:sz w:val="24"/>
                <w:szCs w:val="24"/>
                <w:shd w:val="clear" w:color="auto" w:fill="FFFFFF"/>
              </w:rPr>
            </w:pPr>
            <w:r w:rsidRPr="00BA7CA5">
              <w:rPr>
                <w:rFonts w:ascii="Times New Roman" w:hAnsi="Times New Roman" w:cs="Times New Roman"/>
                <w:color w:val="000000"/>
                <w:sz w:val="24"/>
                <w:szCs w:val="24"/>
                <w:shd w:val="clear" w:color="auto" w:fill="FFFFFF"/>
              </w:rPr>
              <w:t>Other specified aplastic anemias</w:t>
            </w:r>
          </w:p>
        </w:tc>
        <w:tc>
          <w:tcPr>
            <w:tcW w:w="0" w:type="auto"/>
          </w:tcPr>
          <w:p w14:paraId="666628FB"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p>
        </w:tc>
      </w:tr>
      <w:tr w:rsidR="00C94C59" w:rsidRPr="00BA7CA5" w14:paraId="5BF59985" w14:textId="77777777" w:rsidTr="00931884">
        <w:trPr>
          <w:trHeight w:val="253"/>
        </w:trPr>
        <w:tc>
          <w:tcPr>
            <w:tcW w:w="1096" w:type="dxa"/>
          </w:tcPr>
          <w:p w14:paraId="2992B840"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sz w:val="24"/>
                <w:szCs w:val="24"/>
              </w:rPr>
              <w:t>284.9</w:t>
            </w:r>
          </w:p>
        </w:tc>
        <w:tc>
          <w:tcPr>
            <w:tcW w:w="0" w:type="auto"/>
          </w:tcPr>
          <w:p w14:paraId="7CB33C59"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color w:val="000000"/>
                <w:sz w:val="24"/>
                <w:szCs w:val="24"/>
                <w:shd w:val="clear" w:color="auto" w:fill="FFFFFF"/>
              </w:rPr>
            </w:pPr>
            <w:r w:rsidRPr="00BA7CA5">
              <w:rPr>
                <w:rFonts w:ascii="Times New Roman" w:hAnsi="Times New Roman" w:cs="Times New Roman"/>
                <w:color w:val="000000"/>
                <w:sz w:val="24"/>
                <w:szCs w:val="24"/>
                <w:shd w:val="clear" w:color="auto" w:fill="FFFFFF"/>
              </w:rPr>
              <w:t>Aplastic anemia, unspecified</w:t>
            </w:r>
          </w:p>
        </w:tc>
        <w:tc>
          <w:tcPr>
            <w:tcW w:w="0" w:type="auto"/>
          </w:tcPr>
          <w:p w14:paraId="031F1F04"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p>
        </w:tc>
      </w:tr>
      <w:tr w:rsidR="00C94C59" w:rsidRPr="00BA7CA5" w14:paraId="54543DAB" w14:textId="77777777" w:rsidTr="00931884">
        <w:trPr>
          <w:trHeight w:val="253"/>
        </w:trPr>
        <w:tc>
          <w:tcPr>
            <w:tcW w:w="1096" w:type="dxa"/>
          </w:tcPr>
          <w:p w14:paraId="780F5E94"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sz w:val="24"/>
                <w:szCs w:val="24"/>
              </w:rPr>
              <w:t>288.01</w:t>
            </w:r>
          </w:p>
        </w:tc>
        <w:tc>
          <w:tcPr>
            <w:tcW w:w="0" w:type="auto"/>
          </w:tcPr>
          <w:p w14:paraId="00AC4DC1"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color w:val="000000"/>
                <w:sz w:val="24"/>
                <w:szCs w:val="24"/>
                <w:shd w:val="clear" w:color="auto" w:fill="FFFFFF"/>
              </w:rPr>
            </w:pPr>
            <w:r w:rsidRPr="00BA7CA5">
              <w:rPr>
                <w:rFonts w:ascii="Times New Roman" w:hAnsi="Times New Roman" w:cs="Times New Roman"/>
                <w:color w:val="000000"/>
                <w:sz w:val="24"/>
                <w:szCs w:val="24"/>
                <w:shd w:val="clear" w:color="auto" w:fill="FFFFFF"/>
              </w:rPr>
              <w:t>Congenital neutropenia</w:t>
            </w:r>
          </w:p>
        </w:tc>
        <w:tc>
          <w:tcPr>
            <w:tcW w:w="0" w:type="auto"/>
          </w:tcPr>
          <w:p w14:paraId="6D2F8D7F"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p>
        </w:tc>
      </w:tr>
      <w:tr w:rsidR="00C94C59" w:rsidRPr="00BA7CA5" w14:paraId="14E6ADE0" w14:textId="77777777" w:rsidTr="00931884">
        <w:trPr>
          <w:trHeight w:val="253"/>
        </w:trPr>
        <w:tc>
          <w:tcPr>
            <w:tcW w:w="1096" w:type="dxa"/>
          </w:tcPr>
          <w:p w14:paraId="3ECEAA27"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sz w:val="24"/>
                <w:szCs w:val="24"/>
              </w:rPr>
              <w:lastRenderedPageBreak/>
              <w:t>288.1</w:t>
            </w:r>
          </w:p>
        </w:tc>
        <w:tc>
          <w:tcPr>
            <w:tcW w:w="0" w:type="auto"/>
          </w:tcPr>
          <w:p w14:paraId="19627CA0"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color w:val="000000"/>
                <w:sz w:val="24"/>
                <w:szCs w:val="24"/>
                <w:shd w:val="clear" w:color="auto" w:fill="FFFFFF"/>
              </w:rPr>
            </w:pPr>
            <w:r w:rsidRPr="00BA7CA5">
              <w:rPr>
                <w:rFonts w:ascii="Times New Roman" w:hAnsi="Times New Roman" w:cs="Times New Roman"/>
                <w:color w:val="000000"/>
                <w:sz w:val="24"/>
                <w:szCs w:val="24"/>
                <w:shd w:val="clear" w:color="auto" w:fill="FFFFFF"/>
              </w:rPr>
              <w:t>Functional disorders of polymorphonuclear neutrophils </w:t>
            </w:r>
          </w:p>
        </w:tc>
        <w:tc>
          <w:tcPr>
            <w:tcW w:w="0" w:type="auto"/>
          </w:tcPr>
          <w:p w14:paraId="7253D386"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p>
        </w:tc>
      </w:tr>
      <w:tr w:rsidR="00C94C59" w:rsidRPr="00BA7CA5" w14:paraId="4C140DF2" w14:textId="77777777" w:rsidTr="00931884">
        <w:trPr>
          <w:trHeight w:val="253"/>
        </w:trPr>
        <w:tc>
          <w:tcPr>
            <w:tcW w:w="1096" w:type="dxa"/>
          </w:tcPr>
          <w:p w14:paraId="70A916F4"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sz w:val="24"/>
                <w:szCs w:val="24"/>
              </w:rPr>
            </w:pPr>
            <w:r w:rsidRPr="00BA7CA5">
              <w:rPr>
                <w:rFonts w:ascii="Times New Roman" w:hAnsi="Times New Roman" w:cs="Times New Roman"/>
                <w:sz w:val="24"/>
                <w:szCs w:val="24"/>
              </w:rPr>
              <w:t>288.2</w:t>
            </w:r>
          </w:p>
        </w:tc>
        <w:tc>
          <w:tcPr>
            <w:tcW w:w="0" w:type="auto"/>
          </w:tcPr>
          <w:p w14:paraId="21E291C4" w14:textId="77777777" w:rsidR="00C94C59" w:rsidRPr="00BA7CA5" w:rsidRDefault="00C94C59" w:rsidP="00931884">
            <w:pPr>
              <w:widowControl w:val="0"/>
              <w:autoSpaceDE w:val="0"/>
              <w:autoSpaceDN w:val="0"/>
              <w:adjustRightInd w:val="0"/>
              <w:spacing w:line="360" w:lineRule="auto"/>
              <w:rPr>
                <w:rFonts w:ascii="Times New Roman" w:hAnsi="Times New Roman" w:cs="Times New Roman"/>
                <w:color w:val="000000"/>
                <w:sz w:val="24"/>
                <w:szCs w:val="24"/>
                <w:shd w:val="clear" w:color="auto" w:fill="FFFFFF"/>
              </w:rPr>
            </w:pPr>
            <w:r w:rsidRPr="00BA7CA5">
              <w:rPr>
                <w:rFonts w:ascii="Times New Roman" w:hAnsi="Times New Roman" w:cs="Times New Roman"/>
                <w:color w:val="000000"/>
                <w:sz w:val="24"/>
                <w:szCs w:val="24"/>
                <w:shd w:val="clear" w:color="auto" w:fill="FFFFFF"/>
              </w:rPr>
              <w:t>Genetic anomalies of leukocytes</w:t>
            </w:r>
          </w:p>
        </w:tc>
        <w:tc>
          <w:tcPr>
            <w:tcW w:w="0" w:type="auto"/>
          </w:tcPr>
          <w:p w14:paraId="0BFEE140" w14:textId="77777777" w:rsidR="00C94C59" w:rsidRPr="00BA7CA5" w:rsidRDefault="00C94C59" w:rsidP="00931884">
            <w:pPr>
              <w:widowControl w:val="0"/>
              <w:autoSpaceDE w:val="0"/>
              <w:autoSpaceDN w:val="0"/>
              <w:adjustRightInd w:val="0"/>
              <w:spacing w:line="360" w:lineRule="auto"/>
              <w:jc w:val="center"/>
              <w:rPr>
                <w:rFonts w:ascii="Times New Roman" w:hAnsi="Times New Roman" w:cs="Times New Roman"/>
                <w:sz w:val="24"/>
                <w:szCs w:val="24"/>
              </w:rPr>
            </w:pPr>
          </w:p>
        </w:tc>
      </w:tr>
    </w:tbl>
    <w:p w14:paraId="3867D182" w14:textId="77777777" w:rsidR="00C94C59" w:rsidRPr="00BA7CA5" w:rsidRDefault="00C94C59" w:rsidP="00C94C59">
      <w:pPr>
        <w:spacing w:line="360" w:lineRule="auto"/>
        <w:rPr>
          <w:rFonts w:ascii="Times New Roman" w:hAnsi="Times New Roman" w:cs="Times New Roman"/>
        </w:rPr>
      </w:pPr>
    </w:p>
    <w:p w14:paraId="3630472E" w14:textId="77777777" w:rsidR="00C94C59" w:rsidRPr="00FF008A" w:rsidRDefault="00C94C59" w:rsidP="00C94C59">
      <w:pPr>
        <w:rPr>
          <w:rFonts w:ascii="Times New Roman" w:hAnsi="Times New Roman" w:cs="Times New Roman"/>
          <w:b/>
          <w:color w:val="222222"/>
          <w:sz w:val="24"/>
          <w:szCs w:val="24"/>
          <w:shd w:val="clear" w:color="auto" w:fill="FFFFFF"/>
        </w:rPr>
      </w:pPr>
      <w:r w:rsidRPr="00FF008A">
        <w:rPr>
          <w:rFonts w:ascii="Times New Roman" w:hAnsi="Times New Roman" w:cs="Times New Roman"/>
          <w:b/>
          <w:color w:val="222222"/>
          <w:sz w:val="24"/>
          <w:szCs w:val="24"/>
          <w:shd w:val="clear" w:color="auto" w:fill="FFFFFF"/>
        </w:rPr>
        <w:t xml:space="preserve">Table 5. </w:t>
      </w:r>
      <w:r w:rsidRPr="00FF008A">
        <w:rPr>
          <w:rFonts w:ascii="Times New Roman" w:hAnsi="Times New Roman" w:cs="Times New Roman"/>
          <w:b/>
          <w:sz w:val="24"/>
          <w:szCs w:val="24"/>
        </w:rPr>
        <w:t xml:space="preserve">List of immunocompromising medications other than corticosteroids with IC level assignments </w:t>
      </w:r>
    </w:p>
    <w:tbl>
      <w:tblPr>
        <w:tblW w:w="6840" w:type="dxa"/>
        <w:tblLook w:val="04A0" w:firstRow="1" w:lastRow="0" w:firstColumn="1" w:lastColumn="0" w:noHBand="0" w:noVBand="1"/>
      </w:tblPr>
      <w:tblGrid>
        <w:gridCol w:w="3100"/>
        <w:gridCol w:w="3740"/>
      </w:tblGrid>
      <w:tr w:rsidR="00C94C59" w:rsidRPr="00FF008A" w14:paraId="3D781FBE" w14:textId="77777777" w:rsidTr="00931884">
        <w:trPr>
          <w:trHeight w:val="610"/>
        </w:trPr>
        <w:tc>
          <w:tcPr>
            <w:tcW w:w="31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277C6F" w14:textId="77777777" w:rsidR="00C94C59" w:rsidRPr="00FF008A" w:rsidRDefault="00C94C59" w:rsidP="00931884">
            <w:pPr>
              <w:jc w:val="center"/>
              <w:rPr>
                <w:rFonts w:ascii="Times New Roman" w:eastAsia="Times New Roman" w:hAnsi="Times New Roman" w:cs="Times New Roman"/>
                <w:b/>
                <w:bCs/>
                <w:color w:val="000000"/>
                <w:sz w:val="24"/>
                <w:szCs w:val="24"/>
              </w:rPr>
            </w:pPr>
            <w:r w:rsidRPr="00FF008A">
              <w:rPr>
                <w:rFonts w:ascii="Times New Roman" w:eastAsia="Times New Roman" w:hAnsi="Times New Roman" w:cs="Times New Roman"/>
                <w:b/>
                <w:bCs/>
                <w:color w:val="000000"/>
                <w:sz w:val="24"/>
                <w:szCs w:val="24"/>
              </w:rPr>
              <w:t>Generic Drug Name</w:t>
            </w:r>
          </w:p>
        </w:tc>
        <w:tc>
          <w:tcPr>
            <w:tcW w:w="3740" w:type="dxa"/>
            <w:tcBorders>
              <w:top w:val="single" w:sz="8" w:space="0" w:color="auto"/>
              <w:left w:val="nil"/>
              <w:bottom w:val="single" w:sz="8" w:space="0" w:color="auto"/>
              <w:right w:val="single" w:sz="8" w:space="0" w:color="auto"/>
            </w:tcBorders>
            <w:shd w:val="clear" w:color="000000" w:fill="FFFFFF"/>
            <w:vAlign w:val="center"/>
            <w:hideMark/>
          </w:tcPr>
          <w:p w14:paraId="06DDAE88" w14:textId="77777777" w:rsidR="00C94C59" w:rsidRPr="00FF008A" w:rsidRDefault="00C94C59" w:rsidP="00931884">
            <w:pPr>
              <w:jc w:val="center"/>
              <w:rPr>
                <w:rFonts w:ascii="Times New Roman" w:eastAsia="Times New Roman" w:hAnsi="Times New Roman" w:cs="Times New Roman"/>
                <w:b/>
                <w:bCs/>
                <w:color w:val="000000"/>
                <w:sz w:val="24"/>
                <w:szCs w:val="24"/>
              </w:rPr>
            </w:pPr>
            <w:r w:rsidRPr="00FF008A">
              <w:rPr>
                <w:rFonts w:ascii="Times New Roman" w:eastAsia="Times New Roman" w:hAnsi="Times New Roman" w:cs="Times New Roman"/>
                <w:b/>
                <w:bCs/>
                <w:color w:val="000000"/>
                <w:sz w:val="24"/>
                <w:szCs w:val="24"/>
              </w:rPr>
              <w:t xml:space="preserve">IC Classification Assignment </w:t>
            </w:r>
          </w:p>
          <w:p w14:paraId="017D42CB" w14:textId="77777777" w:rsidR="00C94C59" w:rsidRPr="00FF008A" w:rsidRDefault="00C94C59" w:rsidP="00931884">
            <w:pPr>
              <w:jc w:val="center"/>
              <w:rPr>
                <w:rFonts w:ascii="Times New Roman" w:eastAsia="Times New Roman" w:hAnsi="Times New Roman" w:cs="Times New Roman"/>
                <w:b/>
                <w:bCs/>
                <w:color w:val="000000"/>
                <w:sz w:val="24"/>
                <w:szCs w:val="24"/>
              </w:rPr>
            </w:pPr>
            <w:r w:rsidRPr="00FF008A">
              <w:rPr>
                <w:rFonts w:ascii="Times New Roman" w:hAnsi="Times New Roman" w:cs="Times New Roman"/>
                <w:sz w:val="24"/>
                <w:szCs w:val="24"/>
              </w:rPr>
              <w:t>(0= no IC, 1= IC)</w:t>
            </w:r>
          </w:p>
        </w:tc>
      </w:tr>
      <w:tr w:rsidR="00C94C59" w:rsidRPr="00FF008A" w14:paraId="73DC4F90"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4668621"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Abatacept</w:t>
            </w:r>
          </w:p>
        </w:tc>
        <w:tc>
          <w:tcPr>
            <w:tcW w:w="3740" w:type="dxa"/>
            <w:tcBorders>
              <w:top w:val="nil"/>
              <w:left w:val="nil"/>
              <w:bottom w:val="single" w:sz="4" w:space="0" w:color="auto"/>
              <w:right w:val="single" w:sz="4" w:space="0" w:color="auto"/>
            </w:tcBorders>
            <w:shd w:val="clear" w:color="000000" w:fill="FFFFFF"/>
            <w:vAlign w:val="center"/>
            <w:hideMark/>
          </w:tcPr>
          <w:p w14:paraId="2C347795"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1D9B394"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5E54F9B"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Abiraterone</w:t>
            </w:r>
          </w:p>
        </w:tc>
        <w:tc>
          <w:tcPr>
            <w:tcW w:w="3740" w:type="dxa"/>
            <w:tcBorders>
              <w:top w:val="nil"/>
              <w:left w:val="nil"/>
              <w:bottom w:val="single" w:sz="4" w:space="0" w:color="auto"/>
              <w:right w:val="single" w:sz="4" w:space="0" w:color="auto"/>
            </w:tcBorders>
            <w:shd w:val="clear" w:color="000000" w:fill="FFFFFF"/>
            <w:noWrap/>
            <w:vAlign w:val="center"/>
            <w:hideMark/>
          </w:tcPr>
          <w:p w14:paraId="292BD6BC"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44A12B79"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7CB00F7"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Adalimumab</w:t>
            </w:r>
          </w:p>
        </w:tc>
        <w:tc>
          <w:tcPr>
            <w:tcW w:w="3740" w:type="dxa"/>
            <w:tcBorders>
              <w:top w:val="nil"/>
              <w:left w:val="nil"/>
              <w:bottom w:val="single" w:sz="4" w:space="0" w:color="auto"/>
              <w:right w:val="single" w:sz="4" w:space="0" w:color="auto"/>
            </w:tcBorders>
            <w:shd w:val="clear" w:color="000000" w:fill="FFFFFF"/>
            <w:vAlign w:val="center"/>
            <w:hideMark/>
          </w:tcPr>
          <w:p w14:paraId="71F0F984"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0FF2791"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60D97CC"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Ado-</w:t>
            </w:r>
            <w:proofErr w:type="spellStart"/>
            <w:r w:rsidRPr="00FF008A">
              <w:rPr>
                <w:rFonts w:ascii="Times New Roman" w:eastAsia="Times New Roman" w:hAnsi="Times New Roman" w:cs="Times New Roman"/>
                <w:color w:val="000000"/>
                <w:sz w:val="24"/>
                <w:szCs w:val="24"/>
              </w:rPr>
              <w:t>Trastuzumab</w:t>
            </w:r>
            <w:proofErr w:type="spellEnd"/>
            <w:r w:rsidRPr="00FF008A">
              <w:rPr>
                <w:rFonts w:ascii="Times New Roman" w:eastAsia="Times New Roman" w:hAnsi="Times New Roman" w:cs="Times New Roman"/>
                <w:color w:val="000000"/>
                <w:sz w:val="24"/>
                <w:szCs w:val="24"/>
              </w:rPr>
              <w:t xml:space="preserve"> </w:t>
            </w:r>
            <w:proofErr w:type="spellStart"/>
            <w:r w:rsidRPr="00FF008A">
              <w:rPr>
                <w:rFonts w:ascii="Times New Roman" w:eastAsia="Times New Roman" w:hAnsi="Times New Roman" w:cs="Times New Roman"/>
                <w:color w:val="000000"/>
                <w:sz w:val="24"/>
                <w:szCs w:val="24"/>
              </w:rPr>
              <w:t>Emtansine</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02855AF5"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25AB84F" w14:textId="77777777" w:rsidTr="0093188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79DD937"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Afatinib</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2DA30745"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46A91D66"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D5D8B29"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Aldesleukin</w:t>
            </w:r>
            <w:proofErr w:type="spellEnd"/>
          </w:p>
        </w:tc>
        <w:tc>
          <w:tcPr>
            <w:tcW w:w="3740" w:type="dxa"/>
            <w:tcBorders>
              <w:top w:val="nil"/>
              <w:left w:val="nil"/>
              <w:bottom w:val="single" w:sz="4" w:space="0" w:color="auto"/>
              <w:right w:val="single" w:sz="4" w:space="0" w:color="auto"/>
            </w:tcBorders>
            <w:shd w:val="clear" w:color="000000" w:fill="FFFFFF"/>
            <w:vAlign w:val="center"/>
            <w:hideMark/>
          </w:tcPr>
          <w:p w14:paraId="18B08348"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AFFDA7C"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0D9AD64"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Alectinib</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nil"/>
              <w:bottom w:val="single" w:sz="4" w:space="0" w:color="auto"/>
              <w:right w:val="single" w:sz="4" w:space="0" w:color="auto"/>
            </w:tcBorders>
            <w:shd w:val="clear" w:color="000000" w:fill="FFFFFF"/>
            <w:noWrap/>
            <w:vAlign w:val="center"/>
            <w:hideMark/>
          </w:tcPr>
          <w:p w14:paraId="19DDBF48"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03BF7E37" w14:textId="77777777" w:rsidTr="00931884">
        <w:trPr>
          <w:trHeight w:val="2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46DC320"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Alemtuzumab</w:t>
            </w:r>
          </w:p>
        </w:tc>
        <w:tc>
          <w:tcPr>
            <w:tcW w:w="3740" w:type="dxa"/>
            <w:tcBorders>
              <w:top w:val="nil"/>
              <w:left w:val="nil"/>
              <w:bottom w:val="single" w:sz="4" w:space="0" w:color="auto"/>
              <w:right w:val="single" w:sz="4" w:space="0" w:color="auto"/>
            </w:tcBorders>
            <w:shd w:val="clear" w:color="000000" w:fill="FFFFFF"/>
            <w:vAlign w:val="center"/>
            <w:hideMark/>
          </w:tcPr>
          <w:p w14:paraId="31E39B09" w14:textId="77777777" w:rsidR="00C94C59" w:rsidRPr="00FF008A" w:rsidRDefault="00C94C59" w:rsidP="00931884">
            <w:pPr>
              <w:jc w:val="center"/>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1</w:t>
            </w:r>
          </w:p>
        </w:tc>
      </w:tr>
      <w:tr w:rsidR="00C94C59" w:rsidRPr="00FF008A" w14:paraId="68245B9A" w14:textId="77777777" w:rsidTr="0093188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459C491"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Alitretinoin </w:t>
            </w:r>
          </w:p>
        </w:tc>
        <w:tc>
          <w:tcPr>
            <w:tcW w:w="3740" w:type="dxa"/>
            <w:tcBorders>
              <w:top w:val="nil"/>
              <w:left w:val="nil"/>
              <w:bottom w:val="single" w:sz="4" w:space="0" w:color="auto"/>
              <w:right w:val="single" w:sz="4" w:space="0" w:color="auto"/>
            </w:tcBorders>
            <w:shd w:val="clear" w:color="000000" w:fill="FFFFFF"/>
            <w:vAlign w:val="center"/>
            <w:hideMark/>
          </w:tcPr>
          <w:p w14:paraId="62D6DE8B"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0B9274F4"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5DB0C5E"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Altretamine</w:t>
            </w:r>
          </w:p>
        </w:tc>
        <w:tc>
          <w:tcPr>
            <w:tcW w:w="3740" w:type="dxa"/>
            <w:tcBorders>
              <w:top w:val="nil"/>
              <w:left w:val="nil"/>
              <w:bottom w:val="single" w:sz="4" w:space="0" w:color="auto"/>
              <w:right w:val="single" w:sz="4" w:space="0" w:color="auto"/>
            </w:tcBorders>
            <w:shd w:val="clear" w:color="000000" w:fill="FFFFFF"/>
            <w:vAlign w:val="center"/>
            <w:hideMark/>
          </w:tcPr>
          <w:p w14:paraId="4F7661C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76FF3A0"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C9D5DB4"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Aminocamptothecin</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0C208A8D"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36690CC9"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CE22800"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Aminoglutethimide</w:t>
            </w:r>
            <w:proofErr w:type="spellEnd"/>
          </w:p>
        </w:tc>
        <w:tc>
          <w:tcPr>
            <w:tcW w:w="3740" w:type="dxa"/>
            <w:tcBorders>
              <w:top w:val="nil"/>
              <w:left w:val="nil"/>
              <w:bottom w:val="single" w:sz="4" w:space="0" w:color="auto"/>
              <w:right w:val="single" w:sz="4" w:space="0" w:color="auto"/>
            </w:tcBorders>
            <w:shd w:val="clear" w:color="000000" w:fill="FFFFFF"/>
            <w:vAlign w:val="center"/>
            <w:hideMark/>
          </w:tcPr>
          <w:p w14:paraId="0B2570E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6DFC978"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71C3DB4"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Amonafide</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1178158F"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A4DA2CB"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240D51E"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Anakinra</w:t>
            </w:r>
          </w:p>
        </w:tc>
        <w:tc>
          <w:tcPr>
            <w:tcW w:w="3740" w:type="dxa"/>
            <w:tcBorders>
              <w:top w:val="nil"/>
              <w:left w:val="nil"/>
              <w:bottom w:val="single" w:sz="4" w:space="0" w:color="auto"/>
              <w:right w:val="single" w:sz="4" w:space="0" w:color="auto"/>
            </w:tcBorders>
            <w:shd w:val="clear" w:color="000000" w:fill="FFFFFF"/>
            <w:vAlign w:val="center"/>
            <w:hideMark/>
          </w:tcPr>
          <w:p w14:paraId="5C3C8F2D"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5E52368"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F6AF95F"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Anastrozole</w:t>
            </w:r>
          </w:p>
        </w:tc>
        <w:tc>
          <w:tcPr>
            <w:tcW w:w="3740" w:type="dxa"/>
            <w:tcBorders>
              <w:top w:val="nil"/>
              <w:left w:val="nil"/>
              <w:bottom w:val="single" w:sz="4" w:space="0" w:color="auto"/>
              <w:right w:val="single" w:sz="4" w:space="0" w:color="auto"/>
            </w:tcBorders>
            <w:shd w:val="clear" w:color="000000" w:fill="FFFFFF"/>
            <w:vAlign w:val="center"/>
            <w:hideMark/>
          </w:tcPr>
          <w:p w14:paraId="35ED911F"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40FAD067"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28C421E"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Antithymocyte</w:t>
            </w:r>
            <w:proofErr w:type="spellEnd"/>
            <w:r w:rsidRPr="00FF008A">
              <w:rPr>
                <w:rFonts w:ascii="Times New Roman" w:eastAsia="Times New Roman" w:hAnsi="Times New Roman" w:cs="Times New Roman"/>
                <w:color w:val="000000"/>
                <w:sz w:val="24"/>
                <w:szCs w:val="24"/>
              </w:rPr>
              <w:t xml:space="preserve"> Globulin</w:t>
            </w:r>
          </w:p>
        </w:tc>
        <w:tc>
          <w:tcPr>
            <w:tcW w:w="3740" w:type="dxa"/>
            <w:tcBorders>
              <w:top w:val="nil"/>
              <w:left w:val="nil"/>
              <w:bottom w:val="single" w:sz="4" w:space="0" w:color="auto"/>
              <w:right w:val="single" w:sz="4" w:space="0" w:color="auto"/>
            </w:tcBorders>
            <w:shd w:val="clear" w:color="000000" w:fill="FFFFFF"/>
            <w:noWrap/>
            <w:vAlign w:val="bottom"/>
            <w:hideMark/>
          </w:tcPr>
          <w:p w14:paraId="09D16420"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FB263E2"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119E2C5"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Apremilast</w:t>
            </w:r>
            <w:proofErr w:type="spellEnd"/>
          </w:p>
        </w:tc>
        <w:tc>
          <w:tcPr>
            <w:tcW w:w="3740" w:type="dxa"/>
            <w:tcBorders>
              <w:top w:val="nil"/>
              <w:left w:val="nil"/>
              <w:bottom w:val="single" w:sz="4" w:space="0" w:color="auto"/>
              <w:right w:val="single" w:sz="4" w:space="0" w:color="auto"/>
            </w:tcBorders>
            <w:shd w:val="clear" w:color="000000" w:fill="FFFFFF"/>
            <w:vAlign w:val="center"/>
            <w:hideMark/>
          </w:tcPr>
          <w:p w14:paraId="091D9A3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8BA106D"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9AEB384"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Arsenic Trioxide </w:t>
            </w:r>
          </w:p>
        </w:tc>
        <w:tc>
          <w:tcPr>
            <w:tcW w:w="3740" w:type="dxa"/>
            <w:tcBorders>
              <w:top w:val="nil"/>
              <w:left w:val="nil"/>
              <w:bottom w:val="single" w:sz="4" w:space="0" w:color="auto"/>
              <w:right w:val="single" w:sz="4" w:space="0" w:color="auto"/>
            </w:tcBorders>
            <w:shd w:val="clear" w:color="000000" w:fill="FFFFFF"/>
            <w:noWrap/>
            <w:vAlign w:val="center"/>
            <w:hideMark/>
          </w:tcPr>
          <w:p w14:paraId="0E297D5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5B8D768"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5150AAD"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Asparaginase </w:t>
            </w:r>
          </w:p>
        </w:tc>
        <w:tc>
          <w:tcPr>
            <w:tcW w:w="3740" w:type="dxa"/>
            <w:tcBorders>
              <w:top w:val="nil"/>
              <w:left w:val="nil"/>
              <w:bottom w:val="single" w:sz="4" w:space="0" w:color="auto"/>
              <w:right w:val="single" w:sz="4" w:space="0" w:color="auto"/>
            </w:tcBorders>
            <w:shd w:val="clear" w:color="000000" w:fill="FFFFFF"/>
            <w:noWrap/>
            <w:vAlign w:val="bottom"/>
            <w:hideMark/>
          </w:tcPr>
          <w:p w14:paraId="534769F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773A367"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F2CB734"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Auranofin </w:t>
            </w:r>
          </w:p>
        </w:tc>
        <w:tc>
          <w:tcPr>
            <w:tcW w:w="3740" w:type="dxa"/>
            <w:tcBorders>
              <w:top w:val="nil"/>
              <w:left w:val="nil"/>
              <w:bottom w:val="single" w:sz="4" w:space="0" w:color="auto"/>
              <w:right w:val="single" w:sz="4" w:space="0" w:color="auto"/>
            </w:tcBorders>
            <w:shd w:val="clear" w:color="000000" w:fill="FFFFFF"/>
            <w:noWrap/>
            <w:vAlign w:val="bottom"/>
            <w:hideMark/>
          </w:tcPr>
          <w:p w14:paraId="017D1AA3"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B1E0A7D"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A506522"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lastRenderedPageBreak/>
              <w:t>Axitinib</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2944AFEE"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6C75456E"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A852CC2"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Azacitidine</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nil"/>
              <w:bottom w:val="single" w:sz="4" w:space="0" w:color="auto"/>
              <w:right w:val="single" w:sz="4" w:space="0" w:color="auto"/>
            </w:tcBorders>
            <w:shd w:val="clear" w:color="000000" w:fill="FFFFFF"/>
            <w:noWrap/>
            <w:vAlign w:val="bottom"/>
            <w:hideMark/>
          </w:tcPr>
          <w:p w14:paraId="4212F60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4D6845B"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9F57376"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Azathioprine </w:t>
            </w:r>
          </w:p>
        </w:tc>
        <w:tc>
          <w:tcPr>
            <w:tcW w:w="3740" w:type="dxa"/>
            <w:tcBorders>
              <w:top w:val="nil"/>
              <w:left w:val="nil"/>
              <w:bottom w:val="single" w:sz="4" w:space="0" w:color="auto"/>
              <w:right w:val="single" w:sz="4" w:space="0" w:color="auto"/>
            </w:tcBorders>
            <w:shd w:val="clear" w:color="000000" w:fill="FFFFFF"/>
            <w:noWrap/>
            <w:vAlign w:val="bottom"/>
            <w:hideMark/>
          </w:tcPr>
          <w:p w14:paraId="085B624B"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4E2D7FA"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4A057E0"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Basiliximab</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nil"/>
              <w:bottom w:val="single" w:sz="4" w:space="0" w:color="auto"/>
              <w:right w:val="single" w:sz="4" w:space="0" w:color="auto"/>
            </w:tcBorders>
            <w:shd w:val="clear" w:color="000000" w:fill="FFFFFF"/>
            <w:noWrap/>
            <w:vAlign w:val="bottom"/>
            <w:hideMark/>
          </w:tcPr>
          <w:p w14:paraId="3657E46C"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5B61742"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D847C5E"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BCG Vaccine </w:t>
            </w:r>
          </w:p>
        </w:tc>
        <w:tc>
          <w:tcPr>
            <w:tcW w:w="3740" w:type="dxa"/>
            <w:tcBorders>
              <w:top w:val="nil"/>
              <w:left w:val="nil"/>
              <w:bottom w:val="single" w:sz="4" w:space="0" w:color="auto"/>
              <w:right w:val="single" w:sz="4" w:space="0" w:color="auto"/>
            </w:tcBorders>
            <w:shd w:val="clear" w:color="000000" w:fill="FFFFFF"/>
            <w:vAlign w:val="center"/>
            <w:hideMark/>
          </w:tcPr>
          <w:p w14:paraId="0EA4073B"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A4254E1"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5A71AFC"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Belatacept</w:t>
            </w:r>
            <w:proofErr w:type="spellEnd"/>
          </w:p>
        </w:tc>
        <w:tc>
          <w:tcPr>
            <w:tcW w:w="3740" w:type="dxa"/>
            <w:tcBorders>
              <w:top w:val="nil"/>
              <w:left w:val="nil"/>
              <w:bottom w:val="single" w:sz="4" w:space="0" w:color="auto"/>
              <w:right w:val="single" w:sz="4" w:space="0" w:color="auto"/>
            </w:tcBorders>
            <w:shd w:val="clear" w:color="000000" w:fill="FFFFFF"/>
            <w:vAlign w:val="center"/>
            <w:hideMark/>
          </w:tcPr>
          <w:p w14:paraId="26C337D9"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5374EFC"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DBEF56F"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Belinostat</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31DA77EB"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6558029"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5DDE081"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Bendamustine</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3BFA8F3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6331F3C"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922616F"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Bevacizumab </w:t>
            </w:r>
          </w:p>
        </w:tc>
        <w:tc>
          <w:tcPr>
            <w:tcW w:w="3740" w:type="dxa"/>
            <w:tcBorders>
              <w:top w:val="nil"/>
              <w:left w:val="nil"/>
              <w:bottom w:val="single" w:sz="4" w:space="0" w:color="auto"/>
              <w:right w:val="single" w:sz="4" w:space="0" w:color="auto"/>
            </w:tcBorders>
            <w:shd w:val="clear" w:color="000000" w:fill="FFFFFF"/>
            <w:vAlign w:val="center"/>
            <w:hideMark/>
          </w:tcPr>
          <w:p w14:paraId="6700D688"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2F528A2"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24215FE"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Bexarotene </w:t>
            </w:r>
          </w:p>
        </w:tc>
        <w:tc>
          <w:tcPr>
            <w:tcW w:w="3740" w:type="dxa"/>
            <w:tcBorders>
              <w:top w:val="nil"/>
              <w:left w:val="nil"/>
              <w:bottom w:val="single" w:sz="4" w:space="0" w:color="auto"/>
              <w:right w:val="single" w:sz="4" w:space="0" w:color="auto"/>
            </w:tcBorders>
            <w:shd w:val="clear" w:color="000000" w:fill="FFFFFF"/>
            <w:vAlign w:val="center"/>
            <w:hideMark/>
          </w:tcPr>
          <w:p w14:paraId="0C5278E9"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5241DB5"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224AC37"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Bicalutamide </w:t>
            </w:r>
          </w:p>
        </w:tc>
        <w:tc>
          <w:tcPr>
            <w:tcW w:w="3740" w:type="dxa"/>
            <w:tcBorders>
              <w:top w:val="nil"/>
              <w:left w:val="nil"/>
              <w:bottom w:val="single" w:sz="4" w:space="0" w:color="auto"/>
              <w:right w:val="single" w:sz="4" w:space="0" w:color="auto"/>
            </w:tcBorders>
            <w:shd w:val="clear" w:color="000000" w:fill="FFFFFF"/>
            <w:vAlign w:val="center"/>
            <w:hideMark/>
          </w:tcPr>
          <w:p w14:paraId="73EF79E4"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49426578"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5948897"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Bleomycin </w:t>
            </w:r>
          </w:p>
        </w:tc>
        <w:tc>
          <w:tcPr>
            <w:tcW w:w="3740" w:type="dxa"/>
            <w:tcBorders>
              <w:top w:val="nil"/>
              <w:left w:val="nil"/>
              <w:bottom w:val="single" w:sz="4" w:space="0" w:color="auto"/>
              <w:right w:val="single" w:sz="4" w:space="0" w:color="auto"/>
            </w:tcBorders>
            <w:shd w:val="clear" w:color="000000" w:fill="FFFFFF"/>
            <w:vAlign w:val="center"/>
            <w:hideMark/>
          </w:tcPr>
          <w:p w14:paraId="7E48C88B"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14BCE21" w14:textId="77777777" w:rsidTr="00931884">
        <w:trPr>
          <w:trHeight w:val="34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33B98DE"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Blinatumomab</w:t>
            </w:r>
          </w:p>
        </w:tc>
        <w:tc>
          <w:tcPr>
            <w:tcW w:w="3740" w:type="dxa"/>
            <w:tcBorders>
              <w:top w:val="nil"/>
              <w:left w:val="nil"/>
              <w:bottom w:val="single" w:sz="4" w:space="0" w:color="auto"/>
              <w:right w:val="single" w:sz="4" w:space="0" w:color="auto"/>
            </w:tcBorders>
            <w:shd w:val="clear" w:color="000000" w:fill="FFFFFF"/>
            <w:noWrap/>
            <w:vAlign w:val="center"/>
            <w:hideMark/>
          </w:tcPr>
          <w:p w14:paraId="7064422E"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12DA2A4"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42FA5B9"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Bortezomib </w:t>
            </w:r>
          </w:p>
        </w:tc>
        <w:tc>
          <w:tcPr>
            <w:tcW w:w="3740" w:type="dxa"/>
            <w:tcBorders>
              <w:top w:val="nil"/>
              <w:left w:val="nil"/>
              <w:bottom w:val="single" w:sz="4" w:space="0" w:color="auto"/>
              <w:right w:val="single" w:sz="4" w:space="0" w:color="auto"/>
            </w:tcBorders>
            <w:shd w:val="clear" w:color="000000" w:fill="FFFFFF"/>
            <w:vAlign w:val="center"/>
            <w:hideMark/>
          </w:tcPr>
          <w:p w14:paraId="12F58CF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F2A0D7C"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EC54F48"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Bosutinib</w:t>
            </w:r>
          </w:p>
        </w:tc>
        <w:tc>
          <w:tcPr>
            <w:tcW w:w="3740" w:type="dxa"/>
            <w:tcBorders>
              <w:top w:val="nil"/>
              <w:left w:val="nil"/>
              <w:bottom w:val="single" w:sz="4" w:space="0" w:color="auto"/>
              <w:right w:val="single" w:sz="4" w:space="0" w:color="auto"/>
            </w:tcBorders>
            <w:shd w:val="clear" w:color="000000" w:fill="FFFFFF"/>
            <w:noWrap/>
            <w:vAlign w:val="center"/>
            <w:hideMark/>
          </w:tcPr>
          <w:p w14:paraId="727F77F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3AFD255"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B53FDED"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Brentuximab</w:t>
            </w:r>
            <w:proofErr w:type="spellEnd"/>
            <w:r w:rsidRPr="00FF008A">
              <w:rPr>
                <w:rFonts w:ascii="Times New Roman" w:eastAsia="Times New Roman" w:hAnsi="Times New Roman" w:cs="Times New Roman"/>
                <w:color w:val="000000"/>
                <w:sz w:val="24"/>
                <w:szCs w:val="24"/>
              </w:rPr>
              <w:t xml:space="preserve"> </w:t>
            </w:r>
            <w:proofErr w:type="spellStart"/>
            <w:r w:rsidRPr="00FF008A">
              <w:rPr>
                <w:rFonts w:ascii="Times New Roman" w:eastAsia="Times New Roman" w:hAnsi="Times New Roman" w:cs="Times New Roman"/>
                <w:color w:val="000000"/>
                <w:sz w:val="24"/>
                <w:szCs w:val="24"/>
              </w:rPr>
              <w:t>Vedotin</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5041498F"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7273A8D"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B24E97C"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Busulfan </w:t>
            </w:r>
          </w:p>
        </w:tc>
        <w:tc>
          <w:tcPr>
            <w:tcW w:w="3740" w:type="dxa"/>
            <w:tcBorders>
              <w:top w:val="nil"/>
              <w:left w:val="nil"/>
              <w:bottom w:val="single" w:sz="4" w:space="0" w:color="auto"/>
              <w:right w:val="single" w:sz="4" w:space="0" w:color="auto"/>
            </w:tcBorders>
            <w:shd w:val="clear" w:color="000000" w:fill="FFFFFF"/>
            <w:vAlign w:val="center"/>
            <w:hideMark/>
          </w:tcPr>
          <w:p w14:paraId="121E1563"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F53B367"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6FE06EB"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Cabazitaxel</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7A5C3B1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68AC861"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9164C5D"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Cabozantinib</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377C4C60"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40B22F9"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5361259"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Capecitabine </w:t>
            </w:r>
          </w:p>
        </w:tc>
        <w:tc>
          <w:tcPr>
            <w:tcW w:w="3740" w:type="dxa"/>
            <w:tcBorders>
              <w:top w:val="nil"/>
              <w:left w:val="nil"/>
              <w:bottom w:val="single" w:sz="4" w:space="0" w:color="auto"/>
              <w:right w:val="single" w:sz="4" w:space="0" w:color="auto"/>
            </w:tcBorders>
            <w:shd w:val="clear" w:color="000000" w:fill="FFFFFF"/>
            <w:vAlign w:val="center"/>
            <w:hideMark/>
          </w:tcPr>
          <w:p w14:paraId="066AA36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ADE4071"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A4976A8"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Carboplatin </w:t>
            </w:r>
          </w:p>
        </w:tc>
        <w:tc>
          <w:tcPr>
            <w:tcW w:w="3740" w:type="dxa"/>
            <w:tcBorders>
              <w:top w:val="nil"/>
              <w:left w:val="nil"/>
              <w:bottom w:val="single" w:sz="4" w:space="0" w:color="auto"/>
              <w:right w:val="single" w:sz="4" w:space="0" w:color="auto"/>
            </w:tcBorders>
            <w:shd w:val="clear" w:color="000000" w:fill="FFFFFF"/>
            <w:vAlign w:val="center"/>
            <w:hideMark/>
          </w:tcPr>
          <w:p w14:paraId="6F5A00D1"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DD0F83B"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B5B2C41"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Carfilzomib</w:t>
            </w:r>
          </w:p>
        </w:tc>
        <w:tc>
          <w:tcPr>
            <w:tcW w:w="3740" w:type="dxa"/>
            <w:tcBorders>
              <w:top w:val="nil"/>
              <w:left w:val="nil"/>
              <w:bottom w:val="single" w:sz="4" w:space="0" w:color="auto"/>
              <w:right w:val="single" w:sz="4" w:space="0" w:color="auto"/>
            </w:tcBorders>
            <w:shd w:val="clear" w:color="000000" w:fill="FFFFFF"/>
            <w:noWrap/>
            <w:vAlign w:val="center"/>
            <w:hideMark/>
          </w:tcPr>
          <w:p w14:paraId="23BDA789"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09B237F"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4CFB186"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Carmustine</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nil"/>
              <w:bottom w:val="single" w:sz="4" w:space="0" w:color="auto"/>
              <w:right w:val="single" w:sz="4" w:space="0" w:color="auto"/>
            </w:tcBorders>
            <w:shd w:val="clear" w:color="000000" w:fill="FFFFFF"/>
            <w:vAlign w:val="center"/>
            <w:hideMark/>
          </w:tcPr>
          <w:p w14:paraId="7EDA1D18"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67BD978"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AAD89B1"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Ceritinib</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5E881AE0"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ED8DB9D"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8529F1E"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Certolizumab Pegol</w:t>
            </w:r>
          </w:p>
        </w:tc>
        <w:tc>
          <w:tcPr>
            <w:tcW w:w="3740" w:type="dxa"/>
            <w:tcBorders>
              <w:top w:val="nil"/>
              <w:left w:val="nil"/>
              <w:bottom w:val="single" w:sz="4" w:space="0" w:color="auto"/>
              <w:right w:val="single" w:sz="4" w:space="0" w:color="auto"/>
            </w:tcBorders>
            <w:shd w:val="clear" w:color="000000" w:fill="FFFFFF"/>
            <w:vAlign w:val="center"/>
            <w:hideMark/>
          </w:tcPr>
          <w:p w14:paraId="14AF298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C7A1B19"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06DD906"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Cetuximab </w:t>
            </w:r>
          </w:p>
        </w:tc>
        <w:tc>
          <w:tcPr>
            <w:tcW w:w="3740" w:type="dxa"/>
            <w:tcBorders>
              <w:top w:val="nil"/>
              <w:left w:val="nil"/>
              <w:bottom w:val="single" w:sz="4" w:space="0" w:color="auto"/>
              <w:right w:val="single" w:sz="4" w:space="0" w:color="auto"/>
            </w:tcBorders>
            <w:shd w:val="clear" w:color="000000" w:fill="FFFFFF"/>
            <w:vAlign w:val="center"/>
            <w:hideMark/>
          </w:tcPr>
          <w:p w14:paraId="112B7D7F"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6EFBF11"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36E68A3"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Chlorambucil </w:t>
            </w:r>
          </w:p>
        </w:tc>
        <w:tc>
          <w:tcPr>
            <w:tcW w:w="3740" w:type="dxa"/>
            <w:tcBorders>
              <w:top w:val="nil"/>
              <w:left w:val="nil"/>
              <w:bottom w:val="single" w:sz="4" w:space="0" w:color="auto"/>
              <w:right w:val="single" w:sz="4" w:space="0" w:color="auto"/>
            </w:tcBorders>
            <w:shd w:val="clear" w:color="000000" w:fill="FFFFFF"/>
            <w:vAlign w:val="center"/>
            <w:hideMark/>
          </w:tcPr>
          <w:p w14:paraId="3DB0E93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06761DC"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681D214"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lastRenderedPageBreak/>
              <w:t xml:space="preserve">Cisplatin </w:t>
            </w:r>
          </w:p>
        </w:tc>
        <w:tc>
          <w:tcPr>
            <w:tcW w:w="3740" w:type="dxa"/>
            <w:tcBorders>
              <w:top w:val="nil"/>
              <w:left w:val="nil"/>
              <w:bottom w:val="single" w:sz="4" w:space="0" w:color="auto"/>
              <w:right w:val="single" w:sz="4" w:space="0" w:color="auto"/>
            </w:tcBorders>
            <w:shd w:val="clear" w:color="000000" w:fill="FFFFFF"/>
            <w:vAlign w:val="center"/>
            <w:hideMark/>
          </w:tcPr>
          <w:p w14:paraId="6D654079"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1C257A2"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9221128"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Cladribine </w:t>
            </w:r>
          </w:p>
        </w:tc>
        <w:tc>
          <w:tcPr>
            <w:tcW w:w="3740" w:type="dxa"/>
            <w:tcBorders>
              <w:top w:val="nil"/>
              <w:left w:val="nil"/>
              <w:bottom w:val="single" w:sz="4" w:space="0" w:color="auto"/>
              <w:right w:val="single" w:sz="4" w:space="0" w:color="auto"/>
            </w:tcBorders>
            <w:shd w:val="clear" w:color="000000" w:fill="FFFFFF"/>
            <w:vAlign w:val="center"/>
            <w:hideMark/>
          </w:tcPr>
          <w:p w14:paraId="2AF91C60"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3A5D0F2"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7A8A3A4"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Clofarabine </w:t>
            </w:r>
          </w:p>
        </w:tc>
        <w:tc>
          <w:tcPr>
            <w:tcW w:w="3740" w:type="dxa"/>
            <w:tcBorders>
              <w:top w:val="nil"/>
              <w:left w:val="nil"/>
              <w:bottom w:val="single" w:sz="4" w:space="0" w:color="auto"/>
              <w:right w:val="single" w:sz="4" w:space="0" w:color="auto"/>
            </w:tcBorders>
            <w:shd w:val="clear" w:color="000000" w:fill="FFFFFF"/>
            <w:vAlign w:val="center"/>
            <w:hideMark/>
          </w:tcPr>
          <w:p w14:paraId="6B9A907C"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97BCEE7"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B4D9CF9"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Cobimetinib</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5B8BB3C1"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09301A3"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DBD3AF3"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Crizotinib</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1F8B5D9D"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A4FD017"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2B2AD7E"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Cyclophosphamide </w:t>
            </w:r>
          </w:p>
        </w:tc>
        <w:tc>
          <w:tcPr>
            <w:tcW w:w="3740" w:type="dxa"/>
            <w:tcBorders>
              <w:top w:val="nil"/>
              <w:left w:val="nil"/>
              <w:bottom w:val="single" w:sz="4" w:space="0" w:color="auto"/>
              <w:right w:val="single" w:sz="4" w:space="0" w:color="auto"/>
            </w:tcBorders>
            <w:shd w:val="clear" w:color="000000" w:fill="FFFFFF"/>
            <w:vAlign w:val="center"/>
            <w:hideMark/>
          </w:tcPr>
          <w:p w14:paraId="7BB6AE7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0D577612"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2EED97F"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Cyclosporine </w:t>
            </w:r>
          </w:p>
        </w:tc>
        <w:tc>
          <w:tcPr>
            <w:tcW w:w="3740" w:type="dxa"/>
            <w:tcBorders>
              <w:top w:val="nil"/>
              <w:left w:val="nil"/>
              <w:bottom w:val="single" w:sz="4" w:space="0" w:color="auto"/>
              <w:right w:val="single" w:sz="4" w:space="0" w:color="auto"/>
            </w:tcBorders>
            <w:shd w:val="clear" w:color="000000" w:fill="FFFFFF"/>
            <w:vAlign w:val="center"/>
            <w:hideMark/>
          </w:tcPr>
          <w:p w14:paraId="301AC07E"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BCD1EBD"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F595146"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Cytarabine </w:t>
            </w:r>
          </w:p>
        </w:tc>
        <w:tc>
          <w:tcPr>
            <w:tcW w:w="3740" w:type="dxa"/>
            <w:tcBorders>
              <w:top w:val="nil"/>
              <w:left w:val="nil"/>
              <w:bottom w:val="single" w:sz="4" w:space="0" w:color="auto"/>
              <w:right w:val="single" w:sz="4" w:space="0" w:color="auto"/>
            </w:tcBorders>
            <w:shd w:val="clear" w:color="000000" w:fill="FFFFFF"/>
            <w:vAlign w:val="center"/>
            <w:hideMark/>
          </w:tcPr>
          <w:p w14:paraId="508FE83C"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1AB6F5A"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7210370"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Dabrafenib</w:t>
            </w:r>
          </w:p>
        </w:tc>
        <w:tc>
          <w:tcPr>
            <w:tcW w:w="3740" w:type="dxa"/>
            <w:tcBorders>
              <w:top w:val="nil"/>
              <w:left w:val="nil"/>
              <w:bottom w:val="single" w:sz="4" w:space="0" w:color="auto"/>
              <w:right w:val="single" w:sz="4" w:space="0" w:color="auto"/>
            </w:tcBorders>
            <w:shd w:val="clear" w:color="000000" w:fill="FFFFFF"/>
            <w:noWrap/>
            <w:vAlign w:val="center"/>
            <w:hideMark/>
          </w:tcPr>
          <w:p w14:paraId="588DC42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B458D50"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8DB9F58"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Dacarbazine </w:t>
            </w:r>
          </w:p>
        </w:tc>
        <w:tc>
          <w:tcPr>
            <w:tcW w:w="3740" w:type="dxa"/>
            <w:tcBorders>
              <w:top w:val="nil"/>
              <w:left w:val="nil"/>
              <w:bottom w:val="single" w:sz="4" w:space="0" w:color="auto"/>
              <w:right w:val="single" w:sz="4" w:space="0" w:color="auto"/>
            </w:tcBorders>
            <w:shd w:val="clear" w:color="000000" w:fill="FFFFFF"/>
            <w:vAlign w:val="center"/>
            <w:hideMark/>
          </w:tcPr>
          <w:p w14:paraId="5C7CD00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F02F9A2"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64AF7B2"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Daclizumab </w:t>
            </w:r>
          </w:p>
        </w:tc>
        <w:tc>
          <w:tcPr>
            <w:tcW w:w="3740" w:type="dxa"/>
            <w:tcBorders>
              <w:top w:val="nil"/>
              <w:left w:val="nil"/>
              <w:bottom w:val="single" w:sz="4" w:space="0" w:color="auto"/>
              <w:right w:val="single" w:sz="4" w:space="0" w:color="auto"/>
            </w:tcBorders>
            <w:shd w:val="clear" w:color="000000" w:fill="FFFFFF"/>
            <w:vAlign w:val="center"/>
            <w:hideMark/>
          </w:tcPr>
          <w:p w14:paraId="350D6C5D"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0CF3749"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02FB17E"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Dactinomycin </w:t>
            </w:r>
          </w:p>
        </w:tc>
        <w:tc>
          <w:tcPr>
            <w:tcW w:w="3740" w:type="dxa"/>
            <w:tcBorders>
              <w:top w:val="nil"/>
              <w:left w:val="nil"/>
              <w:bottom w:val="single" w:sz="4" w:space="0" w:color="auto"/>
              <w:right w:val="single" w:sz="4" w:space="0" w:color="auto"/>
            </w:tcBorders>
            <w:shd w:val="clear" w:color="000000" w:fill="FFFFFF"/>
            <w:vAlign w:val="center"/>
            <w:hideMark/>
          </w:tcPr>
          <w:p w14:paraId="10B8E8FF"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6D87C28"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888AB49"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Daratumumab</w:t>
            </w:r>
          </w:p>
        </w:tc>
        <w:tc>
          <w:tcPr>
            <w:tcW w:w="3740" w:type="dxa"/>
            <w:tcBorders>
              <w:top w:val="nil"/>
              <w:left w:val="nil"/>
              <w:bottom w:val="single" w:sz="4" w:space="0" w:color="auto"/>
              <w:right w:val="single" w:sz="4" w:space="0" w:color="auto"/>
            </w:tcBorders>
            <w:shd w:val="clear" w:color="000000" w:fill="FFFFFF"/>
            <w:noWrap/>
            <w:vAlign w:val="center"/>
            <w:hideMark/>
          </w:tcPr>
          <w:p w14:paraId="3E1FD919"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0A6F47BD"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A1FEFD6"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Dasatinib</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nil"/>
              <w:bottom w:val="single" w:sz="4" w:space="0" w:color="auto"/>
              <w:right w:val="single" w:sz="4" w:space="0" w:color="auto"/>
            </w:tcBorders>
            <w:shd w:val="clear" w:color="000000" w:fill="FFFFFF"/>
            <w:vAlign w:val="center"/>
            <w:hideMark/>
          </w:tcPr>
          <w:p w14:paraId="5640AE65"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54821A4"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A1FD87A"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Daunorubicin </w:t>
            </w:r>
          </w:p>
        </w:tc>
        <w:tc>
          <w:tcPr>
            <w:tcW w:w="3740" w:type="dxa"/>
            <w:tcBorders>
              <w:top w:val="nil"/>
              <w:left w:val="nil"/>
              <w:bottom w:val="single" w:sz="4" w:space="0" w:color="auto"/>
              <w:right w:val="single" w:sz="4" w:space="0" w:color="auto"/>
            </w:tcBorders>
            <w:shd w:val="clear" w:color="000000" w:fill="FFFFFF"/>
            <w:vAlign w:val="center"/>
            <w:hideMark/>
          </w:tcPr>
          <w:p w14:paraId="62C0B0B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A55E33D"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B3F5D29"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Decitabine </w:t>
            </w:r>
          </w:p>
        </w:tc>
        <w:tc>
          <w:tcPr>
            <w:tcW w:w="3740" w:type="dxa"/>
            <w:tcBorders>
              <w:top w:val="nil"/>
              <w:left w:val="nil"/>
              <w:bottom w:val="single" w:sz="4" w:space="0" w:color="auto"/>
              <w:right w:val="single" w:sz="4" w:space="0" w:color="auto"/>
            </w:tcBorders>
            <w:shd w:val="clear" w:color="000000" w:fill="FFFFFF"/>
            <w:vAlign w:val="center"/>
            <w:hideMark/>
          </w:tcPr>
          <w:p w14:paraId="18E59370"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A3DCB9F"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BFB73CE"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Degarelix</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489654BE"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1EAF1781"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FB9815B"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Denileukin</w:t>
            </w:r>
            <w:proofErr w:type="spellEnd"/>
            <w:r w:rsidRPr="00FF008A">
              <w:rPr>
                <w:rFonts w:ascii="Times New Roman" w:eastAsia="Times New Roman" w:hAnsi="Times New Roman" w:cs="Times New Roman"/>
                <w:color w:val="000000"/>
                <w:sz w:val="24"/>
                <w:szCs w:val="24"/>
              </w:rPr>
              <w:t xml:space="preserve"> </w:t>
            </w:r>
            <w:proofErr w:type="spellStart"/>
            <w:r w:rsidRPr="00FF008A">
              <w:rPr>
                <w:rFonts w:ascii="Times New Roman" w:eastAsia="Times New Roman" w:hAnsi="Times New Roman" w:cs="Times New Roman"/>
                <w:color w:val="000000"/>
                <w:sz w:val="24"/>
                <w:szCs w:val="24"/>
              </w:rPr>
              <w:t>Diftitox</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nil"/>
              <w:bottom w:val="single" w:sz="4" w:space="0" w:color="auto"/>
              <w:right w:val="single" w:sz="4" w:space="0" w:color="auto"/>
            </w:tcBorders>
            <w:shd w:val="clear" w:color="000000" w:fill="FFFFFF"/>
            <w:vAlign w:val="center"/>
            <w:hideMark/>
          </w:tcPr>
          <w:p w14:paraId="4AA45DCB"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918FCA9"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E2572C6"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Dexrazoxane </w:t>
            </w:r>
          </w:p>
        </w:tc>
        <w:tc>
          <w:tcPr>
            <w:tcW w:w="3740" w:type="dxa"/>
            <w:tcBorders>
              <w:top w:val="nil"/>
              <w:left w:val="nil"/>
              <w:bottom w:val="single" w:sz="4" w:space="0" w:color="auto"/>
              <w:right w:val="single" w:sz="4" w:space="0" w:color="auto"/>
            </w:tcBorders>
            <w:shd w:val="clear" w:color="000000" w:fill="FFFFFF"/>
            <w:vAlign w:val="center"/>
            <w:hideMark/>
          </w:tcPr>
          <w:p w14:paraId="3DB0F7A3"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3958A746"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EA1AE11"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Dimethyl Fumarate</w:t>
            </w:r>
          </w:p>
        </w:tc>
        <w:tc>
          <w:tcPr>
            <w:tcW w:w="3740" w:type="dxa"/>
            <w:tcBorders>
              <w:top w:val="nil"/>
              <w:left w:val="nil"/>
              <w:bottom w:val="single" w:sz="4" w:space="0" w:color="auto"/>
              <w:right w:val="single" w:sz="4" w:space="0" w:color="auto"/>
            </w:tcBorders>
            <w:shd w:val="clear" w:color="000000" w:fill="FFFFFF"/>
            <w:vAlign w:val="center"/>
            <w:hideMark/>
          </w:tcPr>
          <w:p w14:paraId="7B9FB7BC"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C5F907E"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9160B90"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Dinutuximab</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7DC652B3"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01B8D2C"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937082B"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Docetaxel </w:t>
            </w:r>
          </w:p>
        </w:tc>
        <w:tc>
          <w:tcPr>
            <w:tcW w:w="3740" w:type="dxa"/>
            <w:tcBorders>
              <w:top w:val="nil"/>
              <w:left w:val="nil"/>
              <w:bottom w:val="single" w:sz="4" w:space="0" w:color="auto"/>
              <w:right w:val="single" w:sz="4" w:space="0" w:color="auto"/>
            </w:tcBorders>
            <w:shd w:val="clear" w:color="000000" w:fill="FFFFFF"/>
            <w:vAlign w:val="center"/>
            <w:hideMark/>
          </w:tcPr>
          <w:p w14:paraId="0F411DA9"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012EFBA9"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C03B457"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Doxorubicin </w:t>
            </w:r>
          </w:p>
        </w:tc>
        <w:tc>
          <w:tcPr>
            <w:tcW w:w="3740" w:type="dxa"/>
            <w:tcBorders>
              <w:top w:val="nil"/>
              <w:left w:val="nil"/>
              <w:bottom w:val="single" w:sz="4" w:space="0" w:color="auto"/>
              <w:right w:val="single" w:sz="4" w:space="0" w:color="auto"/>
            </w:tcBorders>
            <w:shd w:val="clear" w:color="000000" w:fill="FFFFFF"/>
            <w:vAlign w:val="center"/>
            <w:hideMark/>
          </w:tcPr>
          <w:p w14:paraId="452A41E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07594AF7"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279337A"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Eculizumab</w:t>
            </w:r>
          </w:p>
        </w:tc>
        <w:tc>
          <w:tcPr>
            <w:tcW w:w="3740" w:type="dxa"/>
            <w:tcBorders>
              <w:top w:val="nil"/>
              <w:left w:val="nil"/>
              <w:bottom w:val="single" w:sz="4" w:space="0" w:color="auto"/>
              <w:right w:val="single" w:sz="4" w:space="0" w:color="auto"/>
            </w:tcBorders>
            <w:shd w:val="clear" w:color="000000" w:fill="FFFFFF"/>
            <w:vAlign w:val="center"/>
            <w:hideMark/>
          </w:tcPr>
          <w:p w14:paraId="7EB881D2"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0DE08B16"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79D9FA7"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Efalizumab</w:t>
            </w:r>
          </w:p>
        </w:tc>
        <w:tc>
          <w:tcPr>
            <w:tcW w:w="3740" w:type="dxa"/>
            <w:tcBorders>
              <w:top w:val="nil"/>
              <w:left w:val="nil"/>
              <w:bottom w:val="single" w:sz="4" w:space="0" w:color="auto"/>
              <w:right w:val="single" w:sz="4" w:space="0" w:color="auto"/>
            </w:tcBorders>
            <w:shd w:val="clear" w:color="000000" w:fill="FFFFFF"/>
            <w:vAlign w:val="center"/>
            <w:hideMark/>
          </w:tcPr>
          <w:p w14:paraId="45028CCE"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026311A"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A449312"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Elotuzumab</w:t>
            </w:r>
            <w:proofErr w:type="spellEnd"/>
            <w:r w:rsidRPr="00FF008A">
              <w:rPr>
                <w:rFonts w:ascii="Times New Roman" w:eastAsia="Times New Roman" w:hAnsi="Times New Roman" w:cs="Times New Roman"/>
                <w:color w:val="000000"/>
                <w:sz w:val="24"/>
                <w:szCs w:val="24"/>
              </w:rPr>
              <w:t>/</w:t>
            </w:r>
            <w:proofErr w:type="spellStart"/>
            <w:r w:rsidRPr="00FF008A">
              <w:rPr>
                <w:rFonts w:ascii="Times New Roman" w:eastAsia="Times New Roman" w:hAnsi="Times New Roman" w:cs="Times New Roman"/>
                <w:color w:val="000000"/>
                <w:sz w:val="24"/>
                <w:szCs w:val="24"/>
              </w:rPr>
              <w:t>Elotozumab</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33CB0FB4"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125B5993"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4367B94"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Enzalutamide</w:t>
            </w:r>
          </w:p>
        </w:tc>
        <w:tc>
          <w:tcPr>
            <w:tcW w:w="3740" w:type="dxa"/>
            <w:tcBorders>
              <w:top w:val="nil"/>
              <w:left w:val="nil"/>
              <w:bottom w:val="single" w:sz="4" w:space="0" w:color="auto"/>
              <w:right w:val="single" w:sz="4" w:space="0" w:color="auto"/>
            </w:tcBorders>
            <w:shd w:val="clear" w:color="000000" w:fill="FFFFFF"/>
            <w:noWrap/>
            <w:vAlign w:val="center"/>
            <w:hideMark/>
          </w:tcPr>
          <w:p w14:paraId="592F9B08"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446B2873"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58823CF"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lastRenderedPageBreak/>
              <w:t>Epirubicin</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nil"/>
              <w:bottom w:val="single" w:sz="4" w:space="0" w:color="auto"/>
              <w:right w:val="single" w:sz="4" w:space="0" w:color="auto"/>
            </w:tcBorders>
            <w:shd w:val="clear" w:color="000000" w:fill="FFFFFF"/>
            <w:vAlign w:val="center"/>
            <w:hideMark/>
          </w:tcPr>
          <w:p w14:paraId="62D29A02"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E2B696C" w14:textId="77777777" w:rsidTr="00931884">
        <w:trPr>
          <w:trHeight w:val="31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DFBA8EE"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Eribulin</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1A8C948B"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AC25F28"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2780E4F"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Erlotinib </w:t>
            </w:r>
          </w:p>
        </w:tc>
        <w:tc>
          <w:tcPr>
            <w:tcW w:w="3740" w:type="dxa"/>
            <w:tcBorders>
              <w:top w:val="nil"/>
              <w:left w:val="nil"/>
              <w:bottom w:val="single" w:sz="4" w:space="0" w:color="auto"/>
              <w:right w:val="single" w:sz="4" w:space="0" w:color="auto"/>
            </w:tcBorders>
            <w:shd w:val="clear" w:color="000000" w:fill="FFFFFF"/>
            <w:vAlign w:val="center"/>
            <w:hideMark/>
          </w:tcPr>
          <w:p w14:paraId="52C99768"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170BCB2"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DC93B01"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Estramustine</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nil"/>
              <w:bottom w:val="single" w:sz="4" w:space="0" w:color="auto"/>
              <w:right w:val="single" w:sz="4" w:space="0" w:color="auto"/>
            </w:tcBorders>
            <w:shd w:val="clear" w:color="000000" w:fill="FFFFFF"/>
            <w:vAlign w:val="center"/>
            <w:hideMark/>
          </w:tcPr>
          <w:p w14:paraId="1BE9550E"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CE0685F"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D03E4DC"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Etanercept </w:t>
            </w:r>
          </w:p>
        </w:tc>
        <w:tc>
          <w:tcPr>
            <w:tcW w:w="3740" w:type="dxa"/>
            <w:tcBorders>
              <w:top w:val="nil"/>
              <w:left w:val="nil"/>
              <w:bottom w:val="single" w:sz="4" w:space="0" w:color="auto"/>
              <w:right w:val="single" w:sz="4" w:space="0" w:color="auto"/>
            </w:tcBorders>
            <w:shd w:val="clear" w:color="000000" w:fill="FFFFFF"/>
            <w:vAlign w:val="center"/>
            <w:hideMark/>
          </w:tcPr>
          <w:p w14:paraId="596FB0D9"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7089A82"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810E1CC"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Etoposide </w:t>
            </w:r>
          </w:p>
        </w:tc>
        <w:tc>
          <w:tcPr>
            <w:tcW w:w="3740" w:type="dxa"/>
            <w:tcBorders>
              <w:top w:val="nil"/>
              <w:left w:val="nil"/>
              <w:bottom w:val="single" w:sz="4" w:space="0" w:color="auto"/>
              <w:right w:val="single" w:sz="4" w:space="0" w:color="auto"/>
            </w:tcBorders>
            <w:shd w:val="clear" w:color="000000" w:fill="FFFFFF"/>
            <w:vAlign w:val="center"/>
            <w:hideMark/>
          </w:tcPr>
          <w:p w14:paraId="7AB32E6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41655EA"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01C4CC3"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Everolimus</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48B99F05"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8A418A2"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7EAB658"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Exemestane </w:t>
            </w:r>
          </w:p>
        </w:tc>
        <w:tc>
          <w:tcPr>
            <w:tcW w:w="3740" w:type="dxa"/>
            <w:tcBorders>
              <w:top w:val="nil"/>
              <w:left w:val="nil"/>
              <w:bottom w:val="single" w:sz="4" w:space="0" w:color="auto"/>
              <w:right w:val="single" w:sz="4" w:space="0" w:color="auto"/>
            </w:tcBorders>
            <w:shd w:val="clear" w:color="000000" w:fill="FFFFFF"/>
            <w:vAlign w:val="center"/>
            <w:hideMark/>
          </w:tcPr>
          <w:p w14:paraId="42621A9F"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0B4706C1"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A51D4A5"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Filgrastim  </w:t>
            </w:r>
          </w:p>
        </w:tc>
        <w:tc>
          <w:tcPr>
            <w:tcW w:w="3740" w:type="dxa"/>
            <w:tcBorders>
              <w:top w:val="nil"/>
              <w:left w:val="nil"/>
              <w:bottom w:val="single" w:sz="4" w:space="0" w:color="auto"/>
              <w:right w:val="single" w:sz="4" w:space="0" w:color="auto"/>
            </w:tcBorders>
            <w:shd w:val="clear" w:color="000000" w:fill="FFFFFF"/>
            <w:vAlign w:val="center"/>
            <w:hideMark/>
          </w:tcPr>
          <w:p w14:paraId="105796F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09FF6FEC"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EDAD41C"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Floxuridine </w:t>
            </w:r>
          </w:p>
        </w:tc>
        <w:tc>
          <w:tcPr>
            <w:tcW w:w="3740" w:type="dxa"/>
            <w:tcBorders>
              <w:top w:val="nil"/>
              <w:left w:val="nil"/>
              <w:bottom w:val="single" w:sz="4" w:space="0" w:color="auto"/>
              <w:right w:val="single" w:sz="4" w:space="0" w:color="auto"/>
            </w:tcBorders>
            <w:shd w:val="clear" w:color="000000" w:fill="FFFFFF"/>
            <w:vAlign w:val="center"/>
            <w:hideMark/>
          </w:tcPr>
          <w:p w14:paraId="6C08004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B49EAA8"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7757931"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Fludarabine </w:t>
            </w:r>
          </w:p>
        </w:tc>
        <w:tc>
          <w:tcPr>
            <w:tcW w:w="3740" w:type="dxa"/>
            <w:tcBorders>
              <w:top w:val="nil"/>
              <w:left w:val="nil"/>
              <w:bottom w:val="single" w:sz="4" w:space="0" w:color="auto"/>
              <w:right w:val="single" w:sz="4" w:space="0" w:color="auto"/>
            </w:tcBorders>
            <w:shd w:val="clear" w:color="000000" w:fill="FFFFFF"/>
            <w:vAlign w:val="center"/>
            <w:hideMark/>
          </w:tcPr>
          <w:p w14:paraId="60B71913"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D2E90CD"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DBC196F"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Fluorouracil </w:t>
            </w:r>
          </w:p>
        </w:tc>
        <w:tc>
          <w:tcPr>
            <w:tcW w:w="3740" w:type="dxa"/>
            <w:tcBorders>
              <w:top w:val="nil"/>
              <w:left w:val="nil"/>
              <w:bottom w:val="single" w:sz="4" w:space="0" w:color="auto"/>
              <w:right w:val="single" w:sz="4" w:space="0" w:color="auto"/>
            </w:tcBorders>
            <w:shd w:val="clear" w:color="000000" w:fill="FFFFFF"/>
            <w:vAlign w:val="center"/>
            <w:hideMark/>
          </w:tcPr>
          <w:p w14:paraId="0428681B"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1CDB1C7"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E75DCC5"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Flutamide </w:t>
            </w:r>
          </w:p>
        </w:tc>
        <w:tc>
          <w:tcPr>
            <w:tcW w:w="3740" w:type="dxa"/>
            <w:tcBorders>
              <w:top w:val="nil"/>
              <w:left w:val="nil"/>
              <w:bottom w:val="single" w:sz="4" w:space="0" w:color="auto"/>
              <w:right w:val="single" w:sz="4" w:space="0" w:color="auto"/>
            </w:tcBorders>
            <w:shd w:val="clear" w:color="000000" w:fill="FFFFFF"/>
            <w:vAlign w:val="center"/>
            <w:hideMark/>
          </w:tcPr>
          <w:p w14:paraId="2AA3324E"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5781E1FD"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B29F828"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Fulvestrant</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nil"/>
              <w:bottom w:val="single" w:sz="4" w:space="0" w:color="auto"/>
              <w:right w:val="single" w:sz="4" w:space="0" w:color="auto"/>
            </w:tcBorders>
            <w:shd w:val="clear" w:color="000000" w:fill="FFFFFF"/>
            <w:vAlign w:val="center"/>
            <w:hideMark/>
          </w:tcPr>
          <w:p w14:paraId="742200B4"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60172BB2"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CC796A1"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Gefitinib </w:t>
            </w:r>
          </w:p>
        </w:tc>
        <w:tc>
          <w:tcPr>
            <w:tcW w:w="3740" w:type="dxa"/>
            <w:tcBorders>
              <w:top w:val="nil"/>
              <w:left w:val="nil"/>
              <w:bottom w:val="single" w:sz="4" w:space="0" w:color="auto"/>
              <w:right w:val="single" w:sz="4" w:space="0" w:color="auto"/>
            </w:tcBorders>
            <w:shd w:val="clear" w:color="000000" w:fill="FFFFFF"/>
            <w:vAlign w:val="center"/>
            <w:hideMark/>
          </w:tcPr>
          <w:p w14:paraId="7FEA71A8"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A05E154" w14:textId="77777777" w:rsidTr="00931884">
        <w:trPr>
          <w:trHeight w:val="288"/>
        </w:trPr>
        <w:tc>
          <w:tcPr>
            <w:tcW w:w="3100" w:type="dxa"/>
            <w:tcBorders>
              <w:top w:val="nil"/>
              <w:left w:val="single" w:sz="4" w:space="0" w:color="auto"/>
              <w:bottom w:val="nil"/>
              <w:right w:val="single" w:sz="4" w:space="0" w:color="auto"/>
            </w:tcBorders>
            <w:shd w:val="clear" w:color="auto" w:fill="auto"/>
            <w:vAlign w:val="center"/>
            <w:hideMark/>
          </w:tcPr>
          <w:p w14:paraId="73F43AA1"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Gemcitabine </w:t>
            </w:r>
          </w:p>
        </w:tc>
        <w:tc>
          <w:tcPr>
            <w:tcW w:w="3740" w:type="dxa"/>
            <w:tcBorders>
              <w:top w:val="nil"/>
              <w:left w:val="nil"/>
              <w:bottom w:val="single" w:sz="4" w:space="0" w:color="auto"/>
              <w:right w:val="single" w:sz="4" w:space="0" w:color="auto"/>
            </w:tcBorders>
            <w:shd w:val="clear" w:color="000000" w:fill="FFFFFF"/>
            <w:vAlign w:val="center"/>
            <w:hideMark/>
          </w:tcPr>
          <w:p w14:paraId="7B7A3310"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F878716" w14:textId="77777777" w:rsidTr="00931884">
        <w:trPr>
          <w:trHeight w:val="288"/>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2185F"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Gemtuzumab</w:t>
            </w:r>
            <w:proofErr w:type="spellEnd"/>
          </w:p>
        </w:tc>
        <w:tc>
          <w:tcPr>
            <w:tcW w:w="3740" w:type="dxa"/>
            <w:tcBorders>
              <w:top w:val="nil"/>
              <w:left w:val="nil"/>
              <w:bottom w:val="single" w:sz="4" w:space="0" w:color="auto"/>
              <w:right w:val="single" w:sz="4" w:space="0" w:color="auto"/>
            </w:tcBorders>
            <w:shd w:val="clear" w:color="000000" w:fill="FFFFFF"/>
            <w:vAlign w:val="center"/>
            <w:hideMark/>
          </w:tcPr>
          <w:p w14:paraId="5B8DF1F1"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86DF899"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D563D58"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Gold Sodium Thiomalate</w:t>
            </w:r>
          </w:p>
        </w:tc>
        <w:tc>
          <w:tcPr>
            <w:tcW w:w="3740" w:type="dxa"/>
            <w:tcBorders>
              <w:top w:val="nil"/>
              <w:left w:val="nil"/>
              <w:bottom w:val="single" w:sz="4" w:space="0" w:color="auto"/>
              <w:right w:val="single" w:sz="4" w:space="0" w:color="auto"/>
            </w:tcBorders>
            <w:shd w:val="clear" w:color="000000" w:fill="FFFFFF"/>
            <w:vAlign w:val="center"/>
            <w:hideMark/>
          </w:tcPr>
          <w:p w14:paraId="307C379B"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7FC0EA4E"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DE6BD68"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Golimumab</w:t>
            </w:r>
          </w:p>
        </w:tc>
        <w:tc>
          <w:tcPr>
            <w:tcW w:w="3740" w:type="dxa"/>
            <w:tcBorders>
              <w:top w:val="nil"/>
              <w:left w:val="nil"/>
              <w:bottom w:val="single" w:sz="4" w:space="0" w:color="auto"/>
              <w:right w:val="single" w:sz="4" w:space="0" w:color="auto"/>
            </w:tcBorders>
            <w:shd w:val="clear" w:color="000000" w:fill="FFFFFF"/>
            <w:vAlign w:val="center"/>
            <w:hideMark/>
          </w:tcPr>
          <w:p w14:paraId="37FCFE9F"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A3F3434"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6E9BCA8"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Goserelin</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nil"/>
              <w:bottom w:val="single" w:sz="4" w:space="0" w:color="auto"/>
              <w:right w:val="single" w:sz="4" w:space="0" w:color="auto"/>
            </w:tcBorders>
            <w:shd w:val="clear" w:color="000000" w:fill="FFFFFF"/>
            <w:vAlign w:val="center"/>
            <w:hideMark/>
          </w:tcPr>
          <w:p w14:paraId="6FF7387E"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7E5E4185" w14:textId="77777777" w:rsidTr="00931884">
        <w:trPr>
          <w:trHeight w:val="288"/>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5C2A799"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Histrelin</w:t>
            </w:r>
            <w:proofErr w:type="spellEnd"/>
          </w:p>
        </w:tc>
        <w:tc>
          <w:tcPr>
            <w:tcW w:w="3740" w:type="dxa"/>
            <w:tcBorders>
              <w:top w:val="nil"/>
              <w:left w:val="nil"/>
              <w:bottom w:val="single" w:sz="4" w:space="0" w:color="auto"/>
              <w:right w:val="single" w:sz="4" w:space="0" w:color="auto"/>
            </w:tcBorders>
            <w:shd w:val="clear" w:color="000000" w:fill="FFFFFF"/>
            <w:noWrap/>
            <w:vAlign w:val="center"/>
            <w:hideMark/>
          </w:tcPr>
          <w:p w14:paraId="77A48A65"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40BC169A" w14:textId="77777777" w:rsidTr="00931884">
        <w:trPr>
          <w:trHeight w:val="288"/>
        </w:trPr>
        <w:tc>
          <w:tcPr>
            <w:tcW w:w="3100" w:type="dxa"/>
            <w:tcBorders>
              <w:top w:val="nil"/>
              <w:left w:val="single" w:sz="4" w:space="0" w:color="auto"/>
              <w:bottom w:val="nil"/>
              <w:right w:val="single" w:sz="4" w:space="0" w:color="auto"/>
            </w:tcBorders>
            <w:shd w:val="clear" w:color="auto" w:fill="auto"/>
            <w:vAlign w:val="center"/>
            <w:hideMark/>
          </w:tcPr>
          <w:p w14:paraId="01047CD6"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Hydroxychloroquine Sulfate</w:t>
            </w:r>
          </w:p>
        </w:tc>
        <w:tc>
          <w:tcPr>
            <w:tcW w:w="3740" w:type="dxa"/>
            <w:tcBorders>
              <w:top w:val="nil"/>
              <w:left w:val="nil"/>
              <w:bottom w:val="single" w:sz="4" w:space="0" w:color="auto"/>
              <w:right w:val="single" w:sz="4" w:space="0" w:color="auto"/>
            </w:tcBorders>
            <w:shd w:val="clear" w:color="000000" w:fill="FFFFFF"/>
            <w:vAlign w:val="center"/>
            <w:hideMark/>
          </w:tcPr>
          <w:p w14:paraId="2435D86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75FC56FD" w14:textId="77777777" w:rsidTr="00931884">
        <w:trPr>
          <w:trHeight w:val="288"/>
        </w:trPr>
        <w:tc>
          <w:tcPr>
            <w:tcW w:w="3100" w:type="dxa"/>
            <w:tcBorders>
              <w:top w:val="single" w:sz="4" w:space="0" w:color="auto"/>
              <w:left w:val="single" w:sz="4" w:space="0" w:color="auto"/>
              <w:bottom w:val="single" w:sz="4" w:space="0" w:color="auto"/>
              <w:right w:val="nil"/>
            </w:tcBorders>
            <w:shd w:val="clear" w:color="auto" w:fill="auto"/>
            <w:vAlign w:val="center"/>
            <w:hideMark/>
          </w:tcPr>
          <w:p w14:paraId="0ABBEADA"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Hydroxyurea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662D6158"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472C143"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6CA228EF"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Ibrutinib</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240950F0"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29942C3"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16CD20D"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Idarubicin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16C304BB"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4257071"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5CA321F5"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Idelalisib</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795A9C2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99B1D68"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B5764A9"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Ifosfamide</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72BD776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B822962"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7EC42161"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lastRenderedPageBreak/>
              <w:t xml:space="preserve">Imatinib Mesylate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45417715"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E5C7174"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B7A7CC0"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Infliximab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3510BE2C"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A2AC97C"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B795652"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Inosine </w:t>
            </w:r>
            <w:proofErr w:type="spellStart"/>
            <w:r w:rsidRPr="00FF008A">
              <w:rPr>
                <w:rFonts w:ascii="Times New Roman" w:eastAsia="Times New Roman" w:hAnsi="Times New Roman" w:cs="Times New Roman"/>
                <w:color w:val="000000"/>
                <w:sz w:val="24"/>
                <w:szCs w:val="24"/>
              </w:rPr>
              <w:t>Pranobex</w:t>
            </w:r>
            <w:proofErr w:type="spellEnd"/>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18F13FD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0AF71E78"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56808498"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Interferon (All Types)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1B6BA073"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D01E908"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5588808"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Ipilimumab</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70677BB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3AD81ED7"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5D55B1BE"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Irinotecan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3B90BE0F"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030BC6D5"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023EC55"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Isotretinoin</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4D2E44A2"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B4FCC9F"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75D793E5"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Ixabepilone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6A51B313"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6913F69"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F69DF1C"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Ixazomib</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3BA0E580"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DA9B2B9"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2D3A65CE"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Lanreotide</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34604E54"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7E5C1E40"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223A449E"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Lapatinib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306719F8"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6C9E8E88"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2F017151"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Leflunomide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6564F1D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8A3A9CA"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9CEF7E9"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Lenalidomide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34096CE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00FA36C"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69B59C59"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Lenvatinib</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773BE6BC"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5E25CB8A"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02FD3A15"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Letrozole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47A9F4EC"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1B444EAA"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6AFE5AC0"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Leuprolide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3AEC6DFD"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4D2E253B"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268A9BBD"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Lomustine</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2E855C2E"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D5EFA1C"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7E571E13"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Mechlorethamine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6F29B05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01467F59"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2FADCB6E"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Megestrol Acetate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39620AD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655EC7D"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08903760"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Melphalan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1FA920A4"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A05D582"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95E3C62"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Mercaptopurine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4F3F49F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6E8CF7F"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tcPr>
          <w:p w14:paraId="5CDCC653"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Methotrexate (oral)</w:t>
            </w:r>
          </w:p>
        </w:tc>
        <w:tc>
          <w:tcPr>
            <w:tcW w:w="3740" w:type="dxa"/>
            <w:tcBorders>
              <w:top w:val="nil"/>
              <w:left w:val="single" w:sz="4" w:space="0" w:color="auto"/>
              <w:bottom w:val="single" w:sz="4" w:space="0" w:color="auto"/>
              <w:right w:val="single" w:sz="4" w:space="0" w:color="auto"/>
            </w:tcBorders>
            <w:shd w:val="clear" w:color="000000" w:fill="FFFFFF"/>
            <w:vAlign w:val="center"/>
          </w:tcPr>
          <w:p w14:paraId="1CB13FC9"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AA1B570"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3C6D0DEF"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Methotrexate (injection)</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3EBC58A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01F673F"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08BA816D"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Methoxsalen</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7603F01C"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72584A8"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FC8A625"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Mitomycin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6F9A8D24"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093CD78E"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55EEE23"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Mitotane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75E264A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375F566"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7E26178F"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Mitoxantrone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1662B2E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C47FC5A"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3F542DB6"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lastRenderedPageBreak/>
              <w:t xml:space="preserve">Muromonab-CD3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1B6A68ED"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F9798C0"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50A8E1A2"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Mycophenolate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79E4F4FD"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BAB90D9"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55CBEDEB"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Necitumumab</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0B7326FE"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241151EB"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5FE0C5F9"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Nelarabine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4D17C5EF"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9C74224"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7807405"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Nilotinib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25EFC0E1"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460E9CB"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6C414714"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Nilutamide</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1F50A89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4D15AFD3"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4F60662"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Nivolumab</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2D5FBE5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4EB4EEE6"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54070F89"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Obinutuzumab</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2DEBEB7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7883D99"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0E3DD004"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Octreotide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7461D07D"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1C91C7E7"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70B00FE3"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Ofatumumab</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2D5E7A9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08933E1A"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FAEA29D"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Olaparib</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09A135A2"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7AA9BBE" w14:textId="77777777" w:rsidTr="00931884">
        <w:trPr>
          <w:trHeight w:val="288"/>
        </w:trPr>
        <w:tc>
          <w:tcPr>
            <w:tcW w:w="3100" w:type="dxa"/>
            <w:tcBorders>
              <w:top w:val="nil"/>
              <w:left w:val="single" w:sz="4" w:space="0" w:color="auto"/>
              <w:bottom w:val="nil"/>
              <w:right w:val="nil"/>
            </w:tcBorders>
            <w:shd w:val="clear" w:color="auto" w:fill="auto"/>
            <w:vAlign w:val="center"/>
            <w:hideMark/>
          </w:tcPr>
          <w:p w14:paraId="13C23268"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Omacetaxine</w:t>
            </w:r>
          </w:p>
        </w:tc>
        <w:tc>
          <w:tcPr>
            <w:tcW w:w="3740" w:type="dxa"/>
            <w:tcBorders>
              <w:top w:val="nil"/>
              <w:left w:val="single" w:sz="4" w:space="0" w:color="auto"/>
              <w:bottom w:val="nil"/>
              <w:right w:val="single" w:sz="4" w:space="0" w:color="auto"/>
            </w:tcBorders>
            <w:shd w:val="clear" w:color="000000" w:fill="FFFFFF"/>
            <w:noWrap/>
            <w:vAlign w:val="center"/>
            <w:hideMark/>
          </w:tcPr>
          <w:p w14:paraId="1C1473C9"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F0BD92A" w14:textId="77777777" w:rsidTr="00931884">
        <w:trPr>
          <w:trHeight w:val="288"/>
        </w:trPr>
        <w:tc>
          <w:tcPr>
            <w:tcW w:w="3100" w:type="dxa"/>
            <w:tcBorders>
              <w:top w:val="single" w:sz="4" w:space="0" w:color="auto"/>
              <w:left w:val="single" w:sz="4" w:space="0" w:color="auto"/>
              <w:bottom w:val="single" w:sz="4" w:space="0" w:color="auto"/>
              <w:right w:val="nil"/>
            </w:tcBorders>
            <w:shd w:val="clear" w:color="auto" w:fill="auto"/>
            <w:vAlign w:val="center"/>
            <w:hideMark/>
          </w:tcPr>
          <w:p w14:paraId="4725AAEE"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Oprelvekin</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B3D50"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379CBA48"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7496F573"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Osimertinib</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5E532AC5"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A05A5F2"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2A33985"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Oxaliplatin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1AE2633C"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7375E8E"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5BC3B1C"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Paclitaxel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6134874C"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0294E9AB"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62332F4C"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Palbociclib</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60AA5BE9"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7BF100C"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25D4E771"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Panitumumab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73BF94DE"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A653537"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7D75888"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Panobinostat</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3B6C076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61C5744"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57B7524D"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Pazopanib</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2EDD2D3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D518A6E"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384CC610"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Pegaspargase</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74571F1D"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95B8F74"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C387135"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Pegfilgrastim</w:t>
            </w:r>
            <w:proofErr w:type="spellEnd"/>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2C5BD08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CCC6A05"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289B28C3"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Peginterferon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63778F9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BFBF604"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90C3DAC"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Pembrolizumab</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75A6D310"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420C6E6E"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2C19ABD4"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Pemetrexed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6FE1BC94"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97B881B"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71F544C1"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Penicillamine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695B954D"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DECDC52"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3216B8C"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Pentostatin</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04279788"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9B195F7"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02CD4488"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lastRenderedPageBreak/>
              <w:t>Pertuzumab</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17CAC9EF"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7C3200CD"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0CD301CB"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Pomalidomide</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15F8932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210F703"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2555BD2C"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Ponatinib</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65470ED5"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2885ECA"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0FE1350A"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Porfimer</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4DBC795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6B614162"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54A95734"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Pralatrexate</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7F834E5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0CCEA14"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0D164E75"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Procarbazine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2BCC89BD"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CD6EF07"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303CF9FA"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Ramucirumab</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2E4EB733"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02884E89"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7C9CAEAA"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Regorafenib</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21E5A8C5"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47609451"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2397D64"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Rituximab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328C31D5"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DCC9C5F"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5F26BC65"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Romidepsin</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6C1647C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86BD40A"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D97C4C0"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Ruxolitinib</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6263C43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5895755"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BB25DD9"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Sargramostim</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14C71BFC"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95EA88F"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70E827F9"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Siltuximab</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15528255"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27F72283"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5F7539D5"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Sipuleucel</w:t>
            </w:r>
            <w:proofErr w:type="spellEnd"/>
            <w:r w:rsidRPr="00FF008A">
              <w:rPr>
                <w:rFonts w:ascii="Times New Roman" w:eastAsia="Times New Roman" w:hAnsi="Times New Roman" w:cs="Times New Roman"/>
                <w:color w:val="000000"/>
                <w:sz w:val="24"/>
                <w:szCs w:val="24"/>
              </w:rPr>
              <w:t>-T</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2F388FF3"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0BD0976E"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EF3CF22"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Sirolimus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7A5E397E"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151C997"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5C4E05CA"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Sonidegib</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38410461"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20A1AA7F"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29AF8338"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Sorafenib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4D49BB42"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E5E2D8C"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7516839B"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Streptozocin</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7BC3B75C"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9F77E2B"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E0627B5"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Sulfasalazine</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6D2E080B"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039F3919"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6AFE7F3"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Sunitinib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6562352F"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215FD14"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0E5E3293"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Tacrolimus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4EC6F79C"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47E03A4"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609AC733"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Talimogene</w:t>
            </w:r>
            <w:proofErr w:type="spellEnd"/>
            <w:r w:rsidRPr="00FF008A">
              <w:rPr>
                <w:rFonts w:ascii="Times New Roman" w:eastAsia="Times New Roman" w:hAnsi="Times New Roman" w:cs="Times New Roman"/>
                <w:color w:val="000000"/>
                <w:sz w:val="24"/>
                <w:szCs w:val="24"/>
              </w:rPr>
              <w:t xml:space="preserve"> </w:t>
            </w:r>
            <w:proofErr w:type="spellStart"/>
            <w:r w:rsidRPr="00FF008A">
              <w:rPr>
                <w:rFonts w:ascii="Times New Roman" w:eastAsia="Times New Roman" w:hAnsi="Times New Roman" w:cs="Times New Roman"/>
                <w:color w:val="000000"/>
                <w:sz w:val="24"/>
                <w:szCs w:val="24"/>
              </w:rPr>
              <w:t>Laherparepvec</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2CD8CEB0"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77B141A3"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15E6BEA"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Tamoxifen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5E5ED8D5"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7C388986"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662FF762"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Temozolomide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59325D7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0638311"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2000DE15"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Temsirolimus</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5C547D9B"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4C31D5C"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74A80242"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Teniposide</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6C6B8B12"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1A7B6FE" w14:textId="77777777" w:rsidTr="00931884">
        <w:trPr>
          <w:trHeight w:val="288"/>
        </w:trPr>
        <w:tc>
          <w:tcPr>
            <w:tcW w:w="3100" w:type="dxa"/>
            <w:tcBorders>
              <w:top w:val="nil"/>
              <w:left w:val="single" w:sz="4" w:space="0" w:color="auto"/>
              <w:bottom w:val="nil"/>
              <w:right w:val="nil"/>
            </w:tcBorders>
            <w:shd w:val="clear" w:color="auto" w:fill="auto"/>
            <w:vAlign w:val="center"/>
            <w:hideMark/>
          </w:tcPr>
          <w:p w14:paraId="7C4A3AF2"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Testolactone</w:t>
            </w:r>
            <w:proofErr w:type="spellEnd"/>
          </w:p>
        </w:tc>
        <w:tc>
          <w:tcPr>
            <w:tcW w:w="3740" w:type="dxa"/>
            <w:tcBorders>
              <w:top w:val="nil"/>
              <w:left w:val="single" w:sz="4" w:space="0" w:color="auto"/>
              <w:bottom w:val="nil"/>
              <w:right w:val="single" w:sz="4" w:space="0" w:color="auto"/>
            </w:tcBorders>
            <w:shd w:val="clear" w:color="000000" w:fill="FFFFFF"/>
            <w:vAlign w:val="center"/>
            <w:hideMark/>
          </w:tcPr>
          <w:p w14:paraId="46C43EBD"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77504401" w14:textId="77777777" w:rsidTr="00931884">
        <w:trPr>
          <w:trHeight w:val="288"/>
        </w:trPr>
        <w:tc>
          <w:tcPr>
            <w:tcW w:w="3100" w:type="dxa"/>
            <w:tcBorders>
              <w:top w:val="single" w:sz="4" w:space="0" w:color="auto"/>
              <w:left w:val="single" w:sz="4" w:space="0" w:color="auto"/>
              <w:bottom w:val="single" w:sz="4" w:space="0" w:color="auto"/>
              <w:right w:val="nil"/>
            </w:tcBorders>
            <w:shd w:val="clear" w:color="auto" w:fill="auto"/>
            <w:vAlign w:val="center"/>
            <w:hideMark/>
          </w:tcPr>
          <w:p w14:paraId="4A242269"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lastRenderedPageBreak/>
              <w:t xml:space="preserve">Thalidomide </w:t>
            </w:r>
          </w:p>
        </w:tc>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904F6"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8DD0EA0"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5D4DD71E"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Thioguanine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0E428460"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EC09AEA"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386C8FF"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Thiotepa</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24D9B34F"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4232F3D7"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E03EC35"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Tocilizumab</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078987FF"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B8059B9"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37C14D68"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Tofacitinib</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0DC36181"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1A4C573"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25FEC91A"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Topotecan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3A75BB72"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3EFA7C1"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3937C018"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Toremifene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2AD1211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39721978"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0C0371A1"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Trabectedin</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7B2AF125"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257BE4D6"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6947E257"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Trametinib</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05C303F8"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206747DF"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D06B1DF"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Trastuzumab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24E28078"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C78EA10"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353D0C68"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Tretinoin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0211B5D2"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FC90C4C"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5B87188"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Trifluridine</w:t>
            </w:r>
            <w:proofErr w:type="spellEnd"/>
            <w:r w:rsidRPr="00FF008A">
              <w:rPr>
                <w:rFonts w:ascii="Times New Roman" w:eastAsia="Times New Roman" w:hAnsi="Times New Roman" w:cs="Times New Roman"/>
                <w:color w:val="000000"/>
                <w:sz w:val="24"/>
                <w:szCs w:val="24"/>
              </w:rPr>
              <w:t xml:space="preserve"> a+A164nd </w:t>
            </w:r>
            <w:proofErr w:type="spellStart"/>
            <w:r w:rsidRPr="00FF008A">
              <w:rPr>
                <w:rFonts w:ascii="Times New Roman" w:eastAsia="Times New Roman" w:hAnsi="Times New Roman" w:cs="Times New Roman"/>
                <w:color w:val="000000"/>
                <w:sz w:val="24"/>
                <w:szCs w:val="24"/>
              </w:rPr>
              <w:t>Tipiracil</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4FE859C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06D7FA0"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7EE993C0"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Trimetrexate</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61D62C47"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FBBFBB9"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33C6032E"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Triptorelin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4E74BE79"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66422407"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9B4EB42"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Ustekinumab</w:t>
            </w:r>
            <w:proofErr w:type="spellEnd"/>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4CB210F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AB10006"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126D1F40"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Valrubicin</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7F5493A4"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178AB998"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235AD35A"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Vandetanib</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6E6AF01F"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6B1F3D62"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3FFEB816"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Vemurafenib</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29E902D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6EE49A50"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2882D0CA"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Vinblastine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3D909659"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5CFEDC98"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5300E1ED"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Vincristine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63E82C78"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78ADB8FA"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3861ADBA" w14:textId="77777777" w:rsidR="00C94C59" w:rsidRPr="00FF008A" w:rsidRDefault="00C94C59" w:rsidP="00931884">
            <w:pP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 xml:space="preserve">Vinorelbine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165291BD"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309E831A"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3B9E4D4D"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Vismodegib</w:t>
            </w:r>
            <w:proofErr w:type="spellEnd"/>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43084DD3"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r w:rsidR="00C94C59" w:rsidRPr="00FF008A" w14:paraId="0BD782B7"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4C18420E"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Vorinostat</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single" w:sz="4" w:space="0" w:color="auto"/>
              <w:bottom w:val="single" w:sz="4" w:space="0" w:color="auto"/>
              <w:right w:val="single" w:sz="4" w:space="0" w:color="auto"/>
            </w:tcBorders>
            <w:shd w:val="clear" w:color="000000" w:fill="FFFFFF"/>
            <w:vAlign w:val="center"/>
            <w:hideMark/>
          </w:tcPr>
          <w:p w14:paraId="59AAE31C"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1</w:t>
            </w:r>
          </w:p>
        </w:tc>
      </w:tr>
      <w:tr w:rsidR="00C94C59" w:rsidRPr="00FF008A" w14:paraId="0204E1DA" w14:textId="77777777" w:rsidTr="00931884">
        <w:trPr>
          <w:trHeight w:val="288"/>
        </w:trPr>
        <w:tc>
          <w:tcPr>
            <w:tcW w:w="3100" w:type="dxa"/>
            <w:tcBorders>
              <w:top w:val="nil"/>
              <w:left w:val="single" w:sz="4" w:space="0" w:color="auto"/>
              <w:bottom w:val="single" w:sz="4" w:space="0" w:color="auto"/>
              <w:right w:val="nil"/>
            </w:tcBorders>
            <w:shd w:val="clear" w:color="auto" w:fill="auto"/>
            <w:vAlign w:val="center"/>
            <w:hideMark/>
          </w:tcPr>
          <w:p w14:paraId="65BE5C47" w14:textId="77777777" w:rsidR="00C94C59" w:rsidRPr="00FF008A" w:rsidRDefault="00C94C59" w:rsidP="00931884">
            <w:pPr>
              <w:rPr>
                <w:rFonts w:ascii="Times New Roman" w:eastAsia="Times New Roman" w:hAnsi="Times New Roman" w:cs="Times New Roman"/>
                <w:color w:val="000000"/>
                <w:sz w:val="24"/>
                <w:szCs w:val="24"/>
              </w:rPr>
            </w:pPr>
            <w:proofErr w:type="spellStart"/>
            <w:r w:rsidRPr="00FF008A">
              <w:rPr>
                <w:rFonts w:ascii="Times New Roman" w:eastAsia="Times New Roman" w:hAnsi="Times New Roman" w:cs="Times New Roman"/>
                <w:color w:val="000000"/>
                <w:sz w:val="24"/>
                <w:szCs w:val="24"/>
              </w:rPr>
              <w:t>Ziv-Aflibercept</w:t>
            </w:r>
            <w:proofErr w:type="spellEnd"/>
            <w:r w:rsidRPr="00FF008A">
              <w:rPr>
                <w:rFonts w:ascii="Times New Roman" w:eastAsia="Times New Roman" w:hAnsi="Times New Roman" w:cs="Times New Roman"/>
                <w:color w:val="000000"/>
                <w:sz w:val="24"/>
                <w:szCs w:val="24"/>
              </w:rPr>
              <w:t xml:space="preserve"> </w:t>
            </w:r>
          </w:p>
        </w:tc>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52E6F9AA" w14:textId="77777777" w:rsidR="00C94C59" w:rsidRPr="00FF008A" w:rsidRDefault="00C94C59" w:rsidP="00931884">
            <w:pPr>
              <w:jc w:val="center"/>
              <w:rPr>
                <w:rFonts w:ascii="Times New Roman" w:eastAsia="Times New Roman" w:hAnsi="Times New Roman" w:cs="Times New Roman"/>
                <w:color w:val="000000"/>
                <w:sz w:val="24"/>
                <w:szCs w:val="24"/>
              </w:rPr>
            </w:pPr>
            <w:r w:rsidRPr="00FF008A">
              <w:rPr>
                <w:rFonts w:ascii="Times New Roman" w:eastAsia="Times New Roman" w:hAnsi="Times New Roman" w:cs="Times New Roman"/>
                <w:color w:val="000000"/>
                <w:sz w:val="24"/>
                <w:szCs w:val="24"/>
              </w:rPr>
              <w:t>0</w:t>
            </w:r>
          </w:p>
        </w:tc>
      </w:tr>
    </w:tbl>
    <w:p w14:paraId="10591BAD" w14:textId="77777777" w:rsidR="00C94C59" w:rsidRPr="00FF008A" w:rsidRDefault="00C94C59" w:rsidP="00C94C59">
      <w:pPr>
        <w:spacing w:line="360" w:lineRule="auto"/>
        <w:ind w:right="-136"/>
        <w:contextualSpacing/>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t>*This list of medications is identical to the list published in Baxter et al.</w:t>
      </w:r>
    </w:p>
    <w:p w14:paraId="45876729" w14:textId="77777777" w:rsidR="00C94C59" w:rsidRDefault="00C94C59" w:rsidP="00C94C59">
      <w:pPr>
        <w:spacing w:line="360" w:lineRule="auto"/>
        <w:ind w:right="-136"/>
        <w:contextualSpacing/>
        <w:rPr>
          <w:rFonts w:ascii="Times New Roman" w:eastAsia="Times New Roman" w:hAnsi="Times New Roman" w:cs="Times New Roman"/>
          <w:sz w:val="24"/>
          <w:szCs w:val="24"/>
        </w:rPr>
      </w:pPr>
    </w:p>
    <w:p w14:paraId="768D59EC" w14:textId="77777777" w:rsidR="00C94C59" w:rsidRDefault="00C94C59" w:rsidP="00C94C59">
      <w:pPr>
        <w:spacing w:line="360" w:lineRule="auto"/>
        <w:ind w:right="-136"/>
        <w:contextualSpacing/>
        <w:rPr>
          <w:rFonts w:ascii="Times New Roman" w:eastAsia="Times New Roman" w:hAnsi="Times New Roman" w:cs="Times New Roman"/>
          <w:sz w:val="24"/>
          <w:szCs w:val="24"/>
        </w:rPr>
      </w:pPr>
    </w:p>
    <w:p w14:paraId="2243FA1C" w14:textId="77777777" w:rsidR="00C94C59" w:rsidRPr="00FF008A" w:rsidRDefault="00C94C59" w:rsidP="00C94C59">
      <w:pPr>
        <w:spacing w:line="360" w:lineRule="auto"/>
        <w:ind w:right="-136"/>
        <w:contextualSpacing/>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lastRenderedPageBreak/>
        <w:t>References</w:t>
      </w:r>
    </w:p>
    <w:p w14:paraId="24DEBEFE" w14:textId="77777777" w:rsidR="00C94C59" w:rsidRPr="00FF008A" w:rsidRDefault="00C94C59" w:rsidP="00C94C59">
      <w:pPr>
        <w:spacing w:line="360" w:lineRule="auto"/>
        <w:ind w:right="-136"/>
        <w:contextualSpacing/>
        <w:rPr>
          <w:rFonts w:ascii="Times New Roman" w:eastAsia="Times New Roman" w:hAnsi="Times New Roman" w:cs="Times New Roman"/>
          <w:sz w:val="24"/>
          <w:szCs w:val="24"/>
        </w:rPr>
      </w:pPr>
    </w:p>
    <w:p w14:paraId="1051E04E" w14:textId="77777777" w:rsidR="00C94C59" w:rsidRPr="006D6828" w:rsidRDefault="00C94C59" w:rsidP="00C94C59">
      <w:pPr>
        <w:widowControl w:val="0"/>
        <w:autoSpaceDE w:val="0"/>
        <w:autoSpaceDN w:val="0"/>
        <w:adjustRightInd w:val="0"/>
        <w:spacing w:line="480" w:lineRule="auto"/>
        <w:ind w:left="640" w:hanging="640"/>
        <w:rPr>
          <w:rFonts w:ascii="Times New Roman" w:hAnsi="Times New Roman" w:cs="Times New Roman"/>
          <w:noProof/>
          <w:szCs w:val="24"/>
        </w:rPr>
      </w:pPr>
      <w:r>
        <w:rPr>
          <w:rFonts w:ascii="Times New Roman" w:eastAsia="Times New Roman" w:hAnsi="Times New Roman" w:cs="Times New Roman"/>
        </w:rPr>
        <w:fldChar w:fldCharType="begin" w:fldLock="1"/>
      </w:r>
      <w:r>
        <w:rPr>
          <w:rFonts w:ascii="Times New Roman" w:eastAsia="Times New Roman" w:hAnsi="Times New Roman" w:cs="Times New Roman"/>
        </w:rPr>
        <w:instrText xml:space="preserve">ADDIN Mendeley Bibliography CSL_BIBLIOGRAPHY </w:instrText>
      </w:r>
      <w:r>
        <w:rPr>
          <w:rFonts w:ascii="Times New Roman" w:eastAsia="Times New Roman" w:hAnsi="Times New Roman" w:cs="Times New Roman"/>
        </w:rPr>
        <w:fldChar w:fldCharType="separate"/>
      </w:r>
      <w:r w:rsidRPr="006D6828">
        <w:rPr>
          <w:rFonts w:ascii="Times New Roman" w:hAnsi="Times New Roman" w:cs="Times New Roman"/>
          <w:noProof/>
          <w:szCs w:val="24"/>
        </w:rPr>
        <w:t xml:space="preserve">1. </w:t>
      </w:r>
      <w:r w:rsidRPr="006D6828">
        <w:rPr>
          <w:rFonts w:ascii="Times New Roman" w:hAnsi="Times New Roman" w:cs="Times New Roman"/>
          <w:noProof/>
          <w:szCs w:val="24"/>
        </w:rPr>
        <w:tab/>
        <w:t xml:space="preserve">Grohskopf LA, Sokolow LZ, Broder KR, Walter EB, Bresee JS, Fry AM, et al. Prevention and Control of Seasonal Influenza with Vaccines: Recommendations of the Advisory Committee on Immunization Practices — United States, 2017–18 Influenza Season. MMWR Recomm Reports. 2017 Aug;66(2):1–20. </w:t>
      </w:r>
    </w:p>
    <w:p w14:paraId="3016D57F" w14:textId="77777777" w:rsidR="00C94C59" w:rsidRPr="006D6828" w:rsidRDefault="00C94C59" w:rsidP="00C94C59">
      <w:pPr>
        <w:widowControl w:val="0"/>
        <w:autoSpaceDE w:val="0"/>
        <w:autoSpaceDN w:val="0"/>
        <w:adjustRightInd w:val="0"/>
        <w:spacing w:line="480" w:lineRule="auto"/>
        <w:ind w:left="640" w:hanging="640"/>
        <w:rPr>
          <w:rFonts w:ascii="Times New Roman" w:hAnsi="Times New Roman" w:cs="Times New Roman"/>
          <w:noProof/>
          <w:szCs w:val="24"/>
        </w:rPr>
      </w:pPr>
      <w:r w:rsidRPr="006D6828">
        <w:rPr>
          <w:rFonts w:ascii="Times New Roman" w:hAnsi="Times New Roman" w:cs="Times New Roman"/>
          <w:noProof/>
          <w:szCs w:val="24"/>
        </w:rPr>
        <w:t xml:space="preserve">2. </w:t>
      </w:r>
      <w:r w:rsidRPr="006D6828">
        <w:rPr>
          <w:rFonts w:ascii="Times New Roman" w:hAnsi="Times New Roman" w:cs="Times New Roman"/>
          <w:noProof/>
          <w:szCs w:val="24"/>
        </w:rPr>
        <w:tab/>
        <w:t xml:space="preserve">Jackson ML, Phillips CH, Benoit J, Jackson LA, Gaglani M, Murthy K, et al. Burden of medically attended influenza infection and cases averted by vaccination – United States, 2013/14 through 2015/16 influenza seasons. Vaccine. 2017 Dec; </w:t>
      </w:r>
    </w:p>
    <w:p w14:paraId="770935B6" w14:textId="77777777" w:rsidR="00C94C59" w:rsidRPr="006D6828" w:rsidRDefault="00C94C59" w:rsidP="00C94C59">
      <w:pPr>
        <w:widowControl w:val="0"/>
        <w:autoSpaceDE w:val="0"/>
        <w:autoSpaceDN w:val="0"/>
        <w:adjustRightInd w:val="0"/>
        <w:spacing w:line="480" w:lineRule="auto"/>
        <w:ind w:left="640" w:hanging="640"/>
        <w:rPr>
          <w:rFonts w:ascii="Times New Roman" w:hAnsi="Times New Roman" w:cs="Times New Roman"/>
          <w:noProof/>
          <w:szCs w:val="24"/>
        </w:rPr>
      </w:pPr>
      <w:r w:rsidRPr="006D6828">
        <w:rPr>
          <w:rFonts w:ascii="Times New Roman" w:hAnsi="Times New Roman" w:cs="Times New Roman"/>
          <w:noProof/>
          <w:szCs w:val="24"/>
        </w:rPr>
        <w:t xml:space="preserve">3. </w:t>
      </w:r>
      <w:r w:rsidRPr="006D6828">
        <w:rPr>
          <w:rFonts w:ascii="Times New Roman" w:hAnsi="Times New Roman" w:cs="Times New Roman"/>
          <w:noProof/>
          <w:szCs w:val="24"/>
        </w:rPr>
        <w:tab/>
        <w:t xml:space="preserve">Wonca. ICPC-2 – EnglishInternational Classification ofPrimary Care – 2nd EditionWonca InternationalClassification Committee(WICC). </w:t>
      </w:r>
    </w:p>
    <w:p w14:paraId="375E7962" w14:textId="77777777" w:rsidR="00C94C59" w:rsidRPr="006D6828" w:rsidRDefault="00C94C59" w:rsidP="00C94C59">
      <w:pPr>
        <w:widowControl w:val="0"/>
        <w:autoSpaceDE w:val="0"/>
        <w:autoSpaceDN w:val="0"/>
        <w:adjustRightInd w:val="0"/>
        <w:spacing w:line="480" w:lineRule="auto"/>
        <w:ind w:left="640" w:hanging="640"/>
        <w:rPr>
          <w:rFonts w:ascii="Times New Roman" w:hAnsi="Times New Roman" w:cs="Times New Roman"/>
          <w:noProof/>
          <w:szCs w:val="24"/>
        </w:rPr>
      </w:pPr>
      <w:r w:rsidRPr="006D6828">
        <w:rPr>
          <w:rFonts w:ascii="Times New Roman" w:hAnsi="Times New Roman" w:cs="Times New Roman"/>
          <w:noProof/>
          <w:szCs w:val="24"/>
        </w:rPr>
        <w:t xml:space="preserve">4. </w:t>
      </w:r>
      <w:r w:rsidRPr="006D6828">
        <w:rPr>
          <w:rFonts w:ascii="Times New Roman" w:hAnsi="Times New Roman" w:cs="Times New Roman"/>
          <w:noProof/>
          <w:szCs w:val="24"/>
        </w:rPr>
        <w:tab/>
        <w:t xml:space="preserve">Karpati T, Cohen-Stavi CJ, Leibowitz M, Hoshen M, Feldman BS, Balicer RD. Towards a subsiding diabetes epidemic: trends from a large population-based study in Israel. Popul Health Metr. 2014;12(1):32. </w:t>
      </w:r>
    </w:p>
    <w:p w14:paraId="3E637E97" w14:textId="77777777" w:rsidR="00C94C59" w:rsidRPr="006D6828" w:rsidRDefault="00C94C59" w:rsidP="00C94C59">
      <w:pPr>
        <w:widowControl w:val="0"/>
        <w:autoSpaceDE w:val="0"/>
        <w:autoSpaceDN w:val="0"/>
        <w:adjustRightInd w:val="0"/>
        <w:spacing w:line="480" w:lineRule="auto"/>
        <w:ind w:left="640" w:hanging="640"/>
        <w:rPr>
          <w:rFonts w:ascii="Times New Roman" w:hAnsi="Times New Roman" w:cs="Times New Roman"/>
          <w:noProof/>
          <w:szCs w:val="24"/>
        </w:rPr>
      </w:pPr>
      <w:r w:rsidRPr="006D6828">
        <w:rPr>
          <w:rFonts w:ascii="Times New Roman" w:hAnsi="Times New Roman" w:cs="Times New Roman"/>
          <w:noProof/>
          <w:szCs w:val="24"/>
        </w:rPr>
        <w:t xml:space="preserve">5. </w:t>
      </w:r>
      <w:r w:rsidRPr="006D6828">
        <w:rPr>
          <w:rFonts w:ascii="Times New Roman" w:hAnsi="Times New Roman" w:cs="Times New Roman"/>
          <w:noProof/>
          <w:szCs w:val="24"/>
        </w:rPr>
        <w:tab/>
        <w:t xml:space="preserve">Levey AS, Coresh J, Balk E, Kausz AT, Levin A, Steffes MW, et al. National Kidney Foundation practice guidelines for chronic kidney disease: evaluation, classification, and stratification. Ann Intern Med. 2003 Jul;139(2):137–47. </w:t>
      </w:r>
    </w:p>
    <w:p w14:paraId="09FC4678" w14:textId="77777777" w:rsidR="00C94C59" w:rsidRPr="006D6828" w:rsidRDefault="00C94C59" w:rsidP="00C94C59">
      <w:pPr>
        <w:widowControl w:val="0"/>
        <w:autoSpaceDE w:val="0"/>
        <w:autoSpaceDN w:val="0"/>
        <w:adjustRightInd w:val="0"/>
        <w:spacing w:line="480" w:lineRule="auto"/>
        <w:ind w:left="640" w:hanging="640"/>
        <w:rPr>
          <w:rFonts w:ascii="Times New Roman" w:hAnsi="Times New Roman" w:cs="Times New Roman"/>
          <w:noProof/>
          <w:szCs w:val="24"/>
        </w:rPr>
      </w:pPr>
      <w:r w:rsidRPr="006D6828">
        <w:rPr>
          <w:rFonts w:ascii="Times New Roman" w:hAnsi="Times New Roman" w:cs="Times New Roman"/>
          <w:noProof/>
          <w:szCs w:val="24"/>
        </w:rPr>
        <w:t xml:space="preserve">6. </w:t>
      </w:r>
      <w:r w:rsidRPr="006D6828">
        <w:rPr>
          <w:rFonts w:ascii="Times New Roman" w:hAnsi="Times New Roman" w:cs="Times New Roman"/>
          <w:noProof/>
          <w:szCs w:val="24"/>
        </w:rPr>
        <w:tab/>
        <w:t xml:space="preserve">Baxter R, Bartlett J, Fireman B, Marks M, Hansen J, Lewis E, et al. Long-Term Effectiveness of the Live Zoster Vaccine in Preventing Shingles: A Cohort Study. Am J Epidemiol. 2017 Jun;1–9. </w:t>
      </w:r>
    </w:p>
    <w:p w14:paraId="2E281461" w14:textId="77777777" w:rsidR="00C94C59" w:rsidRPr="006D6828" w:rsidRDefault="00C94C59" w:rsidP="00C94C59">
      <w:pPr>
        <w:widowControl w:val="0"/>
        <w:autoSpaceDE w:val="0"/>
        <w:autoSpaceDN w:val="0"/>
        <w:adjustRightInd w:val="0"/>
        <w:spacing w:line="480" w:lineRule="auto"/>
        <w:ind w:left="640" w:hanging="640"/>
        <w:rPr>
          <w:rFonts w:ascii="Times New Roman" w:hAnsi="Times New Roman" w:cs="Times New Roman"/>
          <w:noProof/>
        </w:rPr>
      </w:pPr>
      <w:r w:rsidRPr="006D6828">
        <w:rPr>
          <w:rFonts w:ascii="Times New Roman" w:hAnsi="Times New Roman" w:cs="Times New Roman"/>
          <w:noProof/>
          <w:szCs w:val="24"/>
        </w:rPr>
        <w:t xml:space="preserve">7. </w:t>
      </w:r>
      <w:r w:rsidRPr="006D6828">
        <w:rPr>
          <w:rFonts w:ascii="Times New Roman" w:hAnsi="Times New Roman" w:cs="Times New Roman"/>
          <w:noProof/>
          <w:szCs w:val="24"/>
        </w:rPr>
        <w:tab/>
        <w:t xml:space="preserve">Waljee AK, Rogers MAM, Lin P, Singal AG, Stein JD, Marks RM, et al. Short term use of oral corticosteroids and related harms among adults in the United States: population based cohort study. BMJ. 2017;357:j1415. </w:t>
      </w:r>
    </w:p>
    <w:p w14:paraId="52A29C36" w14:textId="65E9D108" w:rsidR="00C94C59" w:rsidRDefault="00C94C59" w:rsidP="00C94C59">
      <w:pPr>
        <w:widowControl w:val="0"/>
        <w:autoSpaceDE w:val="0"/>
        <w:autoSpaceDN w:val="0"/>
        <w:adjustRightInd w:val="0"/>
        <w:spacing w:line="480" w:lineRule="auto"/>
        <w:ind w:left="640" w:hanging="640"/>
        <w:rPr>
          <w:rFonts w:ascii="Times New Roman" w:eastAsia="Times New Roman" w:hAnsi="Times New Roman" w:cs="Times New Roman"/>
        </w:rPr>
      </w:pPr>
      <w:r>
        <w:rPr>
          <w:rFonts w:ascii="Times New Roman" w:eastAsia="Times New Roman" w:hAnsi="Times New Roman" w:cs="Times New Roman"/>
        </w:rPr>
        <w:fldChar w:fldCharType="end"/>
      </w:r>
    </w:p>
    <w:p w14:paraId="29DCF7CA" w14:textId="77777777" w:rsidR="00410943" w:rsidRPr="00410943" w:rsidRDefault="00410943" w:rsidP="00410943">
      <w:pPr>
        <w:rPr>
          <w:rFonts w:asciiTheme="majorBidi" w:hAnsiTheme="majorBidi" w:cstheme="majorBidi"/>
          <w:b/>
          <w:bCs/>
        </w:rPr>
      </w:pPr>
      <w:r w:rsidRPr="00410943">
        <w:rPr>
          <w:rFonts w:asciiTheme="majorBidi" w:hAnsiTheme="majorBidi" w:cstheme="majorBidi"/>
          <w:b/>
          <w:bCs/>
          <w:sz w:val="24"/>
          <w:szCs w:val="24"/>
        </w:rPr>
        <w:lastRenderedPageBreak/>
        <w:t>Annex 3 –  ICD-9 codes and ICPC Codes Used to Define Acute Respiratory and Febrile Illness</w:t>
      </w:r>
    </w:p>
    <w:p w14:paraId="1D1ACF6F" w14:textId="77777777" w:rsidR="00410943" w:rsidRDefault="00410943" w:rsidP="00410943"/>
    <w:tbl>
      <w:tblPr>
        <w:tblW w:w="8500" w:type="dxa"/>
        <w:tblInd w:w="103" w:type="dxa"/>
        <w:tblLook w:val="04A0" w:firstRow="1" w:lastRow="0" w:firstColumn="1" w:lastColumn="0" w:noHBand="0" w:noVBand="1"/>
      </w:tblPr>
      <w:tblGrid>
        <w:gridCol w:w="5260"/>
        <w:gridCol w:w="1800"/>
        <w:gridCol w:w="1440"/>
      </w:tblGrid>
      <w:tr w:rsidR="00410943" w:rsidRPr="00B661C8" w14:paraId="32344119" w14:textId="77777777" w:rsidTr="004D3803">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4A101" w14:textId="77777777" w:rsidR="00410943" w:rsidRPr="00B661C8" w:rsidRDefault="00410943" w:rsidP="004D3803">
            <w:pPr>
              <w:rPr>
                <w:rFonts w:ascii="Times New Roman" w:eastAsia="Times New Roman" w:hAnsi="Times New Roman" w:cs="Times New Roman"/>
                <w:b/>
                <w:bCs/>
                <w:color w:val="000000"/>
              </w:rPr>
            </w:pPr>
            <w:r w:rsidRPr="00B661C8">
              <w:rPr>
                <w:rFonts w:ascii="Times New Roman" w:eastAsia="Times New Roman" w:hAnsi="Times New Roman" w:cs="Times New Roman"/>
                <w:b/>
                <w:bCs/>
                <w:color w:val="000000"/>
              </w:rPr>
              <w:t>Description</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8F1685F" w14:textId="77777777" w:rsidR="00410943" w:rsidRPr="00B661C8" w:rsidRDefault="00410943" w:rsidP="004D3803">
            <w:pPr>
              <w:rPr>
                <w:rFonts w:ascii="Times New Roman" w:eastAsia="Times New Roman" w:hAnsi="Times New Roman" w:cs="Times New Roman"/>
                <w:b/>
                <w:bCs/>
                <w:color w:val="000000"/>
              </w:rPr>
            </w:pPr>
            <w:r w:rsidRPr="00B661C8">
              <w:rPr>
                <w:rFonts w:ascii="Times New Roman" w:eastAsia="Times New Roman" w:hAnsi="Times New Roman" w:cs="Times New Roman"/>
                <w:b/>
                <w:bCs/>
                <w:color w:val="000000"/>
              </w:rPr>
              <w:t>ICD-9 Code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03DE985" w14:textId="77777777" w:rsidR="00410943" w:rsidRPr="00B661C8" w:rsidRDefault="00410943" w:rsidP="004D3803">
            <w:pPr>
              <w:rPr>
                <w:rFonts w:ascii="Times New Roman" w:eastAsia="Times New Roman" w:hAnsi="Times New Roman" w:cs="Times New Roman"/>
                <w:b/>
                <w:bCs/>
                <w:color w:val="000000"/>
              </w:rPr>
            </w:pPr>
            <w:r w:rsidRPr="00B661C8">
              <w:rPr>
                <w:rFonts w:ascii="Times New Roman" w:eastAsia="Times New Roman" w:hAnsi="Times New Roman" w:cs="Times New Roman"/>
                <w:b/>
                <w:bCs/>
                <w:color w:val="000000"/>
              </w:rPr>
              <w:t>ICPC Code</w:t>
            </w:r>
          </w:p>
        </w:tc>
      </w:tr>
      <w:tr w:rsidR="00410943" w:rsidRPr="00B661C8" w14:paraId="749DD762"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19B23540"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Respiratory syncytial virus (RSV)</w:t>
            </w:r>
          </w:p>
        </w:tc>
        <w:tc>
          <w:tcPr>
            <w:tcW w:w="1800" w:type="dxa"/>
            <w:tcBorders>
              <w:top w:val="nil"/>
              <w:left w:val="nil"/>
              <w:bottom w:val="nil"/>
              <w:right w:val="single" w:sz="4" w:space="0" w:color="auto"/>
            </w:tcBorders>
            <w:shd w:val="clear" w:color="auto" w:fill="auto"/>
            <w:noWrap/>
            <w:vAlign w:val="bottom"/>
            <w:hideMark/>
          </w:tcPr>
          <w:p w14:paraId="64B19191"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79.6</w:t>
            </w:r>
          </w:p>
        </w:tc>
        <w:tc>
          <w:tcPr>
            <w:tcW w:w="1440" w:type="dxa"/>
            <w:tcBorders>
              <w:top w:val="nil"/>
              <w:left w:val="nil"/>
              <w:bottom w:val="nil"/>
              <w:right w:val="single" w:sz="4" w:space="0" w:color="auto"/>
            </w:tcBorders>
            <w:shd w:val="clear" w:color="auto" w:fill="auto"/>
            <w:noWrap/>
            <w:vAlign w:val="bottom"/>
            <w:hideMark/>
          </w:tcPr>
          <w:p w14:paraId="0B2A6629"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6F322D3C"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665CB60C"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Viral infection, unspecified</w:t>
            </w:r>
          </w:p>
        </w:tc>
        <w:tc>
          <w:tcPr>
            <w:tcW w:w="1800" w:type="dxa"/>
            <w:tcBorders>
              <w:top w:val="nil"/>
              <w:left w:val="nil"/>
              <w:bottom w:val="nil"/>
              <w:right w:val="single" w:sz="4" w:space="0" w:color="auto"/>
            </w:tcBorders>
            <w:shd w:val="clear" w:color="auto" w:fill="auto"/>
            <w:noWrap/>
            <w:vAlign w:val="bottom"/>
            <w:hideMark/>
          </w:tcPr>
          <w:p w14:paraId="0DC0D67C"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79.99</w:t>
            </w:r>
          </w:p>
        </w:tc>
        <w:tc>
          <w:tcPr>
            <w:tcW w:w="1440" w:type="dxa"/>
            <w:tcBorders>
              <w:top w:val="nil"/>
              <w:left w:val="nil"/>
              <w:bottom w:val="nil"/>
              <w:right w:val="single" w:sz="4" w:space="0" w:color="auto"/>
            </w:tcBorders>
            <w:shd w:val="clear" w:color="auto" w:fill="auto"/>
            <w:noWrap/>
            <w:vAlign w:val="bottom"/>
            <w:hideMark/>
          </w:tcPr>
          <w:p w14:paraId="39F10AA5"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0558A6CA"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72FE5A12"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Acute nasopharyngitis (common cold)</w:t>
            </w:r>
          </w:p>
        </w:tc>
        <w:tc>
          <w:tcPr>
            <w:tcW w:w="1800" w:type="dxa"/>
            <w:tcBorders>
              <w:top w:val="nil"/>
              <w:left w:val="nil"/>
              <w:bottom w:val="nil"/>
              <w:right w:val="single" w:sz="4" w:space="0" w:color="auto"/>
            </w:tcBorders>
            <w:shd w:val="clear" w:color="auto" w:fill="auto"/>
            <w:noWrap/>
            <w:vAlign w:val="bottom"/>
            <w:hideMark/>
          </w:tcPr>
          <w:p w14:paraId="22D2475F"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460</w:t>
            </w:r>
          </w:p>
        </w:tc>
        <w:tc>
          <w:tcPr>
            <w:tcW w:w="1440" w:type="dxa"/>
            <w:tcBorders>
              <w:top w:val="nil"/>
              <w:left w:val="nil"/>
              <w:bottom w:val="nil"/>
              <w:right w:val="single" w:sz="4" w:space="0" w:color="auto"/>
            </w:tcBorders>
            <w:shd w:val="clear" w:color="auto" w:fill="auto"/>
            <w:noWrap/>
            <w:vAlign w:val="bottom"/>
            <w:hideMark/>
          </w:tcPr>
          <w:p w14:paraId="7808D176"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1A27E591"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35033DDE"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Acute sinusitis</w:t>
            </w:r>
          </w:p>
        </w:tc>
        <w:tc>
          <w:tcPr>
            <w:tcW w:w="1800" w:type="dxa"/>
            <w:tcBorders>
              <w:top w:val="nil"/>
              <w:left w:val="nil"/>
              <w:bottom w:val="nil"/>
              <w:right w:val="single" w:sz="4" w:space="0" w:color="auto"/>
            </w:tcBorders>
            <w:shd w:val="clear" w:color="auto" w:fill="auto"/>
            <w:noWrap/>
            <w:vAlign w:val="bottom"/>
            <w:hideMark/>
          </w:tcPr>
          <w:p w14:paraId="5869471D"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461</w:t>
            </w:r>
          </w:p>
        </w:tc>
        <w:tc>
          <w:tcPr>
            <w:tcW w:w="1440" w:type="dxa"/>
            <w:tcBorders>
              <w:top w:val="nil"/>
              <w:left w:val="nil"/>
              <w:bottom w:val="nil"/>
              <w:right w:val="single" w:sz="4" w:space="0" w:color="auto"/>
            </w:tcBorders>
            <w:shd w:val="clear" w:color="auto" w:fill="auto"/>
            <w:noWrap/>
            <w:vAlign w:val="bottom"/>
            <w:hideMark/>
          </w:tcPr>
          <w:p w14:paraId="59D9F8BA"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R75</w:t>
            </w:r>
          </w:p>
        </w:tc>
      </w:tr>
      <w:tr w:rsidR="00410943" w:rsidRPr="00B661C8" w14:paraId="30B9D2C2"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079EB808"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Acute pharyngitis</w:t>
            </w:r>
          </w:p>
        </w:tc>
        <w:tc>
          <w:tcPr>
            <w:tcW w:w="1800" w:type="dxa"/>
            <w:tcBorders>
              <w:top w:val="nil"/>
              <w:left w:val="nil"/>
              <w:bottom w:val="nil"/>
              <w:right w:val="single" w:sz="4" w:space="0" w:color="auto"/>
            </w:tcBorders>
            <w:shd w:val="clear" w:color="auto" w:fill="auto"/>
            <w:noWrap/>
            <w:vAlign w:val="bottom"/>
            <w:hideMark/>
          </w:tcPr>
          <w:p w14:paraId="6F06C1E7"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462</w:t>
            </w:r>
          </w:p>
        </w:tc>
        <w:tc>
          <w:tcPr>
            <w:tcW w:w="1440" w:type="dxa"/>
            <w:tcBorders>
              <w:top w:val="nil"/>
              <w:left w:val="nil"/>
              <w:bottom w:val="nil"/>
              <w:right w:val="single" w:sz="4" w:space="0" w:color="auto"/>
            </w:tcBorders>
            <w:shd w:val="clear" w:color="auto" w:fill="auto"/>
            <w:noWrap/>
            <w:vAlign w:val="bottom"/>
            <w:hideMark/>
          </w:tcPr>
          <w:p w14:paraId="7149A131"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21D1AEA6"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63D71CFD"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Acute tonsillitis</w:t>
            </w:r>
          </w:p>
        </w:tc>
        <w:tc>
          <w:tcPr>
            <w:tcW w:w="1800" w:type="dxa"/>
            <w:tcBorders>
              <w:top w:val="nil"/>
              <w:left w:val="nil"/>
              <w:bottom w:val="nil"/>
              <w:right w:val="single" w:sz="4" w:space="0" w:color="auto"/>
            </w:tcBorders>
            <w:shd w:val="clear" w:color="auto" w:fill="auto"/>
            <w:noWrap/>
            <w:vAlign w:val="bottom"/>
            <w:hideMark/>
          </w:tcPr>
          <w:p w14:paraId="4E7FFECF"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463</w:t>
            </w:r>
          </w:p>
        </w:tc>
        <w:tc>
          <w:tcPr>
            <w:tcW w:w="1440" w:type="dxa"/>
            <w:tcBorders>
              <w:top w:val="nil"/>
              <w:left w:val="nil"/>
              <w:bottom w:val="nil"/>
              <w:right w:val="single" w:sz="4" w:space="0" w:color="auto"/>
            </w:tcBorders>
            <w:shd w:val="clear" w:color="auto" w:fill="auto"/>
            <w:noWrap/>
            <w:vAlign w:val="bottom"/>
            <w:hideMark/>
          </w:tcPr>
          <w:p w14:paraId="1F5F306E"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R22</w:t>
            </w:r>
          </w:p>
        </w:tc>
      </w:tr>
      <w:tr w:rsidR="00410943" w:rsidRPr="00B661C8" w14:paraId="7B28510A"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0425E31C"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Acute laryngitis and tracheitis</w:t>
            </w:r>
          </w:p>
        </w:tc>
        <w:tc>
          <w:tcPr>
            <w:tcW w:w="1800" w:type="dxa"/>
            <w:tcBorders>
              <w:top w:val="nil"/>
              <w:left w:val="nil"/>
              <w:bottom w:val="nil"/>
              <w:right w:val="single" w:sz="4" w:space="0" w:color="auto"/>
            </w:tcBorders>
            <w:shd w:val="clear" w:color="auto" w:fill="auto"/>
            <w:noWrap/>
            <w:vAlign w:val="bottom"/>
            <w:hideMark/>
          </w:tcPr>
          <w:p w14:paraId="3C86639E"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464</w:t>
            </w:r>
          </w:p>
        </w:tc>
        <w:tc>
          <w:tcPr>
            <w:tcW w:w="1440" w:type="dxa"/>
            <w:tcBorders>
              <w:top w:val="nil"/>
              <w:left w:val="nil"/>
              <w:bottom w:val="nil"/>
              <w:right w:val="single" w:sz="4" w:space="0" w:color="auto"/>
            </w:tcBorders>
            <w:shd w:val="clear" w:color="auto" w:fill="auto"/>
            <w:noWrap/>
            <w:vAlign w:val="bottom"/>
            <w:hideMark/>
          </w:tcPr>
          <w:p w14:paraId="0AA871F4"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R77</w:t>
            </w:r>
          </w:p>
        </w:tc>
      </w:tr>
      <w:tr w:rsidR="00410943" w:rsidRPr="00B661C8" w14:paraId="4F472CB6" w14:textId="77777777" w:rsidTr="004D3803">
        <w:trPr>
          <w:trHeight w:val="600"/>
        </w:trPr>
        <w:tc>
          <w:tcPr>
            <w:tcW w:w="5260" w:type="dxa"/>
            <w:tcBorders>
              <w:top w:val="nil"/>
              <w:left w:val="single" w:sz="4" w:space="0" w:color="auto"/>
              <w:bottom w:val="nil"/>
              <w:right w:val="single" w:sz="4" w:space="0" w:color="auto"/>
            </w:tcBorders>
            <w:shd w:val="clear" w:color="auto" w:fill="auto"/>
            <w:vAlign w:val="bottom"/>
            <w:hideMark/>
          </w:tcPr>
          <w:p w14:paraId="54B9DDB3"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Acute upper respiratory infections of multiple or unspecified sites</w:t>
            </w:r>
          </w:p>
        </w:tc>
        <w:tc>
          <w:tcPr>
            <w:tcW w:w="1800" w:type="dxa"/>
            <w:tcBorders>
              <w:top w:val="nil"/>
              <w:left w:val="nil"/>
              <w:bottom w:val="nil"/>
              <w:right w:val="single" w:sz="4" w:space="0" w:color="auto"/>
            </w:tcBorders>
            <w:shd w:val="clear" w:color="auto" w:fill="auto"/>
            <w:noWrap/>
            <w:vAlign w:val="bottom"/>
            <w:hideMark/>
          </w:tcPr>
          <w:p w14:paraId="797AF99C"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465</w:t>
            </w:r>
          </w:p>
        </w:tc>
        <w:tc>
          <w:tcPr>
            <w:tcW w:w="1440" w:type="dxa"/>
            <w:tcBorders>
              <w:top w:val="nil"/>
              <w:left w:val="nil"/>
              <w:bottom w:val="nil"/>
              <w:right w:val="single" w:sz="4" w:space="0" w:color="auto"/>
            </w:tcBorders>
            <w:shd w:val="clear" w:color="auto" w:fill="auto"/>
            <w:noWrap/>
            <w:vAlign w:val="bottom"/>
            <w:hideMark/>
          </w:tcPr>
          <w:p w14:paraId="7DC6D0DA"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224F0298"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788B2325"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Acute bronchitis and bronchiolitis</w:t>
            </w:r>
          </w:p>
        </w:tc>
        <w:tc>
          <w:tcPr>
            <w:tcW w:w="1800" w:type="dxa"/>
            <w:tcBorders>
              <w:top w:val="nil"/>
              <w:left w:val="nil"/>
              <w:bottom w:val="nil"/>
              <w:right w:val="single" w:sz="4" w:space="0" w:color="auto"/>
            </w:tcBorders>
            <w:shd w:val="clear" w:color="auto" w:fill="auto"/>
            <w:noWrap/>
            <w:vAlign w:val="bottom"/>
            <w:hideMark/>
          </w:tcPr>
          <w:p w14:paraId="0CD04B44"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466</w:t>
            </w:r>
          </w:p>
        </w:tc>
        <w:tc>
          <w:tcPr>
            <w:tcW w:w="1440" w:type="dxa"/>
            <w:tcBorders>
              <w:top w:val="nil"/>
              <w:left w:val="nil"/>
              <w:bottom w:val="nil"/>
              <w:right w:val="single" w:sz="4" w:space="0" w:color="auto"/>
            </w:tcBorders>
            <w:shd w:val="clear" w:color="auto" w:fill="auto"/>
            <w:noWrap/>
            <w:vAlign w:val="bottom"/>
            <w:hideMark/>
          </w:tcPr>
          <w:p w14:paraId="2DE416E4"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R78</w:t>
            </w:r>
          </w:p>
        </w:tc>
      </w:tr>
      <w:tr w:rsidR="00410943" w:rsidRPr="00B661C8" w14:paraId="192771F0"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4C234BEC"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Viral pneumonia</w:t>
            </w:r>
          </w:p>
        </w:tc>
        <w:tc>
          <w:tcPr>
            <w:tcW w:w="1800" w:type="dxa"/>
            <w:tcBorders>
              <w:top w:val="nil"/>
              <w:left w:val="nil"/>
              <w:bottom w:val="nil"/>
              <w:right w:val="single" w:sz="4" w:space="0" w:color="auto"/>
            </w:tcBorders>
            <w:shd w:val="clear" w:color="auto" w:fill="auto"/>
            <w:noWrap/>
            <w:vAlign w:val="bottom"/>
            <w:hideMark/>
          </w:tcPr>
          <w:p w14:paraId="01247A40"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480</w:t>
            </w:r>
          </w:p>
        </w:tc>
        <w:tc>
          <w:tcPr>
            <w:tcW w:w="1440" w:type="dxa"/>
            <w:tcBorders>
              <w:top w:val="nil"/>
              <w:left w:val="nil"/>
              <w:bottom w:val="nil"/>
              <w:right w:val="single" w:sz="4" w:space="0" w:color="auto"/>
            </w:tcBorders>
            <w:shd w:val="clear" w:color="auto" w:fill="auto"/>
            <w:noWrap/>
            <w:vAlign w:val="bottom"/>
            <w:hideMark/>
          </w:tcPr>
          <w:p w14:paraId="6F7290BC"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31FA1366"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194AC9F3"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Pneumococcal pneumonia</w:t>
            </w:r>
          </w:p>
        </w:tc>
        <w:tc>
          <w:tcPr>
            <w:tcW w:w="1800" w:type="dxa"/>
            <w:tcBorders>
              <w:top w:val="nil"/>
              <w:left w:val="nil"/>
              <w:bottom w:val="nil"/>
              <w:right w:val="single" w:sz="4" w:space="0" w:color="auto"/>
            </w:tcBorders>
            <w:shd w:val="clear" w:color="auto" w:fill="auto"/>
            <w:noWrap/>
            <w:vAlign w:val="bottom"/>
            <w:hideMark/>
          </w:tcPr>
          <w:p w14:paraId="653226DF"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481</w:t>
            </w:r>
          </w:p>
        </w:tc>
        <w:tc>
          <w:tcPr>
            <w:tcW w:w="1440" w:type="dxa"/>
            <w:tcBorders>
              <w:top w:val="nil"/>
              <w:left w:val="nil"/>
              <w:bottom w:val="nil"/>
              <w:right w:val="single" w:sz="4" w:space="0" w:color="auto"/>
            </w:tcBorders>
            <w:shd w:val="clear" w:color="auto" w:fill="auto"/>
            <w:noWrap/>
            <w:vAlign w:val="bottom"/>
            <w:hideMark/>
          </w:tcPr>
          <w:p w14:paraId="500A30AC"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15AF8597"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61C6EC85"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Other bacterial pneumonia</w:t>
            </w:r>
          </w:p>
        </w:tc>
        <w:tc>
          <w:tcPr>
            <w:tcW w:w="1800" w:type="dxa"/>
            <w:tcBorders>
              <w:top w:val="nil"/>
              <w:left w:val="nil"/>
              <w:bottom w:val="nil"/>
              <w:right w:val="single" w:sz="4" w:space="0" w:color="auto"/>
            </w:tcBorders>
            <w:shd w:val="clear" w:color="auto" w:fill="auto"/>
            <w:noWrap/>
            <w:vAlign w:val="bottom"/>
            <w:hideMark/>
          </w:tcPr>
          <w:p w14:paraId="276C9A90"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482</w:t>
            </w:r>
          </w:p>
        </w:tc>
        <w:tc>
          <w:tcPr>
            <w:tcW w:w="1440" w:type="dxa"/>
            <w:tcBorders>
              <w:top w:val="nil"/>
              <w:left w:val="nil"/>
              <w:bottom w:val="nil"/>
              <w:right w:val="single" w:sz="4" w:space="0" w:color="auto"/>
            </w:tcBorders>
            <w:shd w:val="clear" w:color="auto" w:fill="auto"/>
            <w:noWrap/>
            <w:vAlign w:val="bottom"/>
            <w:hideMark/>
          </w:tcPr>
          <w:p w14:paraId="0C723D8A"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7AD0DE55"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09A4BD03"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Pneumonia due to other specified organism</w:t>
            </w:r>
          </w:p>
        </w:tc>
        <w:tc>
          <w:tcPr>
            <w:tcW w:w="1800" w:type="dxa"/>
            <w:tcBorders>
              <w:top w:val="nil"/>
              <w:left w:val="nil"/>
              <w:bottom w:val="nil"/>
              <w:right w:val="single" w:sz="4" w:space="0" w:color="auto"/>
            </w:tcBorders>
            <w:shd w:val="clear" w:color="auto" w:fill="auto"/>
            <w:noWrap/>
            <w:vAlign w:val="bottom"/>
            <w:hideMark/>
          </w:tcPr>
          <w:p w14:paraId="0FF3D6B0"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483</w:t>
            </w:r>
          </w:p>
        </w:tc>
        <w:tc>
          <w:tcPr>
            <w:tcW w:w="1440" w:type="dxa"/>
            <w:tcBorders>
              <w:top w:val="nil"/>
              <w:left w:val="nil"/>
              <w:bottom w:val="nil"/>
              <w:right w:val="single" w:sz="4" w:space="0" w:color="auto"/>
            </w:tcBorders>
            <w:shd w:val="clear" w:color="auto" w:fill="auto"/>
            <w:noWrap/>
            <w:vAlign w:val="bottom"/>
            <w:hideMark/>
          </w:tcPr>
          <w:p w14:paraId="187FD310"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5096D5F8" w14:textId="77777777" w:rsidTr="004D3803">
        <w:trPr>
          <w:trHeight w:val="600"/>
        </w:trPr>
        <w:tc>
          <w:tcPr>
            <w:tcW w:w="5260" w:type="dxa"/>
            <w:tcBorders>
              <w:top w:val="nil"/>
              <w:left w:val="single" w:sz="4" w:space="0" w:color="auto"/>
              <w:bottom w:val="nil"/>
              <w:right w:val="single" w:sz="4" w:space="0" w:color="auto"/>
            </w:tcBorders>
            <w:shd w:val="clear" w:color="auto" w:fill="auto"/>
            <w:vAlign w:val="bottom"/>
            <w:hideMark/>
          </w:tcPr>
          <w:p w14:paraId="39EE54B2"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Pneumonia in infectious diseases classified elsewhere</w:t>
            </w:r>
          </w:p>
        </w:tc>
        <w:tc>
          <w:tcPr>
            <w:tcW w:w="1800" w:type="dxa"/>
            <w:tcBorders>
              <w:top w:val="nil"/>
              <w:left w:val="nil"/>
              <w:bottom w:val="nil"/>
              <w:right w:val="single" w:sz="4" w:space="0" w:color="auto"/>
            </w:tcBorders>
            <w:shd w:val="clear" w:color="auto" w:fill="auto"/>
            <w:noWrap/>
            <w:vAlign w:val="bottom"/>
            <w:hideMark/>
          </w:tcPr>
          <w:p w14:paraId="07340736"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484</w:t>
            </w:r>
          </w:p>
        </w:tc>
        <w:tc>
          <w:tcPr>
            <w:tcW w:w="1440" w:type="dxa"/>
            <w:tcBorders>
              <w:top w:val="nil"/>
              <w:left w:val="nil"/>
              <w:bottom w:val="nil"/>
              <w:right w:val="single" w:sz="4" w:space="0" w:color="auto"/>
            </w:tcBorders>
            <w:shd w:val="clear" w:color="auto" w:fill="auto"/>
            <w:noWrap/>
            <w:vAlign w:val="bottom"/>
            <w:hideMark/>
          </w:tcPr>
          <w:p w14:paraId="72054E39"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45312853"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459B6F46"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Bronchopneumonia, organism unspecified</w:t>
            </w:r>
          </w:p>
        </w:tc>
        <w:tc>
          <w:tcPr>
            <w:tcW w:w="1800" w:type="dxa"/>
            <w:tcBorders>
              <w:top w:val="nil"/>
              <w:left w:val="nil"/>
              <w:bottom w:val="nil"/>
              <w:right w:val="single" w:sz="4" w:space="0" w:color="auto"/>
            </w:tcBorders>
            <w:shd w:val="clear" w:color="auto" w:fill="auto"/>
            <w:noWrap/>
            <w:vAlign w:val="bottom"/>
            <w:hideMark/>
          </w:tcPr>
          <w:p w14:paraId="7708A4A5"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485</w:t>
            </w:r>
          </w:p>
        </w:tc>
        <w:tc>
          <w:tcPr>
            <w:tcW w:w="1440" w:type="dxa"/>
            <w:tcBorders>
              <w:top w:val="nil"/>
              <w:left w:val="nil"/>
              <w:bottom w:val="nil"/>
              <w:right w:val="single" w:sz="4" w:space="0" w:color="auto"/>
            </w:tcBorders>
            <w:shd w:val="clear" w:color="auto" w:fill="auto"/>
            <w:noWrap/>
            <w:vAlign w:val="bottom"/>
            <w:hideMark/>
          </w:tcPr>
          <w:p w14:paraId="21A15471"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3F6944C5"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09E4D79D"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Pneumonia, organism unspecified</w:t>
            </w:r>
          </w:p>
        </w:tc>
        <w:tc>
          <w:tcPr>
            <w:tcW w:w="1800" w:type="dxa"/>
            <w:tcBorders>
              <w:top w:val="nil"/>
              <w:left w:val="nil"/>
              <w:bottom w:val="nil"/>
              <w:right w:val="single" w:sz="4" w:space="0" w:color="auto"/>
            </w:tcBorders>
            <w:shd w:val="clear" w:color="auto" w:fill="auto"/>
            <w:noWrap/>
            <w:vAlign w:val="bottom"/>
            <w:hideMark/>
          </w:tcPr>
          <w:p w14:paraId="2B30653F"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486</w:t>
            </w:r>
          </w:p>
        </w:tc>
        <w:tc>
          <w:tcPr>
            <w:tcW w:w="1440" w:type="dxa"/>
            <w:tcBorders>
              <w:top w:val="nil"/>
              <w:left w:val="nil"/>
              <w:bottom w:val="nil"/>
              <w:right w:val="single" w:sz="4" w:space="0" w:color="auto"/>
            </w:tcBorders>
            <w:shd w:val="clear" w:color="auto" w:fill="auto"/>
            <w:noWrap/>
            <w:vAlign w:val="bottom"/>
            <w:hideMark/>
          </w:tcPr>
          <w:p w14:paraId="7AA8F91A"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R81</w:t>
            </w:r>
          </w:p>
        </w:tc>
      </w:tr>
      <w:tr w:rsidR="00410943" w:rsidRPr="00B661C8" w14:paraId="7466C2C0"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448009D1"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Influenza</w:t>
            </w:r>
          </w:p>
        </w:tc>
        <w:tc>
          <w:tcPr>
            <w:tcW w:w="1800" w:type="dxa"/>
            <w:tcBorders>
              <w:top w:val="nil"/>
              <w:left w:val="nil"/>
              <w:bottom w:val="nil"/>
              <w:right w:val="single" w:sz="4" w:space="0" w:color="auto"/>
            </w:tcBorders>
            <w:shd w:val="clear" w:color="auto" w:fill="auto"/>
            <w:noWrap/>
            <w:vAlign w:val="bottom"/>
            <w:hideMark/>
          </w:tcPr>
          <w:p w14:paraId="7F055F01"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487</w:t>
            </w:r>
          </w:p>
        </w:tc>
        <w:tc>
          <w:tcPr>
            <w:tcW w:w="1440" w:type="dxa"/>
            <w:tcBorders>
              <w:top w:val="nil"/>
              <w:left w:val="nil"/>
              <w:bottom w:val="nil"/>
              <w:right w:val="single" w:sz="4" w:space="0" w:color="auto"/>
            </w:tcBorders>
            <w:shd w:val="clear" w:color="auto" w:fill="auto"/>
            <w:noWrap/>
            <w:vAlign w:val="bottom"/>
            <w:hideMark/>
          </w:tcPr>
          <w:p w14:paraId="0C1A9F87"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R80</w:t>
            </w:r>
          </w:p>
        </w:tc>
      </w:tr>
      <w:tr w:rsidR="00410943" w:rsidRPr="00B661C8" w14:paraId="59393E26"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254A2F3F"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Influenza due to identified novel influenza A virus</w:t>
            </w:r>
          </w:p>
        </w:tc>
        <w:tc>
          <w:tcPr>
            <w:tcW w:w="1800" w:type="dxa"/>
            <w:tcBorders>
              <w:top w:val="nil"/>
              <w:left w:val="nil"/>
              <w:bottom w:val="nil"/>
              <w:right w:val="single" w:sz="4" w:space="0" w:color="auto"/>
            </w:tcBorders>
            <w:shd w:val="clear" w:color="auto" w:fill="auto"/>
            <w:noWrap/>
            <w:vAlign w:val="bottom"/>
            <w:hideMark/>
          </w:tcPr>
          <w:p w14:paraId="2A034227"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488</w:t>
            </w:r>
          </w:p>
        </w:tc>
        <w:tc>
          <w:tcPr>
            <w:tcW w:w="1440" w:type="dxa"/>
            <w:tcBorders>
              <w:top w:val="nil"/>
              <w:left w:val="nil"/>
              <w:bottom w:val="nil"/>
              <w:right w:val="single" w:sz="4" w:space="0" w:color="auto"/>
            </w:tcBorders>
            <w:shd w:val="clear" w:color="auto" w:fill="auto"/>
            <w:noWrap/>
            <w:vAlign w:val="bottom"/>
            <w:hideMark/>
          </w:tcPr>
          <w:p w14:paraId="5A0DA9D5"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7E1C1691"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0412159E"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Bronchitis, not specified as acute or chronic</w:t>
            </w:r>
          </w:p>
        </w:tc>
        <w:tc>
          <w:tcPr>
            <w:tcW w:w="1800" w:type="dxa"/>
            <w:tcBorders>
              <w:top w:val="nil"/>
              <w:left w:val="nil"/>
              <w:bottom w:val="nil"/>
              <w:right w:val="single" w:sz="4" w:space="0" w:color="auto"/>
            </w:tcBorders>
            <w:shd w:val="clear" w:color="auto" w:fill="auto"/>
            <w:noWrap/>
            <w:vAlign w:val="bottom"/>
            <w:hideMark/>
          </w:tcPr>
          <w:p w14:paraId="44D411C2"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490</w:t>
            </w:r>
          </w:p>
        </w:tc>
        <w:tc>
          <w:tcPr>
            <w:tcW w:w="1440" w:type="dxa"/>
            <w:tcBorders>
              <w:top w:val="nil"/>
              <w:left w:val="nil"/>
              <w:bottom w:val="nil"/>
              <w:right w:val="single" w:sz="4" w:space="0" w:color="auto"/>
            </w:tcBorders>
            <w:shd w:val="clear" w:color="auto" w:fill="auto"/>
            <w:noWrap/>
            <w:vAlign w:val="bottom"/>
            <w:hideMark/>
          </w:tcPr>
          <w:p w14:paraId="16BA24A2"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0C9C57DE"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169AAFF7"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Pulmonary collapse</w:t>
            </w:r>
          </w:p>
        </w:tc>
        <w:tc>
          <w:tcPr>
            <w:tcW w:w="1800" w:type="dxa"/>
            <w:tcBorders>
              <w:top w:val="nil"/>
              <w:left w:val="nil"/>
              <w:bottom w:val="nil"/>
              <w:right w:val="single" w:sz="4" w:space="0" w:color="auto"/>
            </w:tcBorders>
            <w:shd w:val="clear" w:color="auto" w:fill="auto"/>
            <w:noWrap/>
            <w:vAlign w:val="bottom"/>
            <w:hideMark/>
          </w:tcPr>
          <w:p w14:paraId="475D50CD"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518</w:t>
            </w:r>
          </w:p>
        </w:tc>
        <w:tc>
          <w:tcPr>
            <w:tcW w:w="1440" w:type="dxa"/>
            <w:tcBorders>
              <w:top w:val="nil"/>
              <w:left w:val="nil"/>
              <w:bottom w:val="nil"/>
              <w:right w:val="single" w:sz="4" w:space="0" w:color="auto"/>
            </w:tcBorders>
            <w:shd w:val="clear" w:color="auto" w:fill="auto"/>
            <w:noWrap/>
            <w:vAlign w:val="bottom"/>
            <w:hideMark/>
          </w:tcPr>
          <w:p w14:paraId="61F1998B"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08E56504"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64E3A87A"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Pulmonary edema</w:t>
            </w:r>
          </w:p>
        </w:tc>
        <w:tc>
          <w:tcPr>
            <w:tcW w:w="1800" w:type="dxa"/>
            <w:tcBorders>
              <w:top w:val="nil"/>
              <w:left w:val="nil"/>
              <w:bottom w:val="nil"/>
              <w:right w:val="single" w:sz="4" w:space="0" w:color="auto"/>
            </w:tcBorders>
            <w:shd w:val="clear" w:color="auto" w:fill="auto"/>
            <w:noWrap/>
            <w:vAlign w:val="bottom"/>
            <w:hideMark/>
          </w:tcPr>
          <w:p w14:paraId="0CC33F71"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518.4</w:t>
            </w:r>
          </w:p>
        </w:tc>
        <w:tc>
          <w:tcPr>
            <w:tcW w:w="1440" w:type="dxa"/>
            <w:tcBorders>
              <w:top w:val="nil"/>
              <w:left w:val="nil"/>
              <w:bottom w:val="nil"/>
              <w:right w:val="single" w:sz="4" w:space="0" w:color="auto"/>
            </w:tcBorders>
            <w:shd w:val="clear" w:color="auto" w:fill="auto"/>
            <w:noWrap/>
            <w:vAlign w:val="bottom"/>
            <w:hideMark/>
          </w:tcPr>
          <w:p w14:paraId="396593D7"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1B75A21E"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63610FFC"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Acute respiratory failure</w:t>
            </w:r>
          </w:p>
        </w:tc>
        <w:tc>
          <w:tcPr>
            <w:tcW w:w="1800" w:type="dxa"/>
            <w:tcBorders>
              <w:top w:val="nil"/>
              <w:left w:val="nil"/>
              <w:bottom w:val="nil"/>
              <w:right w:val="single" w:sz="4" w:space="0" w:color="auto"/>
            </w:tcBorders>
            <w:shd w:val="clear" w:color="auto" w:fill="auto"/>
            <w:noWrap/>
            <w:vAlign w:val="bottom"/>
            <w:hideMark/>
          </w:tcPr>
          <w:p w14:paraId="1DAF25F8"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518.81</w:t>
            </w:r>
          </w:p>
        </w:tc>
        <w:tc>
          <w:tcPr>
            <w:tcW w:w="1440" w:type="dxa"/>
            <w:tcBorders>
              <w:top w:val="nil"/>
              <w:left w:val="nil"/>
              <w:bottom w:val="nil"/>
              <w:right w:val="single" w:sz="4" w:space="0" w:color="auto"/>
            </w:tcBorders>
            <w:shd w:val="clear" w:color="auto" w:fill="auto"/>
            <w:noWrap/>
            <w:vAlign w:val="bottom"/>
            <w:hideMark/>
          </w:tcPr>
          <w:p w14:paraId="63505264"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2E033E66"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0AD91FEF"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Unspecified disease of respiratory system</w:t>
            </w:r>
          </w:p>
        </w:tc>
        <w:tc>
          <w:tcPr>
            <w:tcW w:w="1800" w:type="dxa"/>
            <w:tcBorders>
              <w:top w:val="nil"/>
              <w:left w:val="nil"/>
              <w:bottom w:val="nil"/>
              <w:right w:val="single" w:sz="4" w:space="0" w:color="auto"/>
            </w:tcBorders>
            <w:shd w:val="clear" w:color="auto" w:fill="auto"/>
            <w:noWrap/>
            <w:vAlign w:val="bottom"/>
            <w:hideMark/>
          </w:tcPr>
          <w:p w14:paraId="46AACECB"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519</w:t>
            </w:r>
          </w:p>
        </w:tc>
        <w:tc>
          <w:tcPr>
            <w:tcW w:w="1440" w:type="dxa"/>
            <w:tcBorders>
              <w:top w:val="nil"/>
              <w:left w:val="nil"/>
              <w:bottom w:val="nil"/>
              <w:right w:val="single" w:sz="4" w:space="0" w:color="auto"/>
            </w:tcBorders>
            <w:shd w:val="clear" w:color="auto" w:fill="auto"/>
            <w:noWrap/>
            <w:vAlign w:val="bottom"/>
            <w:hideMark/>
          </w:tcPr>
          <w:p w14:paraId="21CC19B7"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4F8B1E36"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4D7D9C61"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Fever, unspecified + Cough</w:t>
            </w:r>
          </w:p>
        </w:tc>
        <w:tc>
          <w:tcPr>
            <w:tcW w:w="1800" w:type="dxa"/>
            <w:tcBorders>
              <w:top w:val="nil"/>
              <w:left w:val="nil"/>
              <w:bottom w:val="nil"/>
              <w:right w:val="single" w:sz="4" w:space="0" w:color="auto"/>
            </w:tcBorders>
            <w:shd w:val="clear" w:color="auto" w:fill="auto"/>
            <w:noWrap/>
            <w:vAlign w:val="bottom"/>
            <w:hideMark/>
          </w:tcPr>
          <w:p w14:paraId="66E52075"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780.60 + 786.2</w:t>
            </w:r>
          </w:p>
        </w:tc>
        <w:tc>
          <w:tcPr>
            <w:tcW w:w="1440" w:type="dxa"/>
            <w:tcBorders>
              <w:top w:val="nil"/>
              <w:left w:val="nil"/>
              <w:bottom w:val="nil"/>
              <w:right w:val="single" w:sz="4" w:space="0" w:color="auto"/>
            </w:tcBorders>
            <w:shd w:val="clear" w:color="auto" w:fill="auto"/>
            <w:noWrap/>
            <w:vAlign w:val="bottom"/>
            <w:hideMark/>
          </w:tcPr>
          <w:p w14:paraId="7F1B25EE"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27F0353D"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2712D61C"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Chills (without fever)</w:t>
            </w:r>
          </w:p>
        </w:tc>
        <w:tc>
          <w:tcPr>
            <w:tcW w:w="1800" w:type="dxa"/>
            <w:tcBorders>
              <w:top w:val="nil"/>
              <w:left w:val="nil"/>
              <w:bottom w:val="nil"/>
              <w:right w:val="single" w:sz="4" w:space="0" w:color="auto"/>
            </w:tcBorders>
            <w:shd w:val="clear" w:color="auto" w:fill="auto"/>
            <w:noWrap/>
            <w:vAlign w:val="bottom"/>
            <w:hideMark/>
          </w:tcPr>
          <w:p w14:paraId="18ACB782"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780.64</w:t>
            </w:r>
          </w:p>
        </w:tc>
        <w:tc>
          <w:tcPr>
            <w:tcW w:w="1440" w:type="dxa"/>
            <w:tcBorders>
              <w:top w:val="nil"/>
              <w:left w:val="nil"/>
              <w:bottom w:val="nil"/>
              <w:right w:val="single" w:sz="4" w:space="0" w:color="auto"/>
            </w:tcBorders>
            <w:shd w:val="clear" w:color="auto" w:fill="auto"/>
            <w:noWrap/>
            <w:vAlign w:val="bottom"/>
            <w:hideMark/>
          </w:tcPr>
          <w:p w14:paraId="3508A6B5"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0F5ECC77"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45372393"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lastRenderedPageBreak/>
              <w:t>Other malaise and fatigue</w:t>
            </w:r>
          </w:p>
        </w:tc>
        <w:tc>
          <w:tcPr>
            <w:tcW w:w="1800" w:type="dxa"/>
            <w:tcBorders>
              <w:top w:val="nil"/>
              <w:left w:val="nil"/>
              <w:bottom w:val="nil"/>
              <w:right w:val="single" w:sz="4" w:space="0" w:color="auto"/>
            </w:tcBorders>
            <w:shd w:val="clear" w:color="auto" w:fill="auto"/>
            <w:noWrap/>
            <w:vAlign w:val="bottom"/>
            <w:hideMark/>
          </w:tcPr>
          <w:p w14:paraId="6F5CA401"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780.79</w:t>
            </w:r>
          </w:p>
        </w:tc>
        <w:tc>
          <w:tcPr>
            <w:tcW w:w="1440" w:type="dxa"/>
            <w:tcBorders>
              <w:top w:val="nil"/>
              <w:left w:val="nil"/>
              <w:bottom w:val="nil"/>
              <w:right w:val="single" w:sz="4" w:space="0" w:color="auto"/>
            </w:tcBorders>
            <w:shd w:val="clear" w:color="auto" w:fill="auto"/>
            <w:noWrap/>
            <w:vAlign w:val="bottom"/>
            <w:hideMark/>
          </w:tcPr>
          <w:p w14:paraId="500C9FE4"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4A20F5EB"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42D6B484"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Respiratory abnormality, unspecified</w:t>
            </w:r>
          </w:p>
        </w:tc>
        <w:tc>
          <w:tcPr>
            <w:tcW w:w="1800" w:type="dxa"/>
            <w:tcBorders>
              <w:top w:val="nil"/>
              <w:left w:val="nil"/>
              <w:bottom w:val="nil"/>
              <w:right w:val="single" w:sz="4" w:space="0" w:color="auto"/>
            </w:tcBorders>
            <w:shd w:val="clear" w:color="auto" w:fill="auto"/>
            <w:noWrap/>
            <w:vAlign w:val="bottom"/>
            <w:hideMark/>
          </w:tcPr>
          <w:p w14:paraId="41D80A23"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786</w:t>
            </w:r>
          </w:p>
        </w:tc>
        <w:tc>
          <w:tcPr>
            <w:tcW w:w="1440" w:type="dxa"/>
            <w:tcBorders>
              <w:top w:val="nil"/>
              <w:left w:val="nil"/>
              <w:bottom w:val="nil"/>
              <w:right w:val="single" w:sz="4" w:space="0" w:color="auto"/>
            </w:tcBorders>
            <w:shd w:val="clear" w:color="auto" w:fill="auto"/>
            <w:noWrap/>
            <w:vAlign w:val="bottom"/>
            <w:hideMark/>
          </w:tcPr>
          <w:p w14:paraId="1809C6EB"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47CDF1F9"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6D871C53"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Shortness of breath</w:t>
            </w:r>
          </w:p>
        </w:tc>
        <w:tc>
          <w:tcPr>
            <w:tcW w:w="1800" w:type="dxa"/>
            <w:tcBorders>
              <w:top w:val="nil"/>
              <w:left w:val="nil"/>
              <w:bottom w:val="nil"/>
              <w:right w:val="single" w:sz="4" w:space="0" w:color="auto"/>
            </w:tcBorders>
            <w:shd w:val="clear" w:color="auto" w:fill="auto"/>
            <w:noWrap/>
            <w:vAlign w:val="bottom"/>
            <w:hideMark/>
          </w:tcPr>
          <w:p w14:paraId="735681D4"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786.05</w:t>
            </w:r>
          </w:p>
        </w:tc>
        <w:tc>
          <w:tcPr>
            <w:tcW w:w="1440" w:type="dxa"/>
            <w:tcBorders>
              <w:top w:val="nil"/>
              <w:left w:val="nil"/>
              <w:bottom w:val="nil"/>
              <w:right w:val="single" w:sz="4" w:space="0" w:color="auto"/>
            </w:tcBorders>
            <w:shd w:val="clear" w:color="auto" w:fill="auto"/>
            <w:noWrap/>
            <w:vAlign w:val="bottom"/>
            <w:hideMark/>
          </w:tcPr>
          <w:p w14:paraId="58BF8E96"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29EEA0BB"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42C8C35C"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Tachypnea</w:t>
            </w:r>
          </w:p>
        </w:tc>
        <w:tc>
          <w:tcPr>
            <w:tcW w:w="1800" w:type="dxa"/>
            <w:tcBorders>
              <w:top w:val="nil"/>
              <w:left w:val="nil"/>
              <w:bottom w:val="nil"/>
              <w:right w:val="single" w:sz="4" w:space="0" w:color="auto"/>
            </w:tcBorders>
            <w:shd w:val="clear" w:color="auto" w:fill="auto"/>
            <w:noWrap/>
            <w:vAlign w:val="bottom"/>
            <w:hideMark/>
          </w:tcPr>
          <w:p w14:paraId="2AFB7B76"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786.06</w:t>
            </w:r>
          </w:p>
        </w:tc>
        <w:tc>
          <w:tcPr>
            <w:tcW w:w="1440" w:type="dxa"/>
            <w:tcBorders>
              <w:top w:val="nil"/>
              <w:left w:val="nil"/>
              <w:bottom w:val="nil"/>
              <w:right w:val="single" w:sz="4" w:space="0" w:color="auto"/>
            </w:tcBorders>
            <w:shd w:val="clear" w:color="auto" w:fill="auto"/>
            <w:noWrap/>
            <w:vAlign w:val="bottom"/>
            <w:hideMark/>
          </w:tcPr>
          <w:p w14:paraId="0CBC2BF2"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4BD36B43"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4298FA27"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Wheezing</w:t>
            </w:r>
          </w:p>
        </w:tc>
        <w:tc>
          <w:tcPr>
            <w:tcW w:w="1800" w:type="dxa"/>
            <w:tcBorders>
              <w:top w:val="nil"/>
              <w:left w:val="nil"/>
              <w:bottom w:val="nil"/>
              <w:right w:val="single" w:sz="4" w:space="0" w:color="auto"/>
            </w:tcBorders>
            <w:shd w:val="clear" w:color="auto" w:fill="auto"/>
            <w:noWrap/>
            <w:vAlign w:val="bottom"/>
            <w:hideMark/>
          </w:tcPr>
          <w:p w14:paraId="01C18A4E"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786.07</w:t>
            </w:r>
          </w:p>
        </w:tc>
        <w:tc>
          <w:tcPr>
            <w:tcW w:w="1440" w:type="dxa"/>
            <w:tcBorders>
              <w:top w:val="nil"/>
              <w:left w:val="nil"/>
              <w:bottom w:val="nil"/>
              <w:right w:val="single" w:sz="4" w:space="0" w:color="auto"/>
            </w:tcBorders>
            <w:shd w:val="clear" w:color="auto" w:fill="auto"/>
            <w:noWrap/>
            <w:vAlign w:val="bottom"/>
            <w:hideMark/>
          </w:tcPr>
          <w:p w14:paraId="78E38788"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1757C7AB"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08C6C7AE"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Respiratory abnormality, other</w:t>
            </w:r>
          </w:p>
        </w:tc>
        <w:tc>
          <w:tcPr>
            <w:tcW w:w="1800" w:type="dxa"/>
            <w:tcBorders>
              <w:top w:val="nil"/>
              <w:left w:val="nil"/>
              <w:bottom w:val="nil"/>
              <w:right w:val="single" w:sz="4" w:space="0" w:color="auto"/>
            </w:tcBorders>
            <w:shd w:val="clear" w:color="auto" w:fill="auto"/>
            <w:noWrap/>
            <w:vAlign w:val="bottom"/>
            <w:hideMark/>
          </w:tcPr>
          <w:p w14:paraId="4CE7059F"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786.09</w:t>
            </w:r>
          </w:p>
        </w:tc>
        <w:tc>
          <w:tcPr>
            <w:tcW w:w="1440" w:type="dxa"/>
            <w:tcBorders>
              <w:top w:val="nil"/>
              <w:left w:val="nil"/>
              <w:bottom w:val="nil"/>
              <w:right w:val="single" w:sz="4" w:space="0" w:color="auto"/>
            </w:tcBorders>
            <w:shd w:val="clear" w:color="auto" w:fill="auto"/>
            <w:noWrap/>
            <w:vAlign w:val="bottom"/>
            <w:hideMark/>
          </w:tcPr>
          <w:p w14:paraId="55CF936E"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7525E990"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1D93A365"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Stridor</w:t>
            </w:r>
          </w:p>
        </w:tc>
        <w:tc>
          <w:tcPr>
            <w:tcW w:w="1800" w:type="dxa"/>
            <w:tcBorders>
              <w:top w:val="nil"/>
              <w:left w:val="nil"/>
              <w:bottom w:val="nil"/>
              <w:right w:val="single" w:sz="4" w:space="0" w:color="auto"/>
            </w:tcBorders>
            <w:shd w:val="clear" w:color="auto" w:fill="auto"/>
            <w:noWrap/>
            <w:vAlign w:val="bottom"/>
            <w:hideMark/>
          </w:tcPr>
          <w:p w14:paraId="43F01CFA"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786.1</w:t>
            </w:r>
          </w:p>
        </w:tc>
        <w:tc>
          <w:tcPr>
            <w:tcW w:w="1440" w:type="dxa"/>
            <w:tcBorders>
              <w:top w:val="nil"/>
              <w:left w:val="nil"/>
              <w:bottom w:val="nil"/>
              <w:right w:val="single" w:sz="4" w:space="0" w:color="auto"/>
            </w:tcBorders>
            <w:shd w:val="clear" w:color="auto" w:fill="auto"/>
            <w:noWrap/>
            <w:vAlign w:val="bottom"/>
            <w:hideMark/>
          </w:tcPr>
          <w:p w14:paraId="6D948101"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54AF0BED"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4A7E3039"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 xml:space="preserve">Abnormal sputum </w:t>
            </w:r>
          </w:p>
        </w:tc>
        <w:tc>
          <w:tcPr>
            <w:tcW w:w="1800" w:type="dxa"/>
            <w:tcBorders>
              <w:top w:val="nil"/>
              <w:left w:val="nil"/>
              <w:bottom w:val="nil"/>
              <w:right w:val="single" w:sz="4" w:space="0" w:color="auto"/>
            </w:tcBorders>
            <w:shd w:val="clear" w:color="auto" w:fill="auto"/>
            <w:noWrap/>
            <w:vAlign w:val="bottom"/>
            <w:hideMark/>
          </w:tcPr>
          <w:p w14:paraId="660CDEBC"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786.4</w:t>
            </w:r>
          </w:p>
        </w:tc>
        <w:tc>
          <w:tcPr>
            <w:tcW w:w="1440" w:type="dxa"/>
            <w:tcBorders>
              <w:top w:val="nil"/>
              <w:left w:val="nil"/>
              <w:bottom w:val="nil"/>
              <w:right w:val="single" w:sz="4" w:space="0" w:color="auto"/>
            </w:tcBorders>
            <w:shd w:val="clear" w:color="auto" w:fill="auto"/>
            <w:noWrap/>
            <w:vAlign w:val="bottom"/>
            <w:hideMark/>
          </w:tcPr>
          <w:p w14:paraId="16C9BEF2"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6F879EEC"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5A695DE9"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Painful respiration</w:t>
            </w:r>
          </w:p>
        </w:tc>
        <w:tc>
          <w:tcPr>
            <w:tcW w:w="1800" w:type="dxa"/>
            <w:tcBorders>
              <w:top w:val="nil"/>
              <w:left w:val="nil"/>
              <w:bottom w:val="nil"/>
              <w:right w:val="single" w:sz="4" w:space="0" w:color="auto"/>
            </w:tcBorders>
            <w:shd w:val="clear" w:color="auto" w:fill="auto"/>
            <w:noWrap/>
            <w:vAlign w:val="bottom"/>
            <w:hideMark/>
          </w:tcPr>
          <w:p w14:paraId="1744932E"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786.52</w:t>
            </w:r>
          </w:p>
        </w:tc>
        <w:tc>
          <w:tcPr>
            <w:tcW w:w="1440" w:type="dxa"/>
            <w:tcBorders>
              <w:top w:val="nil"/>
              <w:left w:val="nil"/>
              <w:bottom w:val="nil"/>
              <w:right w:val="single" w:sz="4" w:space="0" w:color="auto"/>
            </w:tcBorders>
            <w:shd w:val="clear" w:color="auto" w:fill="auto"/>
            <w:noWrap/>
            <w:vAlign w:val="bottom"/>
            <w:hideMark/>
          </w:tcPr>
          <w:p w14:paraId="3CCF15E4"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000EA519" w14:textId="77777777" w:rsidTr="004D3803">
        <w:trPr>
          <w:trHeight w:val="300"/>
        </w:trPr>
        <w:tc>
          <w:tcPr>
            <w:tcW w:w="5260" w:type="dxa"/>
            <w:tcBorders>
              <w:top w:val="nil"/>
              <w:left w:val="single" w:sz="4" w:space="0" w:color="auto"/>
              <w:bottom w:val="nil"/>
              <w:right w:val="single" w:sz="4" w:space="0" w:color="auto"/>
            </w:tcBorders>
            <w:shd w:val="clear" w:color="auto" w:fill="auto"/>
            <w:vAlign w:val="bottom"/>
            <w:hideMark/>
          </w:tcPr>
          <w:p w14:paraId="40E8AE6F"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Abnormal chest sounds</w:t>
            </w:r>
          </w:p>
        </w:tc>
        <w:tc>
          <w:tcPr>
            <w:tcW w:w="1800" w:type="dxa"/>
            <w:tcBorders>
              <w:top w:val="nil"/>
              <w:left w:val="nil"/>
              <w:bottom w:val="nil"/>
              <w:right w:val="single" w:sz="4" w:space="0" w:color="auto"/>
            </w:tcBorders>
            <w:shd w:val="clear" w:color="auto" w:fill="auto"/>
            <w:noWrap/>
            <w:vAlign w:val="bottom"/>
            <w:hideMark/>
          </w:tcPr>
          <w:p w14:paraId="3978A4FA"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786.7</w:t>
            </w:r>
          </w:p>
        </w:tc>
        <w:tc>
          <w:tcPr>
            <w:tcW w:w="1440" w:type="dxa"/>
            <w:tcBorders>
              <w:top w:val="nil"/>
              <w:left w:val="nil"/>
              <w:bottom w:val="nil"/>
              <w:right w:val="single" w:sz="4" w:space="0" w:color="auto"/>
            </w:tcBorders>
            <w:shd w:val="clear" w:color="auto" w:fill="auto"/>
            <w:noWrap/>
            <w:vAlign w:val="bottom"/>
            <w:hideMark/>
          </w:tcPr>
          <w:p w14:paraId="645DDDB0"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r w:rsidR="00410943" w:rsidRPr="00B661C8" w14:paraId="44F79BA0" w14:textId="77777777" w:rsidTr="004D3803">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4CE062BC" w14:textId="77777777" w:rsidR="00410943" w:rsidRPr="00B661C8" w:rsidRDefault="00410943" w:rsidP="004D3803">
            <w:pPr>
              <w:rPr>
                <w:rFonts w:ascii="Times New Roman" w:eastAsia="Times New Roman" w:hAnsi="Times New Roman" w:cs="Times New Roman"/>
                <w:color w:val="000000"/>
              </w:rPr>
            </w:pPr>
            <w:r w:rsidRPr="00B661C8">
              <w:rPr>
                <w:rFonts w:ascii="Times New Roman" w:eastAsia="Times New Roman" w:hAnsi="Times New Roman" w:cs="Times New Roman"/>
                <w:color w:val="000000"/>
              </w:rPr>
              <w:t>Hypoxemia</w:t>
            </w:r>
          </w:p>
        </w:tc>
        <w:tc>
          <w:tcPr>
            <w:tcW w:w="1800" w:type="dxa"/>
            <w:tcBorders>
              <w:top w:val="nil"/>
              <w:left w:val="nil"/>
              <w:bottom w:val="single" w:sz="4" w:space="0" w:color="auto"/>
              <w:right w:val="single" w:sz="4" w:space="0" w:color="auto"/>
            </w:tcBorders>
            <w:shd w:val="clear" w:color="auto" w:fill="auto"/>
            <w:noWrap/>
            <w:vAlign w:val="bottom"/>
            <w:hideMark/>
          </w:tcPr>
          <w:p w14:paraId="5738980B"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799.02</w:t>
            </w:r>
          </w:p>
        </w:tc>
        <w:tc>
          <w:tcPr>
            <w:tcW w:w="1440" w:type="dxa"/>
            <w:tcBorders>
              <w:top w:val="nil"/>
              <w:left w:val="nil"/>
              <w:bottom w:val="single" w:sz="4" w:space="0" w:color="auto"/>
              <w:right w:val="single" w:sz="4" w:space="0" w:color="auto"/>
            </w:tcBorders>
            <w:shd w:val="clear" w:color="auto" w:fill="auto"/>
            <w:noWrap/>
            <w:vAlign w:val="bottom"/>
            <w:hideMark/>
          </w:tcPr>
          <w:p w14:paraId="312DCBFE" w14:textId="77777777" w:rsidR="00410943" w:rsidRPr="00B661C8" w:rsidRDefault="00410943" w:rsidP="004D3803">
            <w:pPr>
              <w:jc w:val="right"/>
              <w:rPr>
                <w:rFonts w:ascii="Times New Roman" w:eastAsia="Times New Roman" w:hAnsi="Times New Roman" w:cs="Times New Roman"/>
                <w:color w:val="000000"/>
              </w:rPr>
            </w:pPr>
            <w:r w:rsidRPr="00B661C8">
              <w:rPr>
                <w:rFonts w:ascii="Times New Roman" w:eastAsia="Times New Roman" w:hAnsi="Times New Roman" w:cs="Times New Roman"/>
                <w:color w:val="000000"/>
              </w:rPr>
              <w:t>-</w:t>
            </w:r>
          </w:p>
        </w:tc>
      </w:tr>
    </w:tbl>
    <w:p w14:paraId="6A1A267C" w14:textId="77777777" w:rsidR="00410943" w:rsidRDefault="00410943" w:rsidP="00410943"/>
    <w:p w14:paraId="3B05CCA1" w14:textId="71E657A5" w:rsidR="00FF008A" w:rsidRPr="00FF008A" w:rsidRDefault="0083497E" w:rsidP="00FF008A">
      <w:pPr>
        <w:rPr>
          <w:rFonts w:ascii="Times New Roman" w:hAnsi="Times New Roman" w:cs="Times New Roman"/>
          <w:b/>
          <w:sz w:val="24"/>
          <w:szCs w:val="24"/>
          <w:u w:val="single"/>
          <w:lang w:bidi="he-IL"/>
        </w:rPr>
      </w:pPr>
      <w:r>
        <w:rPr>
          <w:rFonts w:ascii="Times New Roman" w:hAnsi="Times New Roman" w:cs="Times New Roman"/>
          <w:b/>
          <w:sz w:val="24"/>
          <w:szCs w:val="24"/>
          <w:u w:val="single"/>
          <w:lang w:bidi="he-IL"/>
        </w:rPr>
        <w:t>Annex</w:t>
      </w:r>
      <w:r w:rsidR="00FF008A" w:rsidRPr="00FF008A">
        <w:rPr>
          <w:rFonts w:ascii="Times New Roman" w:hAnsi="Times New Roman" w:cs="Times New Roman"/>
          <w:b/>
          <w:sz w:val="24"/>
          <w:szCs w:val="24"/>
          <w:u w:val="single"/>
          <w:lang w:bidi="he-IL"/>
        </w:rPr>
        <w:t xml:space="preserve"> </w:t>
      </w:r>
      <w:r w:rsidR="00410943">
        <w:rPr>
          <w:rFonts w:ascii="Times New Roman" w:hAnsi="Times New Roman" w:cs="Times New Roman"/>
          <w:b/>
          <w:sz w:val="24"/>
          <w:szCs w:val="24"/>
          <w:u w:val="single"/>
          <w:lang w:bidi="he-IL"/>
        </w:rPr>
        <w:t>4</w:t>
      </w:r>
      <w:r w:rsidR="00410943" w:rsidRPr="00FF008A">
        <w:rPr>
          <w:rFonts w:ascii="Times New Roman" w:hAnsi="Times New Roman" w:cs="Times New Roman"/>
          <w:b/>
          <w:sz w:val="24"/>
          <w:szCs w:val="24"/>
          <w:u w:val="single"/>
          <w:lang w:bidi="he-IL"/>
        </w:rPr>
        <w:t xml:space="preserve"> </w:t>
      </w:r>
      <w:r w:rsidR="00FF008A" w:rsidRPr="00FF008A">
        <w:rPr>
          <w:rFonts w:ascii="Times New Roman" w:hAnsi="Times New Roman" w:cs="Times New Roman"/>
          <w:b/>
          <w:sz w:val="24"/>
          <w:szCs w:val="24"/>
          <w:u w:val="single"/>
          <w:lang w:bidi="he-IL"/>
        </w:rPr>
        <w:t xml:space="preserve">– </w:t>
      </w:r>
      <w:proofErr w:type="spellStart"/>
      <w:r w:rsidR="00FF008A">
        <w:rPr>
          <w:rFonts w:ascii="Times New Roman" w:hAnsi="Times New Roman" w:cs="Times New Roman"/>
          <w:b/>
          <w:sz w:val="24"/>
          <w:szCs w:val="24"/>
          <w:u w:val="single"/>
          <w:lang w:bidi="he-IL"/>
        </w:rPr>
        <w:t>Hemagglutination</w:t>
      </w:r>
      <w:proofErr w:type="spellEnd"/>
      <w:r w:rsidR="00FF008A">
        <w:rPr>
          <w:rFonts w:ascii="Times New Roman" w:hAnsi="Times New Roman" w:cs="Times New Roman"/>
          <w:b/>
          <w:sz w:val="24"/>
          <w:szCs w:val="24"/>
          <w:u w:val="single"/>
          <w:lang w:bidi="he-IL"/>
        </w:rPr>
        <w:t xml:space="preserve"> Inhibition Assay</w:t>
      </w:r>
    </w:p>
    <w:p w14:paraId="68881AE5" w14:textId="77777777" w:rsidR="00FF008A" w:rsidRDefault="00FF008A" w:rsidP="00165BA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Hemagglutination Inhibition (HAI) Assay is used to detect the presence of neutralizing influenza antibodies in serum. Specifically, HAI assay measures the ability of anti-hemagglutinin (HA) antibodies to inhibit the binding of HA viral protein with sialic acid (SA) on the surface of the red blood cells (RBCs) (erythrocyte) which causes the cells to agglutinate </w:t>
      </w:r>
      <w:r>
        <w:rPr>
          <w:rFonts w:ascii="Times New Roman" w:hAnsi="Times New Roman" w:cs="Times New Roman"/>
          <w:i/>
          <w:sz w:val="24"/>
          <w:szCs w:val="24"/>
        </w:rPr>
        <w:t>in vitro</w:t>
      </w:r>
      <w:r>
        <w:rPr>
          <w:rFonts w:ascii="Times New Roman" w:hAnsi="Times New Roman" w:cs="Times New Roman"/>
          <w:sz w:val="24"/>
          <w:szCs w:val="24"/>
        </w:rPr>
        <w:t xml:space="preserve">. Inhibition of this agglutination by antibodies which neutralize the binding of HA with erythrocytes forms the basis of the HAI assay.  </w:t>
      </w:r>
    </w:p>
    <w:p w14:paraId="487CBE4C" w14:textId="77777777" w:rsidR="00FF008A" w:rsidRDefault="00FF008A" w:rsidP="00165BAD">
      <w:pPr>
        <w:spacing w:line="480" w:lineRule="auto"/>
        <w:rPr>
          <w:rFonts w:ascii="Times New Roman" w:hAnsi="Times New Roman" w:cs="Times New Roman"/>
          <w:sz w:val="24"/>
          <w:szCs w:val="24"/>
        </w:rPr>
      </w:pPr>
      <w:r>
        <w:rPr>
          <w:rFonts w:ascii="Times New Roman" w:hAnsi="Times New Roman" w:cs="Times New Roman"/>
          <w:sz w:val="24"/>
          <w:szCs w:val="24"/>
        </w:rPr>
        <w:t xml:space="preserve">HAI to IIV components and to influenza circulating strains during the study period will be performed by Battelle Laboratory (Aberdeen, MD) using egg-grown wild type viruses supplied by US CDC’s International Reagent Resource. Ether treated type B influenza antigens will be used given evidence of increased ability to detect HAI following ether treatment. </w:t>
      </w:r>
    </w:p>
    <w:p w14:paraId="749D5428" w14:textId="77777777" w:rsidR="00FF008A" w:rsidRDefault="00FF008A" w:rsidP="00165BAD">
      <w:pPr>
        <w:spacing w:line="480" w:lineRule="auto"/>
        <w:rPr>
          <w:rFonts w:ascii="Times New Roman" w:hAnsi="Times New Roman" w:cs="Times New Roman"/>
          <w:sz w:val="24"/>
          <w:szCs w:val="24"/>
        </w:rPr>
      </w:pPr>
      <w:r>
        <w:rPr>
          <w:rFonts w:ascii="Times New Roman" w:hAnsi="Times New Roman" w:cs="Times New Roman"/>
          <w:sz w:val="24"/>
          <w:szCs w:val="24"/>
        </w:rPr>
        <w:t>Preparation of serum samples for us in the HAI assay includes the following three steps. First, serum samples will be treated with receptor destroying enzyme to remove non-specific inhibitors (various sialic acid-containing glycans) that may mimic the binding of influenza-specific anti-</w:t>
      </w:r>
      <w:r>
        <w:rPr>
          <w:rFonts w:ascii="Times New Roman" w:hAnsi="Times New Roman" w:cs="Times New Roman"/>
          <w:sz w:val="24"/>
          <w:szCs w:val="24"/>
        </w:rPr>
        <w:lastRenderedPageBreak/>
        <w:t>HA antibodies. Second, serum samples will be tested for non-specific agglutination, which may cause false negative HAI results. When non-specific agglutinins are observed (when diluted serum and a solution of RBCs are combined and hemagglutination occurs), serum must be adsorbed with RBC before HAI testing. Serum samples with RBC agglutination and point titers of 80 or higher will be adsorbed and tested again for non-specific agglutination prior to testing in the HAI assay to confirm the removal of nonspecific agglutinins. If the end point titer is still ≥20 after adsorption, then they must be adsorbed again.</w:t>
      </w:r>
    </w:p>
    <w:p w14:paraId="52B2679C" w14:textId="77777777" w:rsidR="00FF008A" w:rsidRDefault="00FF008A" w:rsidP="00165BAD">
      <w:pPr>
        <w:spacing w:line="480" w:lineRule="auto"/>
        <w:rPr>
          <w:rFonts w:ascii="Times New Roman" w:hAnsi="Times New Roman" w:cs="Times New Roman"/>
          <w:sz w:val="24"/>
          <w:szCs w:val="24"/>
        </w:rPr>
      </w:pPr>
      <w:r>
        <w:rPr>
          <w:rFonts w:ascii="Times New Roman" w:hAnsi="Times New Roman" w:cs="Times New Roman"/>
          <w:sz w:val="24"/>
          <w:szCs w:val="24"/>
        </w:rPr>
        <w:t>The choice of RBCs to use in the HAI assay is dependent upon the virus being tested. HAI is often performed with turkey RBCs since they are large, nucleated, and sediment and quickly allow determination of an HAI endpoint. HAI against A(H1N</w:t>
      </w:r>
      <w:proofErr w:type="gramStart"/>
      <w:r>
        <w:rPr>
          <w:rFonts w:ascii="Times New Roman" w:hAnsi="Times New Roman" w:cs="Times New Roman"/>
          <w:sz w:val="24"/>
          <w:szCs w:val="24"/>
        </w:rPr>
        <w:t>1)pdm</w:t>
      </w:r>
      <w:proofErr w:type="gramEnd"/>
      <w:r>
        <w:rPr>
          <w:rFonts w:ascii="Times New Roman" w:hAnsi="Times New Roman" w:cs="Times New Roman"/>
          <w:sz w:val="24"/>
          <w:szCs w:val="24"/>
        </w:rPr>
        <w:t xml:space="preserve">09 and B influenza antigens will be conducted with turkey RBCs. With new antigenic clusters of A(H3N2) since </w:t>
      </w:r>
      <w:proofErr w:type="gramStart"/>
      <w:r>
        <w:rPr>
          <w:rFonts w:ascii="Times New Roman" w:hAnsi="Times New Roman" w:cs="Times New Roman"/>
          <w:sz w:val="24"/>
          <w:szCs w:val="24"/>
        </w:rPr>
        <w:t>2014,  the</w:t>
      </w:r>
      <w:proofErr w:type="gramEnd"/>
      <w:r>
        <w:rPr>
          <w:rFonts w:ascii="Times New Roman" w:hAnsi="Times New Roman" w:cs="Times New Roman"/>
          <w:sz w:val="24"/>
          <w:szCs w:val="24"/>
        </w:rPr>
        <w:t xml:space="preserve"> neuraminidase (NA) of these viruses have acquired the ability to bind to RBCs. For these viruses, modified HAI assays will be conducted using Guinea Pig red blood cells in the presence of the antiviral oseltamivir carboxylate, which inhibits influenza NA.</w:t>
      </w:r>
    </w:p>
    <w:p w14:paraId="213DA6DD" w14:textId="77777777" w:rsidR="00FF008A" w:rsidRDefault="00FF008A" w:rsidP="00165BAD">
      <w:pPr>
        <w:spacing w:line="480" w:lineRule="auto"/>
        <w:rPr>
          <w:rFonts w:ascii="Times New Roman" w:hAnsi="Times New Roman" w:cs="Times New Roman"/>
          <w:sz w:val="24"/>
          <w:szCs w:val="24"/>
        </w:rPr>
      </w:pPr>
      <w:r>
        <w:rPr>
          <w:rFonts w:ascii="Times New Roman" w:hAnsi="Times New Roman" w:cs="Times New Roman"/>
          <w:sz w:val="24"/>
          <w:szCs w:val="24"/>
        </w:rPr>
        <w:t xml:space="preserve">Serum will be diluted 2-fold starting from 1:10. The serum HAI titer is the reciprocal of the dilution of virus in the last well with complete hemagglutination inhibition. The reported HAI titer of a sera sample is the geometric mean titer (GMT) from duplicate assays run on separate plates. HAI &lt;10 will be considered 5 for GMT calculation.  If the results are not within one 2-fold serial dilution of each other, then the assay is repeated. If a test sample has a HAI titer of ≥1280, the test sample must be repeated at a higher starting dilution until the end-point titer is obtained. </w:t>
      </w:r>
    </w:p>
    <w:p w14:paraId="553721EF" w14:textId="77777777" w:rsidR="00E554AA" w:rsidRDefault="00E554AA" w:rsidP="00FF008A">
      <w:pPr>
        <w:spacing w:line="360" w:lineRule="auto"/>
        <w:ind w:right="-136"/>
        <w:contextualSpacing/>
        <w:rPr>
          <w:rFonts w:ascii="Times New Roman" w:eastAsia="Times New Roman" w:hAnsi="Times New Roman" w:cs="Times New Roman"/>
          <w:sz w:val="24"/>
          <w:szCs w:val="24"/>
        </w:rPr>
      </w:pPr>
    </w:p>
    <w:p w14:paraId="08D0A2B5" w14:textId="77777777" w:rsidR="00165BAD" w:rsidRDefault="00165BAD" w:rsidP="00FF008A">
      <w:pPr>
        <w:spacing w:line="360" w:lineRule="auto"/>
        <w:ind w:right="-136"/>
        <w:contextualSpacing/>
        <w:rPr>
          <w:rFonts w:ascii="Times New Roman" w:eastAsia="Times New Roman" w:hAnsi="Times New Roman" w:cs="Times New Roman"/>
          <w:sz w:val="24"/>
          <w:szCs w:val="24"/>
        </w:rPr>
      </w:pPr>
    </w:p>
    <w:p w14:paraId="3F1DA9C3" w14:textId="7F06C79D" w:rsidR="00FF008A" w:rsidRPr="00FF008A" w:rsidRDefault="00FF008A" w:rsidP="00FF008A">
      <w:pPr>
        <w:spacing w:line="360" w:lineRule="auto"/>
        <w:ind w:right="-136"/>
        <w:contextualSpacing/>
        <w:rPr>
          <w:rFonts w:ascii="Times New Roman" w:eastAsia="Times New Roman" w:hAnsi="Times New Roman" w:cs="Times New Roman"/>
          <w:sz w:val="24"/>
          <w:szCs w:val="24"/>
        </w:rPr>
      </w:pPr>
      <w:r w:rsidRPr="00FF008A">
        <w:rPr>
          <w:rFonts w:ascii="Times New Roman" w:eastAsia="Times New Roman" w:hAnsi="Times New Roman" w:cs="Times New Roman"/>
          <w:sz w:val="24"/>
          <w:szCs w:val="24"/>
        </w:rPr>
        <w:lastRenderedPageBreak/>
        <w:t>References</w:t>
      </w:r>
    </w:p>
    <w:p w14:paraId="700672CE" w14:textId="77777777" w:rsidR="00FF008A" w:rsidRDefault="00FF008A" w:rsidP="00FF008A">
      <w:pPr>
        <w:spacing w:line="360" w:lineRule="auto"/>
        <w:rPr>
          <w:rFonts w:ascii="Times New Roman" w:hAnsi="Times New Roman" w:cs="Times New Roman"/>
          <w:sz w:val="24"/>
          <w:szCs w:val="24"/>
        </w:rPr>
      </w:pPr>
    </w:p>
    <w:p w14:paraId="426F484A" w14:textId="77777777" w:rsidR="00FF008A" w:rsidRPr="00E554AA" w:rsidRDefault="00FF008A" w:rsidP="00E554AA">
      <w:pPr>
        <w:pStyle w:val="EndNoteBibliography"/>
        <w:spacing w:after="0" w:line="480" w:lineRule="auto"/>
        <w:ind w:left="720" w:hanging="720"/>
        <w:rPr>
          <w:rFonts w:asciiTheme="majorBidi" w:hAnsiTheme="majorBidi" w:cstheme="majorBidi"/>
          <w:sz w:val="24"/>
          <w:szCs w:val="24"/>
        </w:rPr>
      </w:pPr>
      <w:r w:rsidRPr="00E554AA">
        <w:rPr>
          <w:rFonts w:asciiTheme="majorBidi" w:hAnsiTheme="majorBidi" w:cstheme="majorBidi"/>
          <w:sz w:val="24"/>
          <w:szCs w:val="24"/>
        </w:rPr>
        <w:fldChar w:fldCharType="begin"/>
      </w:r>
      <w:r w:rsidRPr="00931884">
        <w:rPr>
          <w:rFonts w:asciiTheme="majorBidi" w:hAnsiTheme="majorBidi" w:cstheme="majorBidi"/>
          <w:sz w:val="24"/>
          <w:szCs w:val="24"/>
        </w:rPr>
        <w:instrText xml:space="preserve"> ADDIN EN.REFLIST </w:instrText>
      </w:r>
      <w:r w:rsidRPr="00E554AA">
        <w:rPr>
          <w:rFonts w:asciiTheme="majorBidi" w:hAnsiTheme="majorBidi" w:cstheme="majorBidi"/>
          <w:sz w:val="24"/>
          <w:szCs w:val="24"/>
        </w:rPr>
        <w:fldChar w:fldCharType="separate"/>
      </w:r>
      <w:r w:rsidRPr="00E554AA">
        <w:rPr>
          <w:rFonts w:asciiTheme="majorBidi" w:hAnsiTheme="majorBidi" w:cstheme="majorBidi"/>
          <w:sz w:val="24"/>
          <w:szCs w:val="24"/>
        </w:rPr>
        <w:t>1.</w:t>
      </w:r>
      <w:r w:rsidRPr="00E554AA">
        <w:rPr>
          <w:rFonts w:asciiTheme="majorBidi" w:hAnsiTheme="majorBidi" w:cstheme="majorBidi"/>
          <w:sz w:val="24"/>
          <w:szCs w:val="24"/>
        </w:rPr>
        <w:tab/>
        <w:t>Network WHOGIS. Serological diagnosis of influenza by haemagglutination inhibition testing. In: Manual for the laboratory diagnosis and virological surveillance of influenza. Geneva, Switzerland: WHO, 2011.</w:t>
      </w:r>
    </w:p>
    <w:p w14:paraId="423517AC" w14:textId="77777777" w:rsidR="00FF008A" w:rsidRPr="00E554AA" w:rsidRDefault="00FF008A" w:rsidP="00E554AA">
      <w:pPr>
        <w:pStyle w:val="EndNoteBibliography"/>
        <w:spacing w:after="0" w:line="480" w:lineRule="auto"/>
        <w:ind w:left="720" w:hanging="720"/>
        <w:rPr>
          <w:rFonts w:asciiTheme="majorBidi" w:hAnsiTheme="majorBidi" w:cstheme="majorBidi"/>
          <w:sz w:val="24"/>
          <w:szCs w:val="24"/>
        </w:rPr>
      </w:pPr>
      <w:r w:rsidRPr="00E554AA">
        <w:rPr>
          <w:rFonts w:asciiTheme="majorBidi" w:hAnsiTheme="majorBidi" w:cstheme="majorBidi"/>
          <w:sz w:val="24"/>
          <w:szCs w:val="24"/>
        </w:rPr>
        <w:t>2.</w:t>
      </w:r>
      <w:r w:rsidRPr="00E554AA">
        <w:rPr>
          <w:rFonts w:asciiTheme="majorBidi" w:hAnsiTheme="majorBidi" w:cstheme="majorBidi"/>
          <w:sz w:val="24"/>
          <w:szCs w:val="24"/>
        </w:rPr>
        <w:tab/>
        <w:t xml:space="preserve">Gaglani M, Spencer S, Ball S, et al. Antibody response to influenza A(H1N1)pdm09 among healthcare personnel receiving trivalent inactivated vaccine: effect of prior monovalent inactivated vaccine. The Journal of infectious diseases </w:t>
      </w:r>
      <w:r w:rsidRPr="00E554AA">
        <w:rPr>
          <w:rFonts w:asciiTheme="majorBidi" w:hAnsiTheme="majorBidi" w:cstheme="majorBidi"/>
          <w:b/>
          <w:sz w:val="24"/>
          <w:szCs w:val="24"/>
        </w:rPr>
        <w:t>2014</w:t>
      </w:r>
      <w:r w:rsidRPr="00E554AA">
        <w:rPr>
          <w:rFonts w:asciiTheme="majorBidi" w:hAnsiTheme="majorBidi" w:cstheme="majorBidi"/>
          <w:sz w:val="24"/>
          <w:szCs w:val="24"/>
        </w:rPr>
        <w:t>; 209(11): 1705-14.</w:t>
      </w:r>
    </w:p>
    <w:p w14:paraId="09DA04B1" w14:textId="77777777" w:rsidR="00FF008A" w:rsidRPr="00E554AA" w:rsidRDefault="00FF008A" w:rsidP="00E554AA">
      <w:pPr>
        <w:pStyle w:val="EndNoteBibliography"/>
        <w:spacing w:line="480" w:lineRule="auto"/>
        <w:ind w:left="720" w:hanging="720"/>
        <w:rPr>
          <w:rFonts w:asciiTheme="majorBidi" w:hAnsiTheme="majorBidi" w:cstheme="majorBidi"/>
          <w:sz w:val="24"/>
          <w:szCs w:val="24"/>
        </w:rPr>
      </w:pPr>
      <w:r w:rsidRPr="00E554AA">
        <w:rPr>
          <w:rFonts w:asciiTheme="majorBidi" w:hAnsiTheme="majorBidi" w:cstheme="majorBidi"/>
          <w:sz w:val="24"/>
          <w:szCs w:val="24"/>
        </w:rPr>
        <w:t>3.</w:t>
      </w:r>
      <w:r w:rsidRPr="00E554AA">
        <w:rPr>
          <w:rFonts w:asciiTheme="majorBidi" w:hAnsiTheme="majorBidi" w:cstheme="majorBidi"/>
          <w:sz w:val="24"/>
          <w:szCs w:val="24"/>
        </w:rPr>
        <w:tab/>
        <w:t xml:space="preserve">Thompson MG, Naleway A, Fry AM, et al. Effects of Repeated Annual Inactivated Influenza Vaccination among Healthcare Personnel on Serum Hemagglutinin Inhibition Antibody Response to A/Perth/16/2009 (H3N2)-like virus during 2010-11. Vaccine </w:t>
      </w:r>
      <w:r w:rsidRPr="00E554AA">
        <w:rPr>
          <w:rFonts w:asciiTheme="majorBidi" w:hAnsiTheme="majorBidi" w:cstheme="majorBidi"/>
          <w:b/>
          <w:sz w:val="24"/>
          <w:szCs w:val="24"/>
        </w:rPr>
        <w:t>2016</w:t>
      </w:r>
      <w:r w:rsidRPr="00E554AA">
        <w:rPr>
          <w:rFonts w:asciiTheme="majorBidi" w:hAnsiTheme="majorBidi" w:cstheme="majorBidi"/>
          <w:sz w:val="24"/>
          <w:szCs w:val="24"/>
        </w:rPr>
        <w:t>; 34(7): 981-8.</w:t>
      </w:r>
    </w:p>
    <w:p w14:paraId="0BF2C0A9" w14:textId="77777777" w:rsidR="00FF008A" w:rsidRDefault="00FF008A" w:rsidP="00E554AA">
      <w:pPr>
        <w:spacing w:line="480" w:lineRule="auto"/>
      </w:pPr>
      <w:r w:rsidRPr="00E554AA">
        <w:rPr>
          <w:rFonts w:asciiTheme="majorBidi" w:hAnsiTheme="majorBidi" w:cstheme="majorBidi"/>
          <w:sz w:val="24"/>
          <w:szCs w:val="24"/>
        </w:rPr>
        <w:fldChar w:fldCharType="end"/>
      </w:r>
    </w:p>
    <w:p w14:paraId="7AD5DC5F" w14:textId="77777777" w:rsidR="00FF008A" w:rsidRDefault="00FF008A" w:rsidP="00FF008A"/>
    <w:p w14:paraId="79742590" w14:textId="77777777" w:rsidR="00FF008A" w:rsidRDefault="00FF008A" w:rsidP="00FF008A"/>
    <w:p w14:paraId="77D20BA8" w14:textId="77777777" w:rsidR="00FF008A" w:rsidRDefault="00FF008A" w:rsidP="00FF008A">
      <w:pPr>
        <w:rPr>
          <w:rFonts w:ascii="Times New Roman" w:hAnsi="Times New Roman" w:cs="Times New Roman"/>
          <w:b/>
          <w:sz w:val="32"/>
          <w:szCs w:val="32"/>
          <w:u w:val="single"/>
          <w:lang w:bidi="he-IL"/>
        </w:rPr>
      </w:pPr>
    </w:p>
    <w:p w14:paraId="29BE9D4A" w14:textId="77777777" w:rsidR="00165BAD" w:rsidRDefault="00165BAD" w:rsidP="00E554AA">
      <w:pPr>
        <w:rPr>
          <w:rFonts w:ascii="Times New Roman" w:hAnsi="Times New Roman" w:cs="Times New Roman"/>
          <w:b/>
          <w:sz w:val="24"/>
          <w:szCs w:val="24"/>
          <w:u w:val="single"/>
          <w:lang w:bidi="he-IL"/>
        </w:rPr>
      </w:pPr>
    </w:p>
    <w:p w14:paraId="1EDCFBA1" w14:textId="77777777" w:rsidR="00165BAD" w:rsidRDefault="00165BAD" w:rsidP="00E554AA">
      <w:pPr>
        <w:rPr>
          <w:rFonts w:ascii="Times New Roman" w:hAnsi="Times New Roman" w:cs="Times New Roman"/>
          <w:b/>
          <w:sz w:val="24"/>
          <w:szCs w:val="24"/>
          <w:u w:val="single"/>
          <w:lang w:bidi="he-IL"/>
        </w:rPr>
      </w:pPr>
    </w:p>
    <w:p w14:paraId="1840E68A" w14:textId="77777777" w:rsidR="00165BAD" w:rsidRDefault="00165BAD" w:rsidP="00E554AA">
      <w:pPr>
        <w:rPr>
          <w:rFonts w:ascii="Times New Roman" w:hAnsi="Times New Roman" w:cs="Times New Roman"/>
          <w:b/>
          <w:sz w:val="24"/>
          <w:szCs w:val="24"/>
          <w:u w:val="single"/>
          <w:lang w:bidi="he-IL"/>
        </w:rPr>
      </w:pPr>
    </w:p>
    <w:p w14:paraId="79AC427F" w14:textId="77777777" w:rsidR="00165BAD" w:rsidRDefault="00165BAD" w:rsidP="00E554AA">
      <w:pPr>
        <w:rPr>
          <w:rFonts w:ascii="Times New Roman" w:hAnsi="Times New Roman" w:cs="Times New Roman"/>
          <w:b/>
          <w:sz w:val="24"/>
          <w:szCs w:val="24"/>
          <w:u w:val="single"/>
          <w:lang w:bidi="he-IL"/>
        </w:rPr>
      </w:pPr>
    </w:p>
    <w:p w14:paraId="27BEAE2F" w14:textId="77777777" w:rsidR="00165BAD" w:rsidRDefault="00165BAD" w:rsidP="00E554AA">
      <w:pPr>
        <w:rPr>
          <w:rFonts w:ascii="Times New Roman" w:hAnsi="Times New Roman" w:cs="Times New Roman"/>
          <w:b/>
          <w:sz w:val="24"/>
          <w:szCs w:val="24"/>
          <w:u w:val="single"/>
          <w:lang w:bidi="he-IL"/>
        </w:rPr>
      </w:pPr>
    </w:p>
    <w:p w14:paraId="31408243" w14:textId="77777777" w:rsidR="00165BAD" w:rsidRDefault="00165BAD" w:rsidP="00E554AA">
      <w:pPr>
        <w:rPr>
          <w:rFonts w:ascii="Times New Roman" w:hAnsi="Times New Roman" w:cs="Times New Roman"/>
          <w:b/>
          <w:sz w:val="24"/>
          <w:szCs w:val="24"/>
          <w:u w:val="single"/>
          <w:lang w:bidi="he-IL"/>
        </w:rPr>
      </w:pPr>
    </w:p>
    <w:p w14:paraId="1DA6ACE2" w14:textId="77777777" w:rsidR="00165BAD" w:rsidRDefault="00165BAD" w:rsidP="00E554AA">
      <w:pPr>
        <w:rPr>
          <w:rFonts w:ascii="Times New Roman" w:hAnsi="Times New Roman" w:cs="Times New Roman"/>
          <w:b/>
          <w:sz w:val="24"/>
          <w:szCs w:val="24"/>
          <w:u w:val="single"/>
          <w:lang w:bidi="he-IL"/>
        </w:rPr>
      </w:pPr>
    </w:p>
    <w:p w14:paraId="0EFC4677" w14:textId="77777777" w:rsidR="00165BAD" w:rsidRDefault="00165BAD" w:rsidP="00E554AA">
      <w:pPr>
        <w:rPr>
          <w:rFonts w:ascii="Times New Roman" w:hAnsi="Times New Roman" w:cs="Times New Roman"/>
          <w:b/>
          <w:sz w:val="24"/>
          <w:szCs w:val="24"/>
          <w:u w:val="single"/>
          <w:lang w:bidi="he-IL"/>
        </w:rPr>
      </w:pPr>
    </w:p>
    <w:p w14:paraId="50162018" w14:textId="746FF5AB" w:rsidR="00E554AA" w:rsidRPr="00FC6CB8" w:rsidRDefault="00E554AA" w:rsidP="00E554AA">
      <w:pPr>
        <w:rPr>
          <w:rFonts w:ascii="Times New Roman" w:eastAsiaTheme="minorEastAsia" w:hAnsi="Times New Roman" w:cs="Times New Roman"/>
          <w:sz w:val="24"/>
          <w:szCs w:val="24"/>
        </w:rPr>
      </w:pPr>
      <w:r w:rsidRPr="00FF008A">
        <w:rPr>
          <w:rFonts w:ascii="Times New Roman" w:hAnsi="Times New Roman" w:cs="Times New Roman"/>
          <w:b/>
          <w:sz w:val="24"/>
          <w:szCs w:val="24"/>
          <w:u w:val="single"/>
          <w:lang w:bidi="he-IL"/>
        </w:rPr>
        <w:lastRenderedPageBreak/>
        <w:t>A</w:t>
      </w:r>
      <w:r w:rsidR="0083497E">
        <w:rPr>
          <w:rFonts w:ascii="Times New Roman" w:hAnsi="Times New Roman" w:cs="Times New Roman"/>
          <w:b/>
          <w:sz w:val="24"/>
          <w:szCs w:val="24"/>
          <w:u w:val="single"/>
          <w:lang w:bidi="he-IL"/>
        </w:rPr>
        <w:t xml:space="preserve">nnex </w:t>
      </w:r>
      <w:r w:rsidR="00410943">
        <w:rPr>
          <w:rFonts w:ascii="Times New Roman" w:hAnsi="Times New Roman" w:cs="Times New Roman"/>
          <w:b/>
          <w:sz w:val="24"/>
          <w:szCs w:val="24"/>
          <w:u w:val="single"/>
          <w:lang w:bidi="he-IL"/>
        </w:rPr>
        <w:t>5</w:t>
      </w:r>
      <w:r w:rsidR="00410943" w:rsidRPr="00FF008A">
        <w:rPr>
          <w:rFonts w:ascii="Times New Roman" w:hAnsi="Times New Roman" w:cs="Times New Roman"/>
          <w:b/>
          <w:sz w:val="24"/>
          <w:szCs w:val="24"/>
          <w:u w:val="single"/>
          <w:lang w:bidi="he-IL"/>
        </w:rPr>
        <w:t xml:space="preserve"> </w:t>
      </w:r>
      <w:r w:rsidRPr="00FF008A">
        <w:rPr>
          <w:rFonts w:ascii="Times New Roman" w:hAnsi="Times New Roman" w:cs="Times New Roman"/>
          <w:b/>
          <w:sz w:val="24"/>
          <w:szCs w:val="24"/>
          <w:u w:val="single"/>
          <w:lang w:bidi="he-IL"/>
        </w:rPr>
        <w:t xml:space="preserve">– </w:t>
      </w:r>
      <w:r w:rsidRPr="00E554AA">
        <w:rPr>
          <w:rFonts w:ascii="Times New Roman" w:hAnsi="Times New Roman" w:cs="Times New Roman"/>
          <w:b/>
          <w:sz w:val="24"/>
          <w:szCs w:val="24"/>
          <w:u w:val="single"/>
          <w:lang w:bidi="he-IL"/>
        </w:rPr>
        <w:t>Interview Guide for Qualitative Interviews with Participants Regarding Attitudes toward Morbidity from Influenza and Respiratory Illness</w:t>
      </w:r>
    </w:p>
    <w:p w14:paraId="7A1D7190" w14:textId="376818D5" w:rsidR="00E554AA" w:rsidRPr="00E838B7" w:rsidRDefault="00E554AA" w:rsidP="00165BAD">
      <w:pPr>
        <w:spacing w:line="480" w:lineRule="auto"/>
        <w:contextualSpacing/>
        <w:rPr>
          <w:rFonts w:ascii="Times New Roman" w:hAnsi="Times New Roman" w:cs="Times New Roman"/>
          <w:sz w:val="24"/>
          <w:szCs w:val="24"/>
        </w:rPr>
      </w:pPr>
      <w:r w:rsidRPr="00E838B7">
        <w:rPr>
          <w:rFonts w:ascii="Times New Roman" w:hAnsi="Times New Roman" w:cs="Times New Roman"/>
          <w:sz w:val="24"/>
          <w:szCs w:val="24"/>
        </w:rPr>
        <w:t>The following list of questions and probes (or follow-up sub-questions) will serve as a guide for the topics to discuss in in-depth qualitative interviews to be conducted with a sub-sample of consented HCPs. Because these will be qualitative interviews, the exact phrasing and the order of the questions may be adapted for each interview, depending on the flow of the discussion.</w:t>
      </w:r>
    </w:p>
    <w:p w14:paraId="053E9630" w14:textId="2F8D7D98" w:rsidR="00E554AA" w:rsidRPr="00E838B7" w:rsidRDefault="00E554AA" w:rsidP="00165BAD">
      <w:pPr>
        <w:spacing w:line="480" w:lineRule="auto"/>
        <w:contextualSpacing/>
        <w:rPr>
          <w:rFonts w:ascii="Times New Roman" w:hAnsi="Times New Roman" w:cs="Times New Roman"/>
          <w:sz w:val="24"/>
          <w:szCs w:val="24"/>
        </w:rPr>
      </w:pPr>
      <w:r w:rsidRPr="00E838B7">
        <w:rPr>
          <w:rFonts w:ascii="Times New Roman" w:hAnsi="Times New Roman" w:cs="Times New Roman"/>
          <w:sz w:val="24"/>
          <w:szCs w:val="24"/>
        </w:rPr>
        <w:t>Interviewers should be aware of the dates of the HCP’s illness, the test results of the respiratory sample(s) in all years of the study, and the vaccination status of the HCP in all years of the study.</w:t>
      </w:r>
    </w:p>
    <w:p w14:paraId="4D1458F3" w14:textId="77777777" w:rsidR="00E554AA" w:rsidRPr="00E838B7" w:rsidRDefault="00E554AA" w:rsidP="00165BAD">
      <w:pPr>
        <w:pStyle w:val="a3"/>
        <w:spacing w:line="480" w:lineRule="auto"/>
        <w:ind w:hanging="720"/>
        <w:rPr>
          <w:rFonts w:ascii="Times New Roman" w:hAnsi="Times New Roman" w:cs="Times New Roman"/>
          <w:sz w:val="24"/>
          <w:szCs w:val="24"/>
        </w:rPr>
      </w:pPr>
      <w:r w:rsidRPr="00E838B7">
        <w:rPr>
          <w:rFonts w:ascii="Times New Roman" w:hAnsi="Times New Roman" w:cs="Times New Roman"/>
          <w:sz w:val="24"/>
          <w:szCs w:val="24"/>
        </w:rPr>
        <w:t>1.</w:t>
      </w:r>
      <w:r w:rsidRPr="00E838B7">
        <w:rPr>
          <w:rFonts w:ascii="Times New Roman" w:hAnsi="Times New Roman" w:cs="Times New Roman"/>
          <w:sz w:val="24"/>
          <w:szCs w:val="24"/>
        </w:rPr>
        <w:tab/>
        <w:t xml:space="preserve">Please describe your experience with your recent illness. </w:t>
      </w:r>
    </w:p>
    <w:p w14:paraId="20A52DE2" w14:textId="77777777" w:rsidR="00E554AA" w:rsidRPr="00E838B7" w:rsidRDefault="00E554AA" w:rsidP="00165BAD">
      <w:pPr>
        <w:pStyle w:val="a3"/>
        <w:spacing w:line="480" w:lineRule="auto"/>
        <w:rPr>
          <w:rFonts w:ascii="Times New Roman" w:hAnsi="Times New Roman" w:cs="Times New Roman"/>
          <w:sz w:val="24"/>
          <w:szCs w:val="24"/>
        </w:rPr>
      </w:pPr>
      <w:r w:rsidRPr="00E838B7">
        <w:rPr>
          <w:rFonts w:ascii="Times New Roman" w:hAnsi="Times New Roman" w:cs="Times New Roman"/>
          <w:sz w:val="24"/>
          <w:szCs w:val="24"/>
        </w:rPr>
        <w:t>Probes:</w:t>
      </w:r>
    </w:p>
    <w:p w14:paraId="7BDDF524" w14:textId="77777777" w:rsidR="00E554AA" w:rsidRPr="00E838B7" w:rsidRDefault="00E554AA" w:rsidP="00165BAD">
      <w:pPr>
        <w:pStyle w:val="a3"/>
        <w:numPr>
          <w:ilvl w:val="0"/>
          <w:numId w:val="6"/>
        </w:numPr>
        <w:spacing w:after="200" w:line="480" w:lineRule="auto"/>
        <w:ind w:left="1440"/>
        <w:rPr>
          <w:rFonts w:ascii="Times New Roman" w:hAnsi="Times New Roman" w:cs="Times New Roman"/>
          <w:sz w:val="24"/>
          <w:szCs w:val="24"/>
        </w:rPr>
      </w:pPr>
      <w:r w:rsidRPr="00E838B7">
        <w:rPr>
          <w:rFonts w:ascii="Times New Roman" w:hAnsi="Times New Roman" w:cs="Times New Roman"/>
          <w:sz w:val="24"/>
          <w:szCs w:val="24"/>
        </w:rPr>
        <w:t>What symptoms did you experience?</w:t>
      </w:r>
    </w:p>
    <w:p w14:paraId="0D124F35" w14:textId="77777777" w:rsidR="00E554AA" w:rsidRPr="00E838B7" w:rsidRDefault="00E554AA" w:rsidP="00165BAD">
      <w:pPr>
        <w:pStyle w:val="a3"/>
        <w:numPr>
          <w:ilvl w:val="0"/>
          <w:numId w:val="6"/>
        </w:numPr>
        <w:spacing w:after="200" w:line="480" w:lineRule="auto"/>
        <w:ind w:left="1440"/>
        <w:rPr>
          <w:rFonts w:ascii="Times New Roman" w:hAnsi="Times New Roman" w:cs="Times New Roman"/>
          <w:sz w:val="24"/>
          <w:szCs w:val="24"/>
        </w:rPr>
      </w:pPr>
      <w:r w:rsidRPr="00E838B7">
        <w:rPr>
          <w:rFonts w:ascii="Times New Roman" w:hAnsi="Times New Roman" w:cs="Times New Roman"/>
          <w:sz w:val="24"/>
          <w:szCs w:val="24"/>
        </w:rPr>
        <w:t>How long did you feel ill?</w:t>
      </w:r>
    </w:p>
    <w:p w14:paraId="127551BD" w14:textId="77777777" w:rsidR="00E554AA" w:rsidRPr="00E838B7" w:rsidRDefault="00E554AA" w:rsidP="00165BAD">
      <w:pPr>
        <w:pStyle w:val="a3"/>
        <w:numPr>
          <w:ilvl w:val="0"/>
          <w:numId w:val="6"/>
        </w:numPr>
        <w:spacing w:after="200" w:line="480" w:lineRule="auto"/>
        <w:ind w:left="1440"/>
        <w:rPr>
          <w:rFonts w:ascii="Times New Roman" w:hAnsi="Times New Roman" w:cs="Times New Roman"/>
          <w:sz w:val="24"/>
          <w:szCs w:val="24"/>
        </w:rPr>
      </w:pPr>
      <w:r w:rsidRPr="00E838B7">
        <w:rPr>
          <w:rFonts w:ascii="Times New Roman" w:hAnsi="Times New Roman" w:cs="Times New Roman"/>
          <w:sz w:val="24"/>
          <w:szCs w:val="24"/>
        </w:rPr>
        <w:t>How sick did you feel? How severe was your illness?</w:t>
      </w:r>
    </w:p>
    <w:p w14:paraId="1B3F6673" w14:textId="01F641A3" w:rsidR="00E554AA" w:rsidRPr="00165BAD" w:rsidRDefault="00E554AA" w:rsidP="008760EF">
      <w:pPr>
        <w:pStyle w:val="a3"/>
        <w:numPr>
          <w:ilvl w:val="0"/>
          <w:numId w:val="6"/>
        </w:numPr>
        <w:spacing w:after="200" w:line="480" w:lineRule="auto"/>
        <w:ind w:left="1440" w:hanging="720"/>
        <w:rPr>
          <w:rFonts w:ascii="Times New Roman" w:hAnsi="Times New Roman" w:cs="Times New Roman"/>
          <w:sz w:val="24"/>
          <w:szCs w:val="24"/>
        </w:rPr>
      </w:pPr>
      <w:r w:rsidRPr="00165BAD">
        <w:rPr>
          <w:rFonts w:ascii="Times New Roman" w:hAnsi="Times New Roman" w:cs="Times New Roman"/>
          <w:sz w:val="24"/>
          <w:szCs w:val="24"/>
        </w:rPr>
        <w:t>How did your illness impact your daily activities and responsibilities?</w:t>
      </w:r>
    </w:p>
    <w:p w14:paraId="6A49FA07" w14:textId="77777777" w:rsidR="00E554AA" w:rsidRPr="00E838B7" w:rsidRDefault="00E554AA" w:rsidP="00165BAD">
      <w:pPr>
        <w:pStyle w:val="a3"/>
        <w:spacing w:line="480" w:lineRule="auto"/>
        <w:ind w:hanging="720"/>
        <w:rPr>
          <w:rFonts w:ascii="Times New Roman" w:hAnsi="Times New Roman" w:cs="Times New Roman"/>
          <w:sz w:val="24"/>
          <w:szCs w:val="24"/>
        </w:rPr>
      </w:pPr>
      <w:r w:rsidRPr="00E838B7">
        <w:rPr>
          <w:rFonts w:ascii="Times New Roman" w:hAnsi="Times New Roman" w:cs="Times New Roman"/>
          <w:sz w:val="24"/>
          <w:szCs w:val="24"/>
        </w:rPr>
        <w:t>2.</w:t>
      </w:r>
      <w:r w:rsidRPr="00E838B7">
        <w:rPr>
          <w:rFonts w:ascii="Times New Roman" w:hAnsi="Times New Roman" w:cs="Times New Roman"/>
          <w:sz w:val="24"/>
          <w:szCs w:val="24"/>
        </w:rPr>
        <w:tab/>
        <w:t xml:space="preserve">How did the illness impact your work responsibilities? </w:t>
      </w:r>
    </w:p>
    <w:p w14:paraId="3309DDD9" w14:textId="77777777" w:rsidR="00E554AA" w:rsidRPr="00E838B7" w:rsidRDefault="00E554AA" w:rsidP="00165BAD">
      <w:pPr>
        <w:pStyle w:val="a3"/>
        <w:spacing w:line="480" w:lineRule="auto"/>
        <w:ind w:hanging="720"/>
        <w:rPr>
          <w:rFonts w:ascii="Times New Roman" w:hAnsi="Times New Roman" w:cs="Times New Roman"/>
          <w:sz w:val="24"/>
          <w:szCs w:val="24"/>
        </w:rPr>
      </w:pPr>
      <w:r w:rsidRPr="00E838B7">
        <w:rPr>
          <w:rFonts w:ascii="Times New Roman" w:hAnsi="Times New Roman" w:cs="Times New Roman"/>
          <w:sz w:val="24"/>
          <w:szCs w:val="24"/>
        </w:rPr>
        <w:tab/>
        <w:t>Probes:</w:t>
      </w:r>
    </w:p>
    <w:p w14:paraId="1C90989D" w14:textId="77777777" w:rsidR="00E554AA" w:rsidRPr="00E838B7" w:rsidRDefault="00E554AA" w:rsidP="00165BAD">
      <w:pPr>
        <w:pStyle w:val="a3"/>
        <w:numPr>
          <w:ilvl w:val="0"/>
          <w:numId w:val="3"/>
        </w:numPr>
        <w:spacing w:after="200" w:line="480" w:lineRule="auto"/>
        <w:ind w:left="1080"/>
        <w:rPr>
          <w:rFonts w:ascii="Times New Roman" w:hAnsi="Times New Roman" w:cs="Times New Roman"/>
          <w:sz w:val="24"/>
          <w:szCs w:val="24"/>
        </w:rPr>
      </w:pPr>
      <w:r w:rsidRPr="00E838B7">
        <w:rPr>
          <w:rFonts w:ascii="Times New Roman" w:hAnsi="Times New Roman" w:cs="Times New Roman"/>
          <w:sz w:val="24"/>
          <w:szCs w:val="24"/>
        </w:rPr>
        <w:t xml:space="preserve">When did you first suspect you were ill and was this at work or outside of work?  </w:t>
      </w:r>
    </w:p>
    <w:p w14:paraId="723B7D26" w14:textId="77777777" w:rsidR="00E554AA" w:rsidRPr="00E838B7" w:rsidRDefault="00E554AA" w:rsidP="00165BAD">
      <w:pPr>
        <w:pStyle w:val="a3"/>
        <w:numPr>
          <w:ilvl w:val="0"/>
          <w:numId w:val="3"/>
        </w:numPr>
        <w:spacing w:after="200" w:line="480" w:lineRule="auto"/>
        <w:ind w:left="1080"/>
        <w:rPr>
          <w:rFonts w:ascii="Times New Roman" w:hAnsi="Times New Roman" w:cs="Times New Roman"/>
          <w:sz w:val="24"/>
          <w:szCs w:val="24"/>
        </w:rPr>
      </w:pPr>
      <w:r w:rsidRPr="00E838B7">
        <w:rPr>
          <w:rFonts w:ascii="Times New Roman" w:hAnsi="Times New Roman" w:cs="Times New Roman"/>
          <w:sz w:val="24"/>
          <w:szCs w:val="24"/>
        </w:rPr>
        <w:t>Did you miss work or reschedule work hours due to the illness?</w:t>
      </w:r>
    </w:p>
    <w:p w14:paraId="6F3D0AE5" w14:textId="77777777" w:rsidR="00E554AA" w:rsidRPr="00E838B7" w:rsidRDefault="00E554AA" w:rsidP="00165BAD">
      <w:pPr>
        <w:pStyle w:val="a3"/>
        <w:numPr>
          <w:ilvl w:val="0"/>
          <w:numId w:val="3"/>
        </w:numPr>
        <w:spacing w:after="200" w:line="480" w:lineRule="auto"/>
        <w:ind w:left="1080"/>
        <w:rPr>
          <w:rFonts w:ascii="Times New Roman" w:hAnsi="Times New Roman" w:cs="Times New Roman"/>
          <w:sz w:val="24"/>
          <w:szCs w:val="24"/>
        </w:rPr>
      </w:pPr>
      <w:r w:rsidRPr="00E838B7">
        <w:rPr>
          <w:rFonts w:ascii="Times New Roman" w:hAnsi="Times New Roman" w:cs="Times New Roman"/>
          <w:sz w:val="24"/>
          <w:szCs w:val="24"/>
        </w:rPr>
        <w:t xml:space="preserve">Did you come to work at all when you were sick? If so, why? </w:t>
      </w:r>
    </w:p>
    <w:p w14:paraId="13D7E935" w14:textId="77777777" w:rsidR="00E554AA" w:rsidRPr="00E838B7" w:rsidRDefault="00E554AA" w:rsidP="00165BAD">
      <w:pPr>
        <w:pStyle w:val="a3"/>
        <w:numPr>
          <w:ilvl w:val="0"/>
          <w:numId w:val="3"/>
        </w:numPr>
        <w:spacing w:after="200" w:line="480" w:lineRule="auto"/>
        <w:ind w:left="1080"/>
        <w:rPr>
          <w:rFonts w:ascii="Times New Roman" w:hAnsi="Times New Roman" w:cs="Times New Roman"/>
          <w:sz w:val="24"/>
          <w:szCs w:val="24"/>
        </w:rPr>
      </w:pPr>
      <w:r w:rsidRPr="00E838B7">
        <w:rPr>
          <w:rFonts w:ascii="Times New Roman" w:hAnsi="Times New Roman" w:cs="Times New Roman"/>
          <w:sz w:val="24"/>
          <w:szCs w:val="24"/>
        </w:rPr>
        <w:t xml:space="preserve">Do you feel pressure not to miss work, even if that means coming to work while sick? If so where does the pressure come from?  </w:t>
      </w:r>
    </w:p>
    <w:p w14:paraId="5D1A4D06" w14:textId="77777777" w:rsidR="00E554AA" w:rsidRPr="00E838B7" w:rsidRDefault="00E554AA" w:rsidP="00165BAD">
      <w:pPr>
        <w:pStyle w:val="a3"/>
        <w:numPr>
          <w:ilvl w:val="0"/>
          <w:numId w:val="3"/>
        </w:numPr>
        <w:spacing w:after="200" w:line="480" w:lineRule="auto"/>
        <w:ind w:left="1080"/>
        <w:rPr>
          <w:rFonts w:ascii="Times New Roman" w:hAnsi="Times New Roman" w:cs="Times New Roman"/>
          <w:sz w:val="24"/>
          <w:szCs w:val="24"/>
        </w:rPr>
      </w:pPr>
      <w:r w:rsidRPr="00E838B7">
        <w:rPr>
          <w:rFonts w:ascii="Times New Roman" w:hAnsi="Times New Roman" w:cs="Times New Roman"/>
          <w:sz w:val="24"/>
          <w:szCs w:val="24"/>
        </w:rPr>
        <w:t>What factors impact your decision to go to work or miss work when you are sick?</w:t>
      </w:r>
    </w:p>
    <w:p w14:paraId="5509D6EA" w14:textId="77777777" w:rsidR="00E554AA" w:rsidRPr="00E838B7" w:rsidRDefault="00E554AA" w:rsidP="00165BAD">
      <w:pPr>
        <w:pStyle w:val="a3"/>
        <w:numPr>
          <w:ilvl w:val="0"/>
          <w:numId w:val="3"/>
        </w:numPr>
        <w:spacing w:after="200" w:line="480" w:lineRule="auto"/>
        <w:ind w:left="1080"/>
        <w:rPr>
          <w:rFonts w:ascii="Times New Roman" w:hAnsi="Times New Roman" w:cs="Times New Roman"/>
          <w:sz w:val="24"/>
          <w:szCs w:val="24"/>
        </w:rPr>
      </w:pPr>
      <w:r w:rsidRPr="00E838B7">
        <w:rPr>
          <w:rFonts w:ascii="Times New Roman" w:hAnsi="Times New Roman" w:cs="Times New Roman"/>
          <w:sz w:val="24"/>
          <w:szCs w:val="24"/>
        </w:rPr>
        <w:t>Does your organization encourage you to go home if you are at work and feel sick with a respiratory illness? How?</w:t>
      </w:r>
    </w:p>
    <w:p w14:paraId="7586B2E2" w14:textId="77777777" w:rsidR="00E554AA" w:rsidRPr="00E838B7" w:rsidRDefault="00E554AA" w:rsidP="00165BAD">
      <w:pPr>
        <w:pStyle w:val="a3"/>
        <w:numPr>
          <w:ilvl w:val="0"/>
          <w:numId w:val="3"/>
        </w:numPr>
        <w:spacing w:after="200" w:line="480" w:lineRule="auto"/>
        <w:ind w:left="1080"/>
        <w:rPr>
          <w:rFonts w:ascii="Times New Roman" w:hAnsi="Times New Roman" w:cs="Times New Roman"/>
          <w:sz w:val="24"/>
          <w:szCs w:val="24"/>
        </w:rPr>
      </w:pPr>
      <w:r w:rsidRPr="00E838B7">
        <w:rPr>
          <w:rFonts w:ascii="Times New Roman" w:hAnsi="Times New Roman" w:cs="Times New Roman"/>
          <w:sz w:val="24"/>
          <w:szCs w:val="24"/>
        </w:rPr>
        <w:lastRenderedPageBreak/>
        <w:t xml:space="preserve">Does your organization discourage you from missing work when you feel sick with a respiratory illness? How? </w:t>
      </w:r>
    </w:p>
    <w:p w14:paraId="76F9C199" w14:textId="07C6DAAA" w:rsidR="00E554AA" w:rsidRPr="00165BAD" w:rsidRDefault="00E554AA" w:rsidP="008760EF">
      <w:pPr>
        <w:pStyle w:val="a3"/>
        <w:numPr>
          <w:ilvl w:val="0"/>
          <w:numId w:val="3"/>
        </w:numPr>
        <w:spacing w:after="200" w:line="480" w:lineRule="auto"/>
        <w:ind w:left="1080"/>
        <w:rPr>
          <w:rFonts w:ascii="Times New Roman" w:hAnsi="Times New Roman" w:cs="Times New Roman"/>
          <w:sz w:val="24"/>
          <w:szCs w:val="24"/>
        </w:rPr>
      </w:pPr>
      <w:r w:rsidRPr="00165BAD">
        <w:rPr>
          <w:rFonts w:ascii="Times New Roman" w:hAnsi="Times New Roman" w:cs="Times New Roman"/>
          <w:sz w:val="24"/>
          <w:szCs w:val="24"/>
        </w:rPr>
        <w:t>On your sickest day, from 0 to 9 (0 being not able to 9 being extremely able), how would you rate your ability to execute your work responsibilities?</w:t>
      </w:r>
    </w:p>
    <w:p w14:paraId="19043275" w14:textId="1323E434" w:rsidR="00E554AA" w:rsidRPr="00E838B7" w:rsidRDefault="00E554AA" w:rsidP="00165BAD">
      <w:pPr>
        <w:pStyle w:val="a3"/>
        <w:spacing w:line="480" w:lineRule="auto"/>
        <w:ind w:hanging="720"/>
        <w:rPr>
          <w:rFonts w:ascii="Times New Roman" w:hAnsi="Times New Roman" w:cs="Times New Roman"/>
          <w:sz w:val="24"/>
          <w:szCs w:val="24"/>
        </w:rPr>
      </w:pPr>
      <w:r w:rsidRPr="00E838B7">
        <w:rPr>
          <w:rFonts w:ascii="Times New Roman" w:hAnsi="Times New Roman" w:cs="Times New Roman"/>
          <w:sz w:val="24"/>
          <w:szCs w:val="24"/>
        </w:rPr>
        <w:t>3.</w:t>
      </w:r>
      <w:r w:rsidRPr="00E838B7">
        <w:rPr>
          <w:rFonts w:ascii="Times New Roman" w:hAnsi="Times New Roman" w:cs="Times New Roman"/>
          <w:sz w:val="24"/>
          <w:szCs w:val="24"/>
        </w:rPr>
        <w:tab/>
        <w:t>Please describe how the respiratory illness impacted your life outside of work and usual activities (at work and at home).</w:t>
      </w:r>
    </w:p>
    <w:p w14:paraId="5110671A" w14:textId="77777777" w:rsidR="00E554AA" w:rsidRPr="00E838B7" w:rsidRDefault="00E554AA" w:rsidP="00165BAD">
      <w:pPr>
        <w:pStyle w:val="a3"/>
        <w:spacing w:line="480" w:lineRule="auto"/>
        <w:ind w:hanging="720"/>
        <w:rPr>
          <w:rFonts w:ascii="Times New Roman" w:hAnsi="Times New Roman" w:cs="Times New Roman"/>
          <w:sz w:val="24"/>
          <w:szCs w:val="24"/>
        </w:rPr>
      </w:pPr>
      <w:r w:rsidRPr="00E838B7">
        <w:rPr>
          <w:rFonts w:ascii="Times New Roman" w:hAnsi="Times New Roman" w:cs="Times New Roman"/>
          <w:sz w:val="24"/>
          <w:szCs w:val="24"/>
        </w:rPr>
        <w:tab/>
        <w:t>Probes:</w:t>
      </w:r>
    </w:p>
    <w:p w14:paraId="7D503DEA" w14:textId="77777777" w:rsidR="00E554AA" w:rsidRPr="00E838B7" w:rsidRDefault="00E554AA" w:rsidP="00165BAD">
      <w:pPr>
        <w:pStyle w:val="a3"/>
        <w:numPr>
          <w:ilvl w:val="0"/>
          <w:numId w:val="4"/>
        </w:numPr>
        <w:spacing w:after="200" w:line="480" w:lineRule="auto"/>
        <w:ind w:left="1170"/>
        <w:rPr>
          <w:rFonts w:ascii="Times New Roman" w:hAnsi="Times New Roman" w:cs="Times New Roman"/>
          <w:sz w:val="24"/>
          <w:szCs w:val="24"/>
        </w:rPr>
      </w:pPr>
      <w:r w:rsidRPr="00E838B7">
        <w:rPr>
          <w:rFonts w:ascii="Times New Roman" w:hAnsi="Times New Roman" w:cs="Times New Roman"/>
          <w:sz w:val="24"/>
          <w:szCs w:val="24"/>
        </w:rPr>
        <w:t>What part of your life was most impacted by your illness?</w:t>
      </w:r>
    </w:p>
    <w:p w14:paraId="0A642250" w14:textId="77777777" w:rsidR="00E554AA" w:rsidRPr="00E838B7" w:rsidRDefault="00E554AA" w:rsidP="00165BAD">
      <w:pPr>
        <w:pStyle w:val="a3"/>
        <w:numPr>
          <w:ilvl w:val="0"/>
          <w:numId w:val="4"/>
        </w:numPr>
        <w:spacing w:after="200" w:line="480" w:lineRule="auto"/>
        <w:ind w:left="1170"/>
        <w:rPr>
          <w:rFonts w:ascii="Times New Roman" w:hAnsi="Times New Roman" w:cs="Times New Roman"/>
          <w:sz w:val="24"/>
          <w:szCs w:val="24"/>
        </w:rPr>
      </w:pPr>
      <w:r w:rsidRPr="00E838B7">
        <w:rPr>
          <w:rFonts w:ascii="Times New Roman" w:hAnsi="Times New Roman" w:cs="Times New Roman"/>
          <w:sz w:val="24"/>
          <w:szCs w:val="24"/>
        </w:rPr>
        <w:t>What usual activities of yours were most impacted by your illness?</w:t>
      </w:r>
    </w:p>
    <w:p w14:paraId="3E85048B" w14:textId="77777777" w:rsidR="00E554AA" w:rsidRPr="00E838B7" w:rsidRDefault="00E554AA" w:rsidP="00165BAD">
      <w:pPr>
        <w:pStyle w:val="a3"/>
        <w:numPr>
          <w:ilvl w:val="0"/>
          <w:numId w:val="4"/>
        </w:numPr>
        <w:spacing w:after="200" w:line="480" w:lineRule="auto"/>
        <w:ind w:left="1170"/>
        <w:rPr>
          <w:rFonts w:ascii="Times New Roman" w:hAnsi="Times New Roman" w:cs="Times New Roman"/>
          <w:sz w:val="24"/>
          <w:szCs w:val="24"/>
        </w:rPr>
      </w:pPr>
      <w:r w:rsidRPr="00E838B7">
        <w:rPr>
          <w:rFonts w:ascii="Times New Roman" w:hAnsi="Times New Roman" w:cs="Times New Roman"/>
          <w:sz w:val="24"/>
          <w:szCs w:val="24"/>
        </w:rPr>
        <w:t>Did any disruption to your home or personal life associated with the illness in turn impact your work responsibilities?</w:t>
      </w:r>
    </w:p>
    <w:p w14:paraId="3E069DF9" w14:textId="2DB7E333" w:rsidR="00E554AA" w:rsidRPr="00165BAD" w:rsidRDefault="00E554AA" w:rsidP="008760EF">
      <w:pPr>
        <w:pStyle w:val="a3"/>
        <w:numPr>
          <w:ilvl w:val="0"/>
          <w:numId w:val="4"/>
        </w:numPr>
        <w:spacing w:after="200" w:line="480" w:lineRule="auto"/>
        <w:ind w:left="1170"/>
        <w:rPr>
          <w:rFonts w:ascii="Times New Roman" w:hAnsi="Times New Roman" w:cs="Times New Roman"/>
          <w:sz w:val="24"/>
          <w:szCs w:val="24"/>
        </w:rPr>
      </w:pPr>
      <w:r w:rsidRPr="00165BAD">
        <w:rPr>
          <w:rFonts w:ascii="Times New Roman" w:hAnsi="Times New Roman" w:cs="Times New Roman"/>
          <w:sz w:val="24"/>
          <w:szCs w:val="24"/>
        </w:rPr>
        <w:t>On your sickest day, from 0 to 9 (0 being not able to 9 being extremely able), how would you rate your ability to execute your responsibilities at home?</w:t>
      </w:r>
    </w:p>
    <w:p w14:paraId="262C21D8" w14:textId="0293DEE4" w:rsidR="00E554AA" w:rsidRPr="00E838B7" w:rsidRDefault="00E554AA" w:rsidP="00165BAD">
      <w:pPr>
        <w:spacing w:after="0" w:line="480" w:lineRule="auto"/>
        <w:ind w:left="720" w:hanging="630"/>
        <w:rPr>
          <w:rFonts w:ascii="Times New Roman" w:hAnsi="Times New Roman" w:cs="Times New Roman"/>
          <w:sz w:val="24"/>
          <w:szCs w:val="24"/>
        </w:rPr>
      </w:pPr>
      <w:r w:rsidRPr="00E838B7">
        <w:rPr>
          <w:rFonts w:ascii="Times New Roman" w:hAnsi="Times New Roman" w:cs="Times New Roman"/>
          <w:sz w:val="24"/>
          <w:szCs w:val="24"/>
        </w:rPr>
        <w:t>4.</w:t>
      </w:r>
      <w:r w:rsidRPr="00E838B7">
        <w:rPr>
          <w:rFonts w:ascii="Times New Roman" w:hAnsi="Times New Roman" w:cs="Times New Roman"/>
          <w:sz w:val="24"/>
          <w:szCs w:val="24"/>
        </w:rPr>
        <w:tab/>
        <w:t xml:space="preserve">Will your recent respiratory illness this year affect your decision to get or not get the influenza vaccine in general?  </w:t>
      </w:r>
    </w:p>
    <w:p w14:paraId="061B2640" w14:textId="77777777" w:rsidR="00E554AA" w:rsidRPr="00E838B7" w:rsidRDefault="00E554AA" w:rsidP="00165BAD">
      <w:pPr>
        <w:spacing w:line="480" w:lineRule="auto"/>
        <w:ind w:left="720" w:hanging="720"/>
        <w:rPr>
          <w:rFonts w:ascii="Times New Roman" w:hAnsi="Times New Roman" w:cs="Times New Roman"/>
          <w:sz w:val="24"/>
          <w:szCs w:val="24"/>
        </w:rPr>
      </w:pPr>
      <w:r w:rsidRPr="00E838B7">
        <w:rPr>
          <w:rFonts w:ascii="Times New Roman" w:hAnsi="Times New Roman" w:cs="Times New Roman"/>
          <w:sz w:val="24"/>
          <w:szCs w:val="24"/>
        </w:rPr>
        <w:tab/>
        <w:t>Probes:</w:t>
      </w:r>
    </w:p>
    <w:p w14:paraId="5A97235D" w14:textId="77777777" w:rsidR="00E554AA" w:rsidRPr="00E838B7" w:rsidRDefault="00E554AA" w:rsidP="00165BAD">
      <w:pPr>
        <w:pStyle w:val="a3"/>
        <w:numPr>
          <w:ilvl w:val="0"/>
          <w:numId w:val="5"/>
        </w:numPr>
        <w:spacing w:after="0" w:line="480" w:lineRule="auto"/>
        <w:ind w:left="1170"/>
        <w:rPr>
          <w:rFonts w:ascii="Times New Roman" w:hAnsi="Times New Roman" w:cs="Times New Roman"/>
          <w:sz w:val="24"/>
          <w:szCs w:val="24"/>
        </w:rPr>
      </w:pPr>
      <w:r w:rsidRPr="00E838B7">
        <w:rPr>
          <w:rFonts w:ascii="Times New Roman" w:hAnsi="Times New Roman" w:cs="Times New Roman"/>
          <w:sz w:val="24"/>
          <w:szCs w:val="24"/>
        </w:rPr>
        <w:t>Does the fact that your recent respiratory sample from the study was positive for flu [if infected]/negative for flu [if not infected] this season change your opinion on influenza and influenza vaccination? How about the results from your respiratory specimen from last year (if applicable)?</w:t>
      </w:r>
    </w:p>
    <w:p w14:paraId="733496E0" w14:textId="77777777" w:rsidR="00E554AA" w:rsidRPr="00E838B7" w:rsidRDefault="00E554AA" w:rsidP="00165BAD">
      <w:pPr>
        <w:pStyle w:val="a3"/>
        <w:numPr>
          <w:ilvl w:val="0"/>
          <w:numId w:val="7"/>
        </w:numPr>
        <w:spacing w:after="0" w:line="480" w:lineRule="auto"/>
        <w:ind w:left="1170"/>
        <w:rPr>
          <w:rFonts w:ascii="Times New Roman" w:hAnsi="Times New Roman" w:cs="Times New Roman"/>
          <w:sz w:val="24"/>
          <w:szCs w:val="24"/>
        </w:rPr>
      </w:pPr>
      <w:r w:rsidRPr="00E838B7">
        <w:rPr>
          <w:rFonts w:ascii="Times New Roman" w:hAnsi="Times New Roman" w:cs="Times New Roman"/>
          <w:sz w:val="24"/>
          <w:szCs w:val="24"/>
        </w:rPr>
        <w:t>Did you get vaccinated before this influenza season? Will you get vaccinated next year?</w:t>
      </w:r>
    </w:p>
    <w:p w14:paraId="438D0563" w14:textId="77777777" w:rsidR="00E554AA" w:rsidRPr="00E838B7" w:rsidRDefault="00E554AA" w:rsidP="00165BAD">
      <w:pPr>
        <w:pStyle w:val="a3"/>
        <w:numPr>
          <w:ilvl w:val="0"/>
          <w:numId w:val="7"/>
        </w:numPr>
        <w:spacing w:after="0" w:line="480" w:lineRule="auto"/>
        <w:ind w:left="1170"/>
        <w:rPr>
          <w:rFonts w:ascii="Times New Roman" w:hAnsi="Times New Roman" w:cs="Times New Roman"/>
          <w:sz w:val="24"/>
          <w:szCs w:val="24"/>
        </w:rPr>
      </w:pPr>
      <w:r w:rsidRPr="00E838B7">
        <w:rPr>
          <w:rFonts w:ascii="Times New Roman" w:hAnsi="Times New Roman" w:cs="Times New Roman"/>
          <w:sz w:val="24"/>
          <w:szCs w:val="24"/>
        </w:rPr>
        <w:lastRenderedPageBreak/>
        <w:t>Is your decision to get vaccinated against influenza impacted by your recent illness and/or influenza infection this year or last year?</w:t>
      </w:r>
    </w:p>
    <w:p w14:paraId="1414841B" w14:textId="77777777" w:rsidR="00E554AA" w:rsidRPr="00E838B7" w:rsidRDefault="00E554AA" w:rsidP="00165BAD">
      <w:pPr>
        <w:pStyle w:val="a3"/>
        <w:numPr>
          <w:ilvl w:val="0"/>
          <w:numId w:val="7"/>
        </w:numPr>
        <w:spacing w:after="0" w:line="480" w:lineRule="auto"/>
        <w:ind w:left="1170"/>
        <w:rPr>
          <w:rFonts w:ascii="Times New Roman" w:hAnsi="Times New Roman" w:cs="Times New Roman"/>
          <w:sz w:val="24"/>
          <w:szCs w:val="24"/>
        </w:rPr>
      </w:pPr>
      <w:r w:rsidRPr="00E838B7">
        <w:rPr>
          <w:rFonts w:ascii="Times New Roman" w:hAnsi="Times New Roman" w:cs="Times New Roman"/>
          <w:sz w:val="24"/>
          <w:szCs w:val="24"/>
        </w:rPr>
        <w:t>What are the reasons why you chose to get vaccinated (or not vaccinated) with the flu vaccine this season?</w:t>
      </w:r>
    </w:p>
    <w:p w14:paraId="721CAAD1" w14:textId="77777777" w:rsidR="00E554AA" w:rsidRPr="00E838B7" w:rsidRDefault="00E554AA" w:rsidP="00165BAD">
      <w:pPr>
        <w:pStyle w:val="a3"/>
        <w:numPr>
          <w:ilvl w:val="0"/>
          <w:numId w:val="7"/>
        </w:numPr>
        <w:spacing w:after="0" w:line="480" w:lineRule="auto"/>
        <w:ind w:left="1170"/>
        <w:rPr>
          <w:rFonts w:ascii="Times New Roman" w:hAnsi="Times New Roman" w:cs="Times New Roman"/>
          <w:sz w:val="24"/>
          <w:szCs w:val="24"/>
        </w:rPr>
      </w:pPr>
      <w:r w:rsidRPr="00E838B7">
        <w:rPr>
          <w:rFonts w:ascii="Times New Roman" w:hAnsi="Times New Roman" w:cs="Times New Roman"/>
          <w:sz w:val="24"/>
          <w:szCs w:val="24"/>
        </w:rPr>
        <w:t xml:space="preserve">How did your recent illness last year (if you were ill) compare with your illness experience this year? </w:t>
      </w:r>
    </w:p>
    <w:p w14:paraId="221C789F" w14:textId="7DDA8F9D" w:rsidR="00E554AA" w:rsidRDefault="00E554AA" w:rsidP="00FF008A">
      <w:pPr>
        <w:rPr>
          <w:rFonts w:ascii="Times New Roman" w:hAnsi="Times New Roman" w:cs="Times New Roman"/>
          <w:b/>
          <w:sz w:val="32"/>
          <w:szCs w:val="32"/>
          <w:u w:val="single"/>
          <w:lang w:bidi="he-IL"/>
        </w:rPr>
      </w:pPr>
    </w:p>
    <w:p w14:paraId="44C4827B" w14:textId="770A4FE1" w:rsidR="00165BAD" w:rsidRDefault="00165BAD" w:rsidP="00FF008A">
      <w:pPr>
        <w:rPr>
          <w:rFonts w:ascii="Times New Roman" w:hAnsi="Times New Roman" w:cs="Times New Roman"/>
          <w:b/>
          <w:sz w:val="24"/>
          <w:szCs w:val="24"/>
          <w:u w:val="single"/>
          <w:lang w:bidi="he-IL"/>
        </w:rPr>
      </w:pPr>
    </w:p>
    <w:p w14:paraId="61A7562F" w14:textId="6BA23532" w:rsidR="004A4C18" w:rsidRDefault="004A4C18" w:rsidP="00FF008A">
      <w:pPr>
        <w:rPr>
          <w:rFonts w:ascii="Times New Roman" w:hAnsi="Times New Roman" w:cs="Times New Roman"/>
          <w:b/>
          <w:sz w:val="24"/>
          <w:szCs w:val="24"/>
          <w:u w:val="single"/>
          <w:lang w:bidi="he-IL"/>
        </w:rPr>
      </w:pPr>
    </w:p>
    <w:p w14:paraId="48DF9D20" w14:textId="459BA612" w:rsidR="004A4C18" w:rsidRDefault="004A4C18" w:rsidP="00FF008A">
      <w:pPr>
        <w:rPr>
          <w:rFonts w:ascii="Times New Roman" w:hAnsi="Times New Roman" w:cs="Times New Roman"/>
          <w:b/>
          <w:sz w:val="24"/>
          <w:szCs w:val="24"/>
          <w:u w:val="single"/>
          <w:lang w:bidi="he-IL"/>
        </w:rPr>
      </w:pPr>
    </w:p>
    <w:p w14:paraId="7F3EEB62" w14:textId="2BD90F8E" w:rsidR="004A4C18" w:rsidRDefault="004A4C18" w:rsidP="00FF008A">
      <w:pPr>
        <w:rPr>
          <w:rFonts w:ascii="Times New Roman" w:hAnsi="Times New Roman" w:cs="Times New Roman"/>
          <w:b/>
          <w:sz w:val="24"/>
          <w:szCs w:val="24"/>
          <w:u w:val="single"/>
          <w:lang w:bidi="he-IL"/>
        </w:rPr>
      </w:pPr>
    </w:p>
    <w:p w14:paraId="4136854A" w14:textId="63A44564" w:rsidR="004A4C18" w:rsidRDefault="004A4C18" w:rsidP="00FF008A">
      <w:pPr>
        <w:rPr>
          <w:rFonts w:ascii="Times New Roman" w:hAnsi="Times New Roman" w:cs="Times New Roman"/>
          <w:b/>
          <w:sz w:val="24"/>
          <w:szCs w:val="24"/>
          <w:u w:val="single"/>
          <w:lang w:bidi="he-IL"/>
        </w:rPr>
      </w:pPr>
    </w:p>
    <w:p w14:paraId="3007018B" w14:textId="17D300C6" w:rsidR="004A4C18" w:rsidRDefault="004A4C18" w:rsidP="00FF008A">
      <w:pPr>
        <w:rPr>
          <w:rFonts w:ascii="Times New Roman" w:hAnsi="Times New Roman" w:cs="Times New Roman"/>
          <w:b/>
          <w:sz w:val="24"/>
          <w:szCs w:val="24"/>
          <w:u w:val="single"/>
          <w:lang w:bidi="he-IL"/>
        </w:rPr>
      </w:pPr>
    </w:p>
    <w:p w14:paraId="14D16627" w14:textId="40489ED0" w:rsidR="004A4C18" w:rsidRDefault="004A4C18" w:rsidP="00FF008A">
      <w:pPr>
        <w:rPr>
          <w:rFonts w:ascii="Times New Roman" w:hAnsi="Times New Roman" w:cs="Times New Roman"/>
          <w:b/>
          <w:sz w:val="24"/>
          <w:szCs w:val="24"/>
          <w:u w:val="single"/>
          <w:lang w:bidi="he-IL"/>
        </w:rPr>
      </w:pPr>
    </w:p>
    <w:p w14:paraId="3D0177B1" w14:textId="7C598AE1" w:rsidR="004A4C18" w:rsidRDefault="004A4C18" w:rsidP="00FF008A">
      <w:pPr>
        <w:rPr>
          <w:rFonts w:ascii="Times New Roman" w:hAnsi="Times New Roman" w:cs="Times New Roman"/>
          <w:b/>
          <w:sz w:val="24"/>
          <w:szCs w:val="24"/>
          <w:u w:val="single"/>
          <w:lang w:bidi="he-IL"/>
        </w:rPr>
      </w:pPr>
    </w:p>
    <w:p w14:paraId="1231C1D1" w14:textId="19E52DF1" w:rsidR="004A4C18" w:rsidRDefault="004A4C18" w:rsidP="00FF008A">
      <w:pPr>
        <w:rPr>
          <w:rFonts w:ascii="Times New Roman" w:hAnsi="Times New Roman" w:cs="Times New Roman"/>
          <w:b/>
          <w:sz w:val="24"/>
          <w:szCs w:val="24"/>
          <w:u w:val="single"/>
          <w:lang w:bidi="he-IL"/>
        </w:rPr>
      </w:pPr>
    </w:p>
    <w:p w14:paraId="0820472D" w14:textId="59574DE8" w:rsidR="004A4C18" w:rsidRDefault="004A4C18" w:rsidP="00FF008A">
      <w:pPr>
        <w:rPr>
          <w:rFonts w:ascii="Times New Roman" w:hAnsi="Times New Roman" w:cs="Times New Roman"/>
          <w:b/>
          <w:sz w:val="24"/>
          <w:szCs w:val="24"/>
          <w:u w:val="single"/>
          <w:lang w:bidi="he-IL"/>
        </w:rPr>
      </w:pPr>
    </w:p>
    <w:p w14:paraId="05549ED7" w14:textId="1A5E649E" w:rsidR="004A4C18" w:rsidRDefault="004A4C18" w:rsidP="00FF008A">
      <w:pPr>
        <w:rPr>
          <w:rFonts w:ascii="Times New Roman" w:hAnsi="Times New Roman" w:cs="Times New Roman"/>
          <w:b/>
          <w:sz w:val="24"/>
          <w:szCs w:val="24"/>
          <w:u w:val="single"/>
          <w:lang w:bidi="he-IL"/>
        </w:rPr>
      </w:pPr>
    </w:p>
    <w:p w14:paraId="3246B1F4" w14:textId="5D25AC17" w:rsidR="004A4C18" w:rsidRDefault="004A4C18" w:rsidP="00FF008A">
      <w:pPr>
        <w:rPr>
          <w:rFonts w:ascii="Times New Roman" w:hAnsi="Times New Roman" w:cs="Times New Roman"/>
          <w:b/>
          <w:sz w:val="24"/>
          <w:szCs w:val="24"/>
          <w:u w:val="single"/>
          <w:lang w:bidi="he-IL"/>
        </w:rPr>
      </w:pPr>
    </w:p>
    <w:p w14:paraId="0947CF04" w14:textId="22DD8C12" w:rsidR="004A4C18" w:rsidRDefault="004A4C18" w:rsidP="00FF008A">
      <w:pPr>
        <w:rPr>
          <w:rFonts w:ascii="Times New Roman" w:hAnsi="Times New Roman" w:cs="Times New Roman"/>
          <w:b/>
          <w:sz w:val="24"/>
          <w:szCs w:val="24"/>
          <w:u w:val="single"/>
          <w:lang w:bidi="he-IL"/>
        </w:rPr>
      </w:pPr>
    </w:p>
    <w:p w14:paraId="28534A2F" w14:textId="1E51B708" w:rsidR="004A4C18" w:rsidRDefault="004A4C18" w:rsidP="00FF008A">
      <w:pPr>
        <w:rPr>
          <w:rFonts w:ascii="Times New Roman" w:hAnsi="Times New Roman" w:cs="Times New Roman"/>
          <w:b/>
          <w:sz w:val="24"/>
          <w:szCs w:val="24"/>
          <w:u w:val="single"/>
          <w:lang w:bidi="he-IL"/>
        </w:rPr>
      </w:pPr>
    </w:p>
    <w:p w14:paraId="3FE76C19" w14:textId="2C2ACBC8" w:rsidR="004A4C18" w:rsidRDefault="004A4C18" w:rsidP="00FF008A">
      <w:pPr>
        <w:rPr>
          <w:rFonts w:ascii="Times New Roman" w:hAnsi="Times New Roman" w:cs="Times New Roman"/>
          <w:b/>
          <w:sz w:val="24"/>
          <w:szCs w:val="24"/>
          <w:u w:val="single"/>
          <w:lang w:bidi="he-IL"/>
        </w:rPr>
      </w:pPr>
    </w:p>
    <w:p w14:paraId="00D88330" w14:textId="0D2D7F83" w:rsidR="004A4C18" w:rsidRDefault="004A4C18" w:rsidP="00FF008A">
      <w:pPr>
        <w:rPr>
          <w:rFonts w:ascii="Times New Roman" w:hAnsi="Times New Roman" w:cs="Times New Roman"/>
          <w:b/>
          <w:sz w:val="24"/>
          <w:szCs w:val="24"/>
          <w:u w:val="single"/>
          <w:lang w:bidi="he-IL"/>
        </w:rPr>
      </w:pPr>
    </w:p>
    <w:p w14:paraId="25818B7A" w14:textId="75D07FDA" w:rsidR="004A4C18" w:rsidRDefault="004A4C18" w:rsidP="00FF008A">
      <w:pPr>
        <w:rPr>
          <w:rFonts w:ascii="Times New Roman" w:hAnsi="Times New Roman" w:cs="Times New Roman"/>
          <w:b/>
          <w:sz w:val="24"/>
          <w:szCs w:val="24"/>
          <w:u w:val="single"/>
          <w:lang w:bidi="he-IL"/>
        </w:rPr>
      </w:pPr>
    </w:p>
    <w:p w14:paraId="5AC5BD0D" w14:textId="6EF27EB3" w:rsidR="004A4C18" w:rsidRDefault="004A4C18" w:rsidP="00FF008A">
      <w:pPr>
        <w:rPr>
          <w:rFonts w:ascii="Times New Roman" w:hAnsi="Times New Roman" w:cs="Times New Roman"/>
          <w:b/>
          <w:sz w:val="24"/>
          <w:szCs w:val="24"/>
          <w:u w:val="single"/>
          <w:lang w:bidi="he-IL"/>
        </w:rPr>
      </w:pPr>
    </w:p>
    <w:p w14:paraId="67F39734" w14:textId="77777777" w:rsidR="004A4C18" w:rsidRDefault="004A4C18" w:rsidP="00FF008A">
      <w:pPr>
        <w:rPr>
          <w:rFonts w:ascii="Times New Roman" w:hAnsi="Times New Roman" w:cs="Times New Roman"/>
          <w:b/>
          <w:sz w:val="24"/>
          <w:szCs w:val="24"/>
          <w:u w:val="single"/>
          <w:lang w:bidi="he-IL"/>
        </w:rPr>
      </w:pPr>
    </w:p>
    <w:p w14:paraId="394C3CFC" w14:textId="117BEC8E" w:rsidR="00B10828" w:rsidRPr="00E554AA" w:rsidRDefault="00E554AA" w:rsidP="00E554AA">
      <w:pPr>
        <w:rPr>
          <w:rFonts w:ascii="Times New Roman" w:hAnsi="Times New Roman" w:cs="Times New Roman"/>
          <w:b/>
          <w:sz w:val="24"/>
          <w:szCs w:val="24"/>
          <w:u w:val="single"/>
          <w:lang w:bidi="he-IL"/>
        </w:rPr>
      </w:pPr>
      <w:r w:rsidRPr="00FF008A">
        <w:rPr>
          <w:rFonts w:ascii="Times New Roman" w:hAnsi="Times New Roman" w:cs="Times New Roman"/>
          <w:b/>
          <w:sz w:val="24"/>
          <w:szCs w:val="24"/>
          <w:u w:val="single"/>
          <w:lang w:bidi="he-IL"/>
        </w:rPr>
        <w:lastRenderedPageBreak/>
        <w:t>A</w:t>
      </w:r>
      <w:r w:rsidR="0083497E">
        <w:rPr>
          <w:rFonts w:ascii="Times New Roman" w:hAnsi="Times New Roman" w:cs="Times New Roman"/>
          <w:b/>
          <w:sz w:val="24"/>
          <w:szCs w:val="24"/>
          <w:u w:val="single"/>
          <w:lang w:bidi="he-IL"/>
        </w:rPr>
        <w:t xml:space="preserve">nnex </w:t>
      </w:r>
      <w:r w:rsidR="00410943" w:rsidRPr="00410943">
        <w:rPr>
          <w:rFonts w:ascii="Times New Roman" w:hAnsi="Times New Roman" w:cs="Times New Roman"/>
          <w:b/>
          <w:sz w:val="28"/>
          <w:szCs w:val="28"/>
          <w:u w:val="single"/>
          <w:lang w:bidi="he-IL"/>
        </w:rPr>
        <w:t xml:space="preserve">6 </w:t>
      </w:r>
      <w:r>
        <w:rPr>
          <w:rFonts w:ascii="Times New Roman" w:hAnsi="Times New Roman" w:cs="Times New Roman"/>
          <w:b/>
          <w:sz w:val="32"/>
          <w:szCs w:val="32"/>
          <w:u w:val="single"/>
          <w:lang w:bidi="he-IL"/>
        </w:rPr>
        <w:t xml:space="preserve">- </w:t>
      </w:r>
      <w:proofErr w:type="spellStart"/>
      <w:r w:rsidRPr="00E554AA">
        <w:rPr>
          <w:rFonts w:ascii="Times New Roman" w:hAnsi="Times New Roman" w:cs="Times New Roman"/>
          <w:b/>
          <w:sz w:val="24"/>
          <w:szCs w:val="24"/>
          <w:u w:val="single"/>
          <w:lang w:bidi="he-IL"/>
        </w:rPr>
        <w:t>T</w:t>
      </w:r>
      <w:r w:rsidR="00B10828" w:rsidRPr="00E554AA">
        <w:rPr>
          <w:rFonts w:ascii="Times New Roman" w:hAnsi="Times New Roman" w:cs="Times New Roman"/>
          <w:b/>
          <w:sz w:val="24"/>
          <w:szCs w:val="24"/>
          <w:u w:val="single"/>
          <w:lang w:bidi="he-IL"/>
        </w:rPr>
        <w:t>extIt</w:t>
      </w:r>
      <w:proofErr w:type="spellEnd"/>
    </w:p>
    <w:p w14:paraId="3CCC657D" w14:textId="77777777" w:rsidR="002449F4" w:rsidRPr="00E554AA" w:rsidRDefault="00E838B7" w:rsidP="00E554AA">
      <w:pPr>
        <w:rPr>
          <w:rFonts w:asciiTheme="majorBidi" w:hAnsiTheme="majorBidi" w:cstheme="majorBidi"/>
          <w:b/>
          <w:bCs/>
          <w:sz w:val="24"/>
          <w:szCs w:val="24"/>
        </w:rPr>
      </w:pPr>
      <w:r w:rsidRPr="00E554AA">
        <w:rPr>
          <w:rFonts w:asciiTheme="majorBidi" w:hAnsiTheme="majorBidi" w:cstheme="majorBidi"/>
          <w:b/>
          <w:bCs/>
          <w:sz w:val="24"/>
          <w:szCs w:val="24"/>
        </w:rPr>
        <w:t>Technology Overview</w:t>
      </w:r>
    </w:p>
    <w:p w14:paraId="085E535E" w14:textId="77777777" w:rsidR="002449F4" w:rsidRPr="00302C1F" w:rsidRDefault="002449F4" w:rsidP="00165BAD">
      <w:pPr>
        <w:spacing w:line="480" w:lineRule="auto"/>
        <w:rPr>
          <w:rFonts w:ascii="Times New Roman" w:hAnsi="Times New Roman" w:cs="Times New Roman"/>
          <w:sz w:val="24"/>
          <w:szCs w:val="24"/>
        </w:rPr>
      </w:pPr>
      <w:r>
        <w:rPr>
          <w:rFonts w:ascii="Times New Roman" w:hAnsi="Times New Roman" w:cs="Times New Roman"/>
          <w:sz w:val="24"/>
          <w:szCs w:val="24"/>
        </w:rPr>
        <w:t>A platform was</w:t>
      </w:r>
      <w:r w:rsidRPr="00302C1F">
        <w:rPr>
          <w:rFonts w:ascii="Times New Roman" w:hAnsi="Times New Roman" w:cs="Times New Roman"/>
          <w:sz w:val="24"/>
          <w:szCs w:val="24"/>
        </w:rPr>
        <w:t xml:space="preserve"> designed and developed to conduct</w:t>
      </w:r>
      <w:r>
        <w:rPr>
          <w:rFonts w:ascii="Times New Roman" w:hAnsi="Times New Roman" w:cs="Times New Roman"/>
          <w:sz w:val="24"/>
          <w:szCs w:val="24"/>
        </w:rPr>
        <w:t xml:space="preserve"> routine influenza-like-illness </w:t>
      </w:r>
      <w:r w:rsidRPr="00302C1F">
        <w:rPr>
          <w:rFonts w:ascii="Times New Roman" w:hAnsi="Times New Roman" w:cs="Times New Roman"/>
          <w:sz w:val="24"/>
          <w:szCs w:val="24"/>
        </w:rPr>
        <w:t>surveillance via SMS messaging to support the longitudinal data collection needs</w:t>
      </w:r>
      <w:r>
        <w:rPr>
          <w:rFonts w:ascii="Times New Roman" w:hAnsi="Times New Roman" w:cs="Times New Roman"/>
          <w:sz w:val="24"/>
          <w:szCs w:val="24"/>
        </w:rPr>
        <w:t xml:space="preserve">. Built on the </w:t>
      </w:r>
      <w:proofErr w:type="spellStart"/>
      <w:r>
        <w:rPr>
          <w:rFonts w:ascii="Times New Roman" w:hAnsi="Times New Roman" w:cs="Times New Roman"/>
          <w:sz w:val="24"/>
          <w:szCs w:val="24"/>
        </w:rPr>
        <w:t>TextIt</w:t>
      </w:r>
      <w:proofErr w:type="spellEnd"/>
      <w:r>
        <w:rPr>
          <w:rFonts w:ascii="Times New Roman" w:hAnsi="Times New Roman" w:cs="Times New Roman"/>
          <w:sz w:val="24"/>
          <w:szCs w:val="24"/>
        </w:rPr>
        <w:t xml:space="preserve"> platform,</w:t>
      </w:r>
      <w:r w:rsidRPr="00302C1F">
        <w:rPr>
          <w:rFonts w:ascii="Times New Roman" w:hAnsi="Times New Roman" w:cs="Times New Roman"/>
          <w:sz w:val="24"/>
          <w:szCs w:val="24"/>
        </w:rPr>
        <w:t xml:space="preserve"> logic messaging flows</w:t>
      </w:r>
      <w:r>
        <w:rPr>
          <w:rFonts w:ascii="Times New Roman" w:hAnsi="Times New Roman" w:cs="Times New Roman"/>
          <w:sz w:val="24"/>
          <w:szCs w:val="24"/>
        </w:rPr>
        <w:t xml:space="preserve"> were constructed</w:t>
      </w:r>
      <w:r w:rsidRPr="00302C1F">
        <w:rPr>
          <w:rFonts w:ascii="Times New Roman" w:hAnsi="Times New Roman" w:cs="Times New Roman"/>
          <w:sz w:val="24"/>
          <w:szCs w:val="24"/>
        </w:rPr>
        <w:t xml:space="preserve"> that track illness events, provide personalized reminders to participants, and alert study staff of critical events and participants’ needs through automated emails. Based on participant responses, the system saves key variables to a participan</w:t>
      </w:r>
      <w:r>
        <w:rPr>
          <w:rFonts w:ascii="Times New Roman" w:hAnsi="Times New Roman" w:cs="Times New Roman"/>
          <w:sz w:val="24"/>
          <w:szCs w:val="24"/>
        </w:rPr>
        <w:t xml:space="preserve">ts’ contact profile on the </w:t>
      </w:r>
      <w:proofErr w:type="spellStart"/>
      <w:r>
        <w:rPr>
          <w:rFonts w:ascii="Times New Roman" w:hAnsi="Times New Roman" w:cs="Times New Roman"/>
          <w:sz w:val="24"/>
          <w:szCs w:val="24"/>
        </w:rPr>
        <w:t>TextI</w:t>
      </w:r>
      <w:r w:rsidRPr="00302C1F">
        <w:rPr>
          <w:rFonts w:ascii="Times New Roman" w:hAnsi="Times New Roman" w:cs="Times New Roman"/>
          <w:sz w:val="24"/>
          <w:szCs w:val="24"/>
        </w:rPr>
        <w:t>t</w:t>
      </w:r>
      <w:proofErr w:type="spellEnd"/>
      <w:r w:rsidRPr="00302C1F">
        <w:rPr>
          <w:rFonts w:ascii="Times New Roman" w:hAnsi="Times New Roman" w:cs="Times New Roman"/>
          <w:sz w:val="24"/>
          <w:szCs w:val="24"/>
        </w:rPr>
        <w:t xml:space="preserve"> platform, such as date of reported illness.  The system then generates customized follow-up messages based on these unique variables in order to track each participant’s duration of illness. Routine data exports are conducted by in-country staff and imported into macro-enabled Excel workbook tools for capture of key variables. For impl</w:t>
      </w:r>
      <w:r>
        <w:rPr>
          <w:rFonts w:ascii="Times New Roman" w:hAnsi="Times New Roman" w:cs="Times New Roman"/>
          <w:sz w:val="24"/>
          <w:szCs w:val="24"/>
        </w:rPr>
        <w:t>ementation of SMS surveillance</w:t>
      </w:r>
      <w:r w:rsidRPr="00302C1F">
        <w:rPr>
          <w:rFonts w:ascii="Times New Roman" w:hAnsi="Times New Roman" w:cs="Times New Roman"/>
          <w:sz w:val="24"/>
          <w:szCs w:val="24"/>
        </w:rPr>
        <w:t>, Twilio long virtual numbers were purchased to support message send</w:t>
      </w:r>
      <w:r>
        <w:rPr>
          <w:rFonts w:ascii="Times New Roman" w:hAnsi="Times New Roman" w:cs="Times New Roman"/>
          <w:sz w:val="24"/>
          <w:szCs w:val="24"/>
        </w:rPr>
        <w:t xml:space="preserve">ing and receiving from the </w:t>
      </w:r>
      <w:proofErr w:type="spellStart"/>
      <w:r>
        <w:rPr>
          <w:rFonts w:ascii="Times New Roman" w:hAnsi="Times New Roman" w:cs="Times New Roman"/>
          <w:sz w:val="24"/>
          <w:szCs w:val="24"/>
        </w:rPr>
        <w:t>TextI</w:t>
      </w:r>
      <w:r w:rsidRPr="00302C1F">
        <w:rPr>
          <w:rFonts w:ascii="Times New Roman" w:hAnsi="Times New Roman" w:cs="Times New Roman"/>
          <w:sz w:val="24"/>
          <w:szCs w:val="24"/>
        </w:rPr>
        <w:t>t</w:t>
      </w:r>
      <w:proofErr w:type="spellEnd"/>
      <w:r w:rsidRPr="00302C1F">
        <w:rPr>
          <w:rFonts w:ascii="Times New Roman" w:hAnsi="Times New Roman" w:cs="Times New Roman"/>
          <w:sz w:val="24"/>
          <w:szCs w:val="24"/>
        </w:rPr>
        <w:t xml:space="preserve"> platform</w:t>
      </w:r>
      <w:r>
        <w:rPr>
          <w:rFonts w:ascii="Times New Roman" w:hAnsi="Times New Roman" w:cs="Times New Roman"/>
          <w:sz w:val="24"/>
          <w:szCs w:val="24"/>
        </w:rPr>
        <w:t>.</w:t>
      </w:r>
      <w:r w:rsidRPr="00302C1F">
        <w:rPr>
          <w:rFonts w:ascii="Times New Roman" w:hAnsi="Times New Roman" w:cs="Times New Roman"/>
          <w:sz w:val="24"/>
          <w:szCs w:val="24"/>
        </w:rPr>
        <w:t xml:space="preserve"> Twilio </w:t>
      </w:r>
      <w:r w:rsidRPr="00302C1F">
        <w:rPr>
          <w:rStyle w:val="apple-converted-space"/>
          <w:rFonts w:ascii="Times New Roman" w:hAnsi="Times New Roman" w:cs="Times New Roman"/>
          <w:sz w:val="24"/>
          <w:szCs w:val="24"/>
          <w:shd w:val="clear" w:color="auto" w:fill="FFFFFF"/>
        </w:rPr>
        <w:t xml:space="preserve">is a </w:t>
      </w:r>
      <w:r w:rsidRPr="00302C1F">
        <w:rPr>
          <w:rFonts w:ascii="Times New Roman" w:hAnsi="Times New Roman" w:cs="Times New Roman"/>
          <w:sz w:val="24"/>
          <w:szCs w:val="24"/>
          <w:shd w:val="clear" w:color="auto" w:fill="FFFFFF"/>
        </w:rPr>
        <w:t>cloud communications platform as a service (PaaS) company that provides infrastructure APIs for businesses to build scalable, reliable voice and text messaging apps</w:t>
      </w:r>
      <w:r w:rsidRPr="00302C1F">
        <w:rPr>
          <w:rFonts w:ascii="Times New Roman" w:hAnsi="Times New Roman" w:cs="Times New Roman"/>
          <w:sz w:val="24"/>
          <w:szCs w:val="24"/>
        </w:rPr>
        <w:t xml:space="preserve">.  </w:t>
      </w:r>
    </w:p>
    <w:p w14:paraId="25B0E04B" w14:textId="77777777" w:rsidR="002449F4" w:rsidRPr="00302C1F" w:rsidRDefault="002449F4" w:rsidP="00165BAD">
      <w:pPr>
        <w:spacing w:line="480" w:lineRule="auto"/>
        <w:rPr>
          <w:rFonts w:ascii="Times New Roman" w:hAnsi="Times New Roman" w:cs="Times New Roman"/>
          <w:sz w:val="24"/>
          <w:szCs w:val="24"/>
        </w:rPr>
      </w:pPr>
      <w:r w:rsidRPr="00302C1F">
        <w:rPr>
          <w:rFonts w:ascii="Times New Roman" w:hAnsi="Times New Roman" w:cs="Times New Roman"/>
          <w:sz w:val="24"/>
          <w:szCs w:val="24"/>
        </w:rPr>
        <w:t xml:space="preserve">A corresponding database was developed using the </w:t>
      </w:r>
      <w:proofErr w:type="spellStart"/>
      <w:r w:rsidRPr="00302C1F">
        <w:rPr>
          <w:rFonts w:ascii="Times New Roman" w:hAnsi="Times New Roman" w:cs="Times New Roman"/>
          <w:sz w:val="24"/>
          <w:szCs w:val="24"/>
        </w:rPr>
        <w:t>REDCap</w:t>
      </w:r>
      <w:proofErr w:type="spellEnd"/>
      <w:r w:rsidRPr="00302C1F">
        <w:rPr>
          <w:rFonts w:ascii="Times New Roman" w:hAnsi="Times New Roman" w:cs="Times New Roman"/>
          <w:sz w:val="24"/>
          <w:szCs w:val="24"/>
        </w:rPr>
        <w:t xml:space="preserve"> platform in order to collect enrollment and illness data on participants via online interviews and surveys.  In-country data management teams export survey links from </w:t>
      </w:r>
      <w:proofErr w:type="spellStart"/>
      <w:r w:rsidRPr="00302C1F">
        <w:rPr>
          <w:rFonts w:ascii="Times New Roman" w:hAnsi="Times New Roman" w:cs="Times New Roman"/>
          <w:sz w:val="24"/>
          <w:szCs w:val="24"/>
        </w:rPr>
        <w:t>REDCap</w:t>
      </w:r>
      <w:proofErr w:type="spellEnd"/>
      <w:r w:rsidRPr="00302C1F">
        <w:rPr>
          <w:rFonts w:ascii="Times New Roman" w:hAnsi="Times New Roman" w:cs="Times New Roman"/>
          <w:sz w:val="24"/>
          <w:szCs w:val="24"/>
        </w:rPr>
        <w:t xml:space="preserve"> and upload to </w:t>
      </w:r>
      <w:proofErr w:type="spellStart"/>
      <w:r w:rsidRPr="00302C1F">
        <w:rPr>
          <w:rFonts w:ascii="Times New Roman" w:hAnsi="Times New Roman" w:cs="Times New Roman"/>
          <w:sz w:val="24"/>
          <w:szCs w:val="24"/>
        </w:rPr>
        <w:t>TextIt</w:t>
      </w:r>
      <w:proofErr w:type="spellEnd"/>
      <w:r w:rsidRPr="00302C1F">
        <w:rPr>
          <w:rFonts w:ascii="Times New Roman" w:hAnsi="Times New Roman" w:cs="Times New Roman"/>
          <w:sz w:val="24"/>
          <w:szCs w:val="24"/>
        </w:rPr>
        <w:t xml:space="preserve"> in order to send unique survey links to enrolled participants via SMS. </w:t>
      </w:r>
    </w:p>
    <w:p w14:paraId="0D9957FE" w14:textId="77777777" w:rsidR="002449F4" w:rsidRPr="00E554AA" w:rsidRDefault="002449F4" w:rsidP="00165BAD">
      <w:pPr>
        <w:spacing w:line="480" w:lineRule="auto"/>
        <w:rPr>
          <w:rFonts w:asciiTheme="majorBidi" w:hAnsiTheme="majorBidi" w:cstheme="majorBidi"/>
          <w:b/>
          <w:bCs/>
          <w:sz w:val="24"/>
          <w:szCs w:val="24"/>
        </w:rPr>
      </w:pPr>
      <w:r w:rsidRPr="00E554AA">
        <w:rPr>
          <w:rFonts w:asciiTheme="majorBidi" w:hAnsiTheme="majorBidi" w:cstheme="majorBidi"/>
          <w:b/>
          <w:bCs/>
          <w:sz w:val="24"/>
          <w:szCs w:val="24"/>
        </w:rPr>
        <w:t xml:space="preserve">What data is being captured/stored by </w:t>
      </w:r>
      <w:proofErr w:type="spellStart"/>
      <w:r w:rsidRPr="00E554AA">
        <w:rPr>
          <w:rFonts w:asciiTheme="majorBidi" w:hAnsiTheme="majorBidi" w:cstheme="majorBidi"/>
          <w:b/>
          <w:bCs/>
          <w:sz w:val="24"/>
          <w:szCs w:val="24"/>
        </w:rPr>
        <w:t>TexIt</w:t>
      </w:r>
      <w:proofErr w:type="spellEnd"/>
    </w:p>
    <w:p w14:paraId="4ED16E55" w14:textId="0086DDDD" w:rsidR="002449F4" w:rsidRDefault="002449F4" w:rsidP="00165BAD">
      <w:pPr>
        <w:spacing w:line="480" w:lineRule="auto"/>
        <w:rPr>
          <w:rFonts w:ascii="Times New Roman" w:hAnsi="Times New Roman" w:cs="Times New Roman"/>
          <w:sz w:val="24"/>
          <w:szCs w:val="24"/>
        </w:rPr>
      </w:pPr>
      <w:r w:rsidRPr="00302C1F">
        <w:rPr>
          <w:rFonts w:ascii="Times New Roman" w:hAnsi="Times New Roman" w:cs="Times New Roman"/>
          <w:sz w:val="24"/>
          <w:szCs w:val="24"/>
        </w:rPr>
        <w:t xml:space="preserve">Routine influenza-like-illness surveillance data </w:t>
      </w:r>
      <w:r w:rsidR="00DC74E8">
        <w:rPr>
          <w:rFonts w:ascii="Times New Roman" w:hAnsi="Times New Roman" w:cs="Times New Roman"/>
          <w:sz w:val="24"/>
          <w:szCs w:val="24"/>
        </w:rPr>
        <w:t>are</w:t>
      </w:r>
      <w:r w:rsidR="00DC74E8" w:rsidRPr="00302C1F">
        <w:rPr>
          <w:rFonts w:ascii="Times New Roman" w:hAnsi="Times New Roman" w:cs="Times New Roman"/>
          <w:sz w:val="24"/>
          <w:szCs w:val="24"/>
        </w:rPr>
        <w:t xml:space="preserve"> </w:t>
      </w:r>
      <w:r w:rsidRPr="00302C1F">
        <w:rPr>
          <w:rFonts w:ascii="Times New Roman" w:hAnsi="Times New Roman" w:cs="Times New Roman"/>
          <w:sz w:val="24"/>
          <w:szCs w:val="24"/>
        </w:rPr>
        <w:t>captured via SMS interactions with su</w:t>
      </w:r>
      <w:r>
        <w:rPr>
          <w:rFonts w:ascii="Times New Roman" w:hAnsi="Times New Roman" w:cs="Times New Roman"/>
          <w:sz w:val="24"/>
          <w:szCs w:val="24"/>
        </w:rPr>
        <w:t xml:space="preserve">rveys programmed using the </w:t>
      </w:r>
      <w:proofErr w:type="spellStart"/>
      <w:r>
        <w:rPr>
          <w:rFonts w:ascii="Times New Roman" w:hAnsi="Times New Roman" w:cs="Times New Roman"/>
          <w:sz w:val="24"/>
          <w:szCs w:val="24"/>
        </w:rPr>
        <w:t>TextI</w:t>
      </w:r>
      <w:r w:rsidRPr="00302C1F">
        <w:rPr>
          <w:rFonts w:ascii="Times New Roman" w:hAnsi="Times New Roman" w:cs="Times New Roman"/>
          <w:sz w:val="24"/>
          <w:szCs w:val="24"/>
        </w:rPr>
        <w:t>t</w:t>
      </w:r>
      <w:proofErr w:type="spellEnd"/>
      <w:r w:rsidRPr="00302C1F">
        <w:rPr>
          <w:rFonts w:ascii="Times New Roman" w:hAnsi="Times New Roman" w:cs="Times New Roman"/>
          <w:sz w:val="24"/>
          <w:szCs w:val="24"/>
        </w:rPr>
        <w:t xml:space="preserve"> platform. The data captured and stored for each participant in the study focus on cataloguing suspected influenza illness events, information on symptoms </w:t>
      </w:r>
      <w:r w:rsidRPr="00302C1F">
        <w:rPr>
          <w:rFonts w:ascii="Times New Roman" w:hAnsi="Times New Roman" w:cs="Times New Roman"/>
          <w:sz w:val="24"/>
          <w:szCs w:val="24"/>
        </w:rPr>
        <w:lastRenderedPageBreak/>
        <w:t xml:space="preserve">experienced, duration of illness, and key pieces of data relating to Objective 1, including: missed work due to influenza illness, and hours of direct patient care provided by HCP with symptomatic influenza infections. Data </w:t>
      </w:r>
      <w:r w:rsidR="00DC74E8">
        <w:rPr>
          <w:rFonts w:ascii="Times New Roman" w:hAnsi="Times New Roman" w:cs="Times New Roman"/>
          <w:sz w:val="24"/>
          <w:szCs w:val="24"/>
        </w:rPr>
        <w:t>are</w:t>
      </w:r>
      <w:r w:rsidR="00DC74E8" w:rsidRPr="00302C1F">
        <w:rPr>
          <w:rFonts w:ascii="Times New Roman" w:hAnsi="Times New Roman" w:cs="Times New Roman"/>
          <w:sz w:val="24"/>
          <w:szCs w:val="24"/>
        </w:rPr>
        <w:t xml:space="preserve"> </w:t>
      </w:r>
      <w:r w:rsidRPr="00302C1F">
        <w:rPr>
          <w:rFonts w:ascii="Times New Roman" w:hAnsi="Times New Roman" w:cs="Times New Roman"/>
          <w:sz w:val="24"/>
          <w:szCs w:val="24"/>
        </w:rPr>
        <w:t>stored in multiple formats: numeric, text, and date &amp; time. All</w:t>
      </w:r>
      <w:r>
        <w:rPr>
          <w:rFonts w:ascii="Times New Roman" w:hAnsi="Times New Roman" w:cs="Times New Roman"/>
          <w:sz w:val="24"/>
          <w:szCs w:val="24"/>
        </w:rPr>
        <w:t xml:space="preserve"> data </w:t>
      </w:r>
      <w:r w:rsidR="00DC74E8">
        <w:rPr>
          <w:rFonts w:ascii="Times New Roman" w:hAnsi="Times New Roman" w:cs="Times New Roman"/>
          <w:sz w:val="24"/>
          <w:szCs w:val="24"/>
        </w:rPr>
        <w:t xml:space="preserve">are </w:t>
      </w:r>
      <w:r>
        <w:rPr>
          <w:rFonts w:ascii="Times New Roman" w:hAnsi="Times New Roman" w:cs="Times New Roman"/>
          <w:sz w:val="24"/>
          <w:szCs w:val="24"/>
        </w:rPr>
        <w:t xml:space="preserve">captured from the </w:t>
      </w:r>
      <w:proofErr w:type="spellStart"/>
      <w:r>
        <w:rPr>
          <w:rFonts w:ascii="Times New Roman" w:hAnsi="Times New Roman" w:cs="Times New Roman"/>
          <w:sz w:val="24"/>
          <w:szCs w:val="24"/>
        </w:rPr>
        <w:t>TextI</w:t>
      </w:r>
      <w:r w:rsidRPr="00302C1F">
        <w:rPr>
          <w:rFonts w:ascii="Times New Roman" w:hAnsi="Times New Roman" w:cs="Times New Roman"/>
          <w:sz w:val="24"/>
          <w:szCs w:val="24"/>
        </w:rPr>
        <w:t>t</w:t>
      </w:r>
      <w:proofErr w:type="spellEnd"/>
      <w:r w:rsidRPr="00302C1F">
        <w:rPr>
          <w:rFonts w:ascii="Times New Roman" w:hAnsi="Times New Roman" w:cs="Times New Roman"/>
          <w:sz w:val="24"/>
          <w:szCs w:val="24"/>
        </w:rPr>
        <w:t xml:space="preserve"> messaging logic flows and stored within each study participant’s profile as a contact variable. </w:t>
      </w:r>
      <w:r>
        <w:rPr>
          <w:rFonts w:ascii="Times New Roman" w:hAnsi="Times New Roman" w:cs="Times New Roman"/>
          <w:sz w:val="24"/>
          <w:szCs w:val="24"/>
        </w:rPr>
        <w:t>Since</w:t>
      </w:r>
      <w:r w:rsidRPr="00302C1F">
        <w:rPr>
          <w:rFonts w:ascii="Times New Roman" w:hAnsi="Times New Roman" w:cs="Times New Roman"/>
          <w:sz w:val="24"/>
          <w:szCs w:val="24"/>
        </w:rPr>
        <w:t xml:space="preserve"> th</w:t>
      </w:r>
      <w:r w:rsidR="00DC74E8">
        <w:rPr>
          <w:rFonts w:ascii="Times New Roman" w:hAnsi="Times New Roman" w:cs="Times New Roman"/>
          <w:sz w:val="24"/>
          <w:szCs w:val="24"/>
        </w:rPr>
        <w:t>ese</w:t>
      </w:r>
      <w:r w:rsidRPr="00302C1F">
        <w:rPr>
          <w:rFonts w:ascii="Times New Roman" w:hAnsi="Times New Roman" w:cs="Times New Roman"/>
          <w:sz w:val="24"/>
          <w:szCs w:val="24"/>
        </w:rPr>
        <w:t xml:space="preserve"> data overwrites with each round of bi-weekly surveillance, study staff must pe</w:t>
      </w:r>
      <w:r>
        <w:rPr>
          <w:rFonts w:ascii="Times New Roman" w:hAnsi="Times New Roman" w:cs="Times New Roman"/>
          <w:sz w:val="24"/>
          <w:szCs w:val="24"/>
        </w:rPr>
        <w:t xml:space="preserve">rform bi-weekly exports of </w:t>
      </w:r>
      <w:proofErr w:type="spellStart"/>
      <w:r>
        <w:rPr>
          <w:rFonts w:ascii="Times New Roman" w:hAnsi="Times New Roman" w:cs="Times New Roman"/>
          <w:sz w:val="24"/>
          <w:szCs w:val="24"/>
        </w:rPr>
        <w:t>TextI</w:t>
      </w:r>
      <w:r w:rsidRPr="00302C1F">
        <w:rPr>
          <w:rFonts w:ascii="Times New Roman" w:hAnsi="Times New Roman" w:cs="Times New Roman"/>
          <w:sz w:val="24"/>
          <w:szCs w:val="24"/>
        </w:rPr>
        <w:t>t</w:t>
      </w:r>
      <w:proofErr w:type="spellEnd"/>
      <w:r w:rsidRPr="00302C1F">
        <w:rPr>
          <w:rFonts w:ascii="Times New Roman" w:hAnsi="Times New Roman" w:cs="Times New Roman"/>
          <w:sz w:val="24"/>
          <w:szCs w:val="24"/>
        </w:rPr>
        <w:t xml:space="preserve"> data and import the data into an Excel macro-enabled workbook in order to track participant responses and illness events over time. </w:t>
      </w:r>
    </w:p>
    <w:p w14:paraId="5382A285" w14:textId="77777777" w:rsidR="002449F4" w:rsidRPr="00E554AA" w:rsidRDefault="002449F4" w:rsidP="00165BAD">
      <w:pPr>
        <w:spacing w:line="480" w:lineRule="auto"/>
        <w:rPr>
          <w:rFonts w:asciiTheme="majorBidi" w:hAnsiTheme="majorBidi" w:cstheme="majorBidi"/>
          <w:b/>
          <w:bCs/>
          <w:sz w:val="24"/>
          <w:szCs w:val="24"/>
        </w:rPr>
      </w:pPr>
      <w:r w:rsidRPr="00E554AA">
        <w:rPr>
          <w:rFonts w:asciiTheme="majorBidi" w:hAnsiTheme="majorBidi" w:cstheme="majorBidi"/>
          <w:b/>
          <w:bCs/>
          <w:sz w:val="24"/>
          <w:szCs w:val="24"/>
        </w:rPr>
        <w:t>Data</w:t>
      </w:r>
      <w:r w:rsidR="00E838B7" w:rsidRPr="00E554AA">
        <w:rPr>
          <w:rFonts w:asciiTheme="majorBidi" w:hAnsiTheme="majorBidi" w:cstheme="majorBidi"/>
          <w:b/>
          <w:bCs/>
          <w:sz w:val="24"/>
          <w:szCs w:val="24"/>
        </w:rPr>
        <w:t>base</w:t>
      </w:r>
    </w:p>
    <w:p w14:paraId="55A1BAE1" w14:textId="77777777" w:rsidR="002449F4" w:rsidRDefault="002449F4" w:rsidP="00165BAD">
      <w:pPr>
        <w:spacing w:line="480" w:lineRule="auto"/>
        <w:rPr>
          <w:rFonts w:ascii="Times New Roman" w:hAnsi="Times New Roman" w:cs="Times New Roman"/>
          <w:sz w:val="24"/>
          <w:szCs w:val="24"/>
        </w:rPr>
      </w:pPr>
      <w:r>
        <w:rPr>
          <w:rFonts w:ascii="Times New Roman" w:hAnsi="Times New Roman" w:cs="Times New Roman"/>
          <w:sz w:val="24"/>
          <w:szCs w:val="24"/>
        </w:rPr>
        <w:t xml:space="preserve">As the </w:t>
      </w:r>
      <w:proofErr w:type="spellStart"/>
      <w:r>
        <w:rPr>
          <w:rFonts w:ascii="Times New Roman" w:hAnsi="Times New Roman" w:cs="Times New Roman"/>
          <w:sz w:val="24"/>
          <w:szCs w:val="24"/>
        </w:rPr>
        <w:t>TextI</w:t>
      </w:r>
      <w:r w:rsidRPr="00302C1F">
        <w:rPr>
          <w:rFonts w:ascii="Times New Roman" w:hAnsi="Times New Roman" w:cs="Times New Roman"/>
          <w:sz w:val="24"/>
          <w:szCs w:val="24"/>
        </w:rPr>
        <w:t>t</w:t>
      </w:r>
      <w:proofErr w:type="spellEnd"/>
      <w:r w:rsidRPr="00302C1F">
        <w:rPr>
          <w:rFonts w:ascii="Times New Roman" w:hAnsi="Times New Roman" w:cs="Times New Roman"/>
          <w:sz w:val="24"/>
          <w:szCs w:val="24"/>
        </w:rPr>
        <w:t xml:space="preserve"> platform is designed to be a longitudinal data repository, sites have macro-enabled Excel work</w:t>
      </w:r>
      <w:r>
        <w:rPr>
          <w:rFonts w:ascii="Times New Roman" w:hAnsi="Times New Roman" w:cs="Times New Roman"/>
          <w:sz w:val="24"/>
          <w:szCs w:val="24"/>
        </w:rPr>
        <w:t xml:space="preserve">book tool where they store </w:t>
      </w:r>
      <w:proofErr w:type="spellStart"/>
      <w:r>
        <w:rPr>
          <w:rFonts w:ascii="Times New Roman" w:hAnsi="Times New Roman" w:cs="Times New Roman"/>
          <w:sz w:val="24"/>
          <w:szCs w:val="24"/>
        </w:rPr>
        <w:t>TextI</w:t>
      </w:r>
      <w:r w:rsidRPr="00302C1F">
        <w:rPr>
          <w:rFonts w:ascii="Times New Roman" w:hAnsi="Times New Roman" w:cs="Times New Roman"/>
          <w:sz w:val="24"/>
          <w:szCs w:val="24"/>
        </w:rPr>
        <w:t>t</w:t>
      </w:r>
      <w:proofErr w:type="spellEnd"/>
      <w:r w:rsidRPr="00302C1F">
        <w:rPr>
          <w:rFonts w:ascii="Times New Roman" w:hAnsi="Times New Roman" w:cs="Times New Roman"/>
          <w:sz w:val="24"/>
          <w:szCs w:val="24"/>
        </w:rPr>
        <w:t xml:space="preserve"> data over time. Database manag</w:t>
      </w:r>
      <w:r>
        <w:rPr>
          <w:rFonts w:ascii="Times New Roman" w:hAnsi="Times New Roman" w:cs="Times New Roman"/>
          <w:sz w:val="24"/>
          <w:szCs w:val="24"/>
        </w:rPr>
        <w:t xml:space="preserve">ers are required to export </w:t>
      </w:r>
      <w:proofErr w:type="spellStart"/>
      <w:r>
        <w:rPr>
          <w:rFonts w:ascii="Times New Roman" w:hAnsi="Times New Roman" w:cs="Times New Roman"/>
          <w:sz w:val="24"/>
          <w:szCs w:val="24"/>
        </w:rPr>
        <w:t>TextI</w:t>
      </w:r>
      <w:r w:rsidRPr="00302C1F">
        <w:rPr>
          <w:rFonts w:ascii="Times New Roman" w:hAnsi="Times New Roman" w:cs="Times New Roman"/>
          <w:sz w:val="24"/>
          <w:szCs w:val="24"/>
        </w:rPr>
        <w:t>t</w:t>
      </w:r>
      <w:proofErr w:type="spellEnd"/>
      <w:r w:rsidRPr="00302C1F">
        <w:rPr>
          <w:rFonts w:ascii="Times New Roman" w:hAnsi="Times New Roman" w:cs="Times New Roman"/>
          <w:sz w:val="24"/>
          <w:szCs w:val="24"/>
        </w:rPr>
        <w:t xml:space="preserve"> flow and contact data </w:t>
      </w:r>
      <w:r w:rsidRPr="00302C1F">
        <w:rPr>
          <w:rFonts w:ascii="Times New Roman" w:hAnsi="Times New Roman" w:cs="Times New Roman"/>
          <w:i/>
          <w:sz w:val="24"/>
          <w:szCs w:val="24"/>
        </w:rPr>
        <w:t>prior to the start of each active surveillance messaging round</w:t>
      </w:r>
      <w:r w:rsidRPr="00302C1F">
        <w:rPr>
          <w:rFonts w:ascii="Times New Roman" w:hAnsi="Times New Roman" w:cs="Times New Roman"/>
          <w:sz w:val="24"/>
          <w:szCs w:val="24"/>
        </w:rPr>
        <w:t xml:space="preserve"> in order to capture the most recent messaging events data and catalog it over time. Because we use the same messaging flows in cycles, each time someone responds, their prior response will be overwritten. Thus, we need to export the data right before the next messaging round in order to capture data for each individual messaging round scheduled in the system. </w:t>
      </w:r>
    </w:p>
    <w:p w14:paraId="388B3F87" w14:textId="50FA191D" w:rsidR="002449F4" w:rsidRPr="00E554AA" w:rsidRDefault="002449F4" w:rsidP="00165BAD">
      <w:pPr>
        <w:spacing w:line="480" w:lineRule="auto"/>
        <w:rPr>
          <w:rFonts w:asciiTheme="majorBidi" w:hAnsiTheme="majorBidi" w:cstheme="majorBidi"/>
          <w:b/>
          <w:bCs/>
          <w:sz w:val="24"/>
          <w:szCs w:val="24"/>
        </w:rPr>
      </w:pPr>
      <w:r w:rsidRPr="00E554AA">
        <w:rPr>
          <w:rFonts w:asciiTheme="majorBidi" w:hAnsiTheme="majorBidi" w:cstheme="majorBidi"/>
          <w:b/>
          <w:bCs/>
          <w:sz w:val="24"/>
          <w:szCs w:val="24"/>
        </w:rPr>
        <w:t xml:space="preserve">How </w:t>
      </w:r>
      <w:r w:rsidR="00DC74E8">
        <w:rPr>
          <w:rFonts w:asciiTheme="majorBidi" w:hAnsiTheme="majorBidi" w:cstheme="majorBidi"/>
          <w:b/>
          <w:bCs/>
          <w:sz w:val="24"/>
          <w:szCs w:val="24"/>
        </w:rPr>
        <w:t>are</w:t>
      </w:r>
      <w:r w:rsidR="00DC74E8" w:rsidRPr="00E554AA">
        <w:rPr>
          <w:rFonts w:asciiTheme="majorBidi" w:hAnsiTheme="majorBidi" w:cstheme="majorBidi"/>
          <w:b/>
          <w:bCs/>
          <w:sz w:val="24"/>
          <w:szCs w:val="24"/>
        </w:rPr>
        <w:t xml:space="preserve"> </w:t>
      </w:r>
      <w:r w:rsidRPr="00E554AA">
        <w:rPr>
          <w:rFonts w:asciiTheme="majorBidi" w:hAnsiTheme="majorBidi" w:cstheme="majorBidi"/>
          <w:b/>
          <w:bCs/>
          <w:sz w:val="24"/>
          <w:szCs w:val="24"/>
        </w:rPr>
        <w:t xml:space="preserve">the data used? </w:t>
      </w:r>
    </w:p>
    <w:p w14:paraId="5110E633" w14:textId="5C6578D9" w:rsidR="002449F4" w:rsidRDefault="002449F4" w:rsidP="00165BAD">
      <w:pPr>
        <w:spacing w:line="480" w:lineRule="auto"/>
        <w:rPr>
          <w:rFonts w:ascii="Times New Roman" w:hAnsi="Times New Roman" w:cs="Times New Roman"/>
          <w:sz w:val="24"/>
          <w:szCs w:val="24"/>
        </w:rPr>
      </w:pPr>
      <w:r w:rsidRPr="00302C1F">
        <w:rPr>
          <w:rFonts w:ascii="Times New Roman" w:hAnsi="Times New Roman" w:cs="Times New Roman"/>
          <w:sz w:val="24"/>
          <w:szCs w:val="24"/>
        </w:rPr>
        <w:t xml:space="preserve">The SMS data captured during routine influenza-like-illness surveillance </w:t>
      </w:r>
      <w:r w:rsidR="00DC74E8">
        <w:rPr>
          <w:rFonts w:ascii="Times New Roman" w:hAnsi="Times New Roman" w:cs="Times New Roman"/>
          <w:sz w:val="24"/>
          <w:szCs w:val="24"/>
        </w:rPr>
        <w:t>are</w:t>
      </w:r>
      <w:r w:rsidR="00DC74E8" w:rsidRPr="00302C1F">
        <w:rPr>
          <w:rFonts w:ascii="Times New Roman" w:hAnsi="Times New Roman" w:cs="Times New Roman"/>
          <w:sz w:val="24"/>
          <w:szCs w:val="24"/>
        </w:rPr>
        <w:t xml:space="preserve"> </w:t>
      </w:r>
      <w:r w:rsidRPr="00302C1F">
        <w:rPr>
          <w:rFonts w:ascii="Times New Roman" w:hAnsi="Times New Roman" w:cs="Times New Roman"/>
          <w:sz w:val="24"/>
          <w:szCs w:val="24"/>
        </w:rPr>
        <w:t xml:space="preserve">used in real-time to direct data collection activities on an hourly basis for the project. Because we are tracking illness events, timely surveying unique to each participant’s condition is critical to ensure up-to-date information and to reduce recall biases amongst participants. There are a number of surveys conducted depending on illness status of a participant, each of which is governed by a detailed </w:t>
      </w:r>
      <w:r w:rsidRPr="00302C1F">
        <w:rPr>
          <w:rFonts w:ascii="Times New Roman" w:hAnsi="Times New Roman" w:cs="Times New Roman"/>
          <w:sz w:val="24"/>
          <w:szCs w:val="24"/>
        </w:rPr>
        <w:lastRenderedPageBreak/>
        <w:t xml:space="preserve">protocol—for example, if a participant is illness free they are to receive routine messaging twice per week asking whether they have experienced influenza-like symptoms within the past 7 days. If a participant is currently ill, data </w:t>
      </w:r>
      <w:r w:rsidR="00DC74E8">
        <w:rPr>
          <w:rFonts w:ascii="Times New Roman" w:hAnsi="Times New Roman" w:cs="Times New Roman"/>
          <w:sz w:val="24"/>
          <w:szCs w:val="24"/>
        </w:rPr>
        <w:t>are</w:t>
      </w:r>
      <w:r w:rsidR="00DC74E8" w:rsidRPr="00302C1F">
        <w:rPr>
          <w:rFonts w:ascii="Times New Roman" w:hAnsi="Times New Roman" w:cs="Times New Roman"/>
          <w:sz w:val="24"/>
          <w:szCs w:val="24"/>
        </w:rPr>
        <w:t xml:space="preserve"> </w:t>
      </w:r>
      <w:r w:rsidRPr="00302C1F">
        <w:rPr>
          <w:rFonts w:ascii="Times New Roman" w:hAnsi="Times New Roman" w:cs="Times New Roman"/>
          <w:sz w:val="24"/>
          <w:szCs w:val="24"/>
        </w:rPr>
        <w:t>collected (</w:t>
      </w:r>
      <w:proofErr w:type="spellStart"/>
      <w:r w:rsidRPr="00302C1F">
        <w:rPr>
          <w:rFonts w:ascii="Times New Roman" w:hAnsi="Times New Roman" w:cs="Times New Roman"/>
          <w:sz w:val="24"/>
          <w:szCs w:val="24"/>
        </w:rPr>
        <w:t>i</w:t>
      </w:r>
      <w:proofErr w:type="spellEnd"/>
      <w:r w:rsidRPr="00302C1F">
        <w:rPr>
          <w:rFonts w:ascii="Times New Roman" w:hAnsi="Times New Roman" w:cs="Times New Roman"/>
          <w:sz w:val="24"/>
          <w:szCs w:val="24"/>
        </w:rPr>
        <w:t>) to ascertain the duration of their illness on set time intervals, (ii) to assess whether biological specimens have been collected and delivered to study staff, and (iii) to evaluate the impact of an illness upon resolution pertaining to the number of work hours misse</w:t>
      </w:r>
      <w:r>
        <w:rPr>
          <w:rFonts w:ascii="Times New Roman" w:hAnsi="Times New Roman" w:cs="Times New Roman"/>
          <w:sz w:val="24"/>
          <w:szCs w:val="24"/>
        </w:rPr>
        <w:t xml:space="preserve">d, etc. The </w:t>
      </w:r>
      <w:proofErr w:type="spellStart"/>
      <w:r>
        <w:rPr>
          <w:rFonts w:ascii="Times New Roman" w:hAnsi="Times New Roman" w:cs="Times New Roman"/>
          <w:sz w:val="24"/>
          <w:szCs w:val="24"/>
        </w:rPr>
        <w:t>TextI</w:t>
      </w:r>
      <w:r w:rsidRPr="00302C1F">
        <w:rPr>
          <w:rFonts w:ascii="Times New Roman" w:hAnsi="Times New Roman" w:cs="Times New Roman"/>
          <w:sz w:val="24"/>
          <w:szCs w:val="24"/>
        </w:rPr>
        <w:t>t</w:t>
      </w:r>
      <w:proofErr w:type="spellEnd"/>
      <w:r w:rsidRPr="00302C1F">
        <w:rPr>
          <w:rFonts w:ascii="Times New Roman" w:hAnsi="Times New Roman" w:cs="Times New Roman"/>
          <w:sz w:val="24"/>
          <w:szCs w:val="24"/>
        </w:rPr>
        <w:t xml:space="preserve"> SMS flows are critical to capturing appropriate data at key time points throughout project implementation.</w:t>
      </w:r>
    </w:p>
    <w:p w14:paraId="105C094C" w14:textId="77777777" w:rsidR="002449F4" w:rsidRPr="00E554AA" w:rsidRDefault="002449F4" w:rsidP="00165BAD">
      <w:pPr>
        <w:spacing w:line="480" w:lineRule="auto"/>
        <w:rPr>
          <w:rFonts w:asciiTheme="majorBidi" w:hAnsiTheme="majorBidi" w:cstheme="majorBidi"/>
          <w:b/>
          <w:bCs/>
          <w:sz w:val="24"/>
          <w:szCs w:val="24"/>
        </w:rPr>
      </w:pPr>
      <w:r w:rsidRPr="00E554AA">
        <w:rPr>
          <w:rFonts w:asciiTheme="majorBidi" w:hAnsiTheme="majorBidi" w:cstheme="majorBidi"/>
          <w:b/>
          <w:bCs/>
          <w:sz w:val="24"/>
          <w:szCs w:val="24"/>
        </w:rPr>
        <w:t>SMS Message Flows:</w:t>
      </w:r>
    </w:p>
    <w:p w14:paraId="35DD6920" w14:textId="77777777" w:rsidR="002449F4" w:rsidRPr="008104C5" w:rsidRDefault="002449F4" w:rsidP="00165BAD">
      <w:pPr>
        <w:spacing w:line="480" w:lineRule="auto"/>
        <w:rPr>
          <w:rFonts w:ascii="Times New Roman" w:hAnsi="Times New Roman" w:cs="Times New Roman"/>
          <w:sz w:val="24"/>
          <w:szCs w:val="24"/>
        </w:rPr>
      </w:pPr>
      <w:r>
        <w:rPr>
          <w:rFonts w:ascii="Times New Roman" w:hAnsi="Times New Roman" w:cs="Times New Roman"/>
          <w:sz w:val="24"/>
          <w:szCs w:val="24"/>
        </w:rPr>
        <w:t xml:space="preserve">A “flow” is a </w:t>
      </w:r>
      <w:r w:rsidRPr="008104C5">
        <w:rPr>
          <w:rFonts w:ascii="Times New Roman" w:hAnsi="Times New Roman" w:cs="Times New Roman"/>
          <w:sz w:val="24"/>
          <w:szCs w:val="24"/>
        </w:rPr>
        <w:t xml:space="preserve">series of steps </w:t>
      </w:r>
      <w:r>
        <w:rPr>
          <w:rFonts w:ascii="Times New Roman" w:hAnsi="Times New Roman" w:cs="Times New Roman"/>
          <w:sz w:val="24"/>
          <w:szCs w:val="24"/>
        </w:rPr>
        <w:t>create</w:t>
      </w:r>
      <w:r w:rsidRPr="008104C5">
        <w:rPr>
          <w:rFonts w:ascii="Times New Roman" w:hAnsi="Times New Roman" w:cs="Times New Roman"/>
          <w:sz w:val="24"/>
          <w:szCs w:val="24"/>
        </w:rPr>
        <w:t xml:space="preserve"> the ‘interaction’ t</w:t>
      </w:r>
      <w:r>
        <w:rPr>
          <w:rFonts w:ascii="Times New Roman" w:hAnsi="Times New Roman" w:cs="Times New Roman"/>
          <w:sz w:val="24"/>
          <w:szCs w:val="24"/>
        </w:rPr>
        <w:t xml:space="preserve">hat our study participants </w:t>
      </w:r>
      <w:r w:rsidRPr="008104C5">
        <w:rPr>
          <w:rFonts w:ascii="Times New Roman" w:hAnsi="Times New Roman" w:cs="Times New Roman"/>
          <w:sz w:val="24"/>
          <w:szCs w:val="24"/>
        </w:rPr>
        <w:t>experience</w:t>
      </w:r>
      <w:r>
        <w:rPr>
          <w:rFonts w:ascii="Times New Roman" w:hAnsi="Times New Roman" w:cs="Times New Roman"/>
          <w:sz w:val="24"/>
          <w:szCs w:val="24"/>
        </w:rPr>
        <w:t>.</w:t>
      </w:r>
    </w:p>
    <w:p w14:paraId="0A16B32A" w14:textId="77777777" w:rsidR="002449F4" w:rsidRPr="00302C1F" w:rsidRDefault="002449F4" w:rsidP="00165BAD">
      <w:pPr>
        <w:pStyle w:val="a3"/>
        <w:numPr>
          <w:ilvl w:val="0"/>
          <w:numId w:val="1"/>
        </w:numPr>
        <w:spacing w:line="480" w:lineRule="auto"/>
        <w:rPr>
          <w:rFonts w:ascii="Times New Roman" w:hAnsi="Times New Roman" w:cs="Times New Roman"/>
          <w:sz w:val="24"/>
          <w:szCs w:val="24"/>
        </w:rPr>
      </w:pPr>
      <w:r w:rsidRPr="00302C1F">
        <w:rPr>
          <w:rFonts w:ascii="Times New Roman" w:hAnsi="Times New Roman" w:cs="Times New Roman"/>
          <w:sz w:val="24"/>
          <w:szCs w:val="24"/>
        </w:rPr>
        <w:t xml:space="preserve">In general, </w:t>
      </w:r>
      <w:r>
        <w:rPr>
          <w:rFonts w:ascii="Times New Roman" w:hAnsi="Times New Roman" w:cs="Times New Roman"/>
          <w:sz w:val="24"/>
          <w:szCs w:val="24"/>
        </w:rPr>
        <w:t>the flows include</w:t>
      </w:r>
      <w:r w:rsidRPr="00302C1F">
        <w:rPr>
          <w:rFonts w:ascii="Times New Roman" w:hAnsi="Times New Roman" w:cs="Times New Roman"/>
          <w:sz w:val="24"/>
          <w:szCs w:val="24"/>
        </w:rPr>
        <w:t>:</w:t>
      </w:r>
    </w:p>
    <w:p w14:paraId="23E41120" w14:textId="77777777" w:rsidR="002449F4" w:rsidRPr="00302C1F" w:rsidRDefault="002449F4" w:rsidP="00165BAD">
      <w:pPr>
        <w:pStyle w:val="a3"/>
        <w:numPr>
          <w:ilvl w:val="1"/>
          <w:numId w:val="1"/>
        </w:numPr>
        <w:spacing w:line="480" w:lineRule="auto"/>
        <w:rPr>
          <w:rFonts w:ascii="Times New Roman" w:hAnsi="Times New Roman" w:cs="Times New Roman"/>
          <w:sz w:val="24"/>
          <w:szCs w:val="24"/>
        </w:rPr>
      </w:pPr>
      <w:r w:rsidRPr="00302C1F">
        <w:rPr>
          <w:rFonts w:ascii="Times New Roman" w:hAnsi="Times New Roman" w:cs="Times New Roman"/>
          <w:sz w:val="24"/>
          <w:szCs w:val="24"/>
        </w:rPr>
        <w:t>Routine Surveillance Flows – ascertain suspected influenza events; capture details on illness event</w:t>
      </w:r>
    </w:p>
    <w:p w14:paraId="7F71BB4F" w14:textId="77777777" w:rsidR="002449F4" w:rsidRPr="00302C1F" w:rsidRDefault="002449F4" w:rsidP="00165BAD">
      <w:pPr>
        <w:pStyle w:val="a3"/>
        <w:numPr>
          <w:ilvl w:val="1"/>
          <w:numId w:val="1"/>
        </w:numPr>
        <w:spacing w:line="480" w:lineRule="auto"/>
        <w:rPr>
          <w:rFonts w:ascii="Times New Roman" w:hAnsi="Times New Roman" w:cs="Times New Roman"/>
          <w:sz w:val="24"/>
          <w:szCs w:val="24"/>
        </w:rPr>
      </w:pPr>
      <w:r w:rsidRPr="00302C1F">
        <w:rPr>
          <w:rFonts w:ascii="Times New Roman" w:hAnsi="Times New Roman" w:cs="Times New Roman"/>
          <w:sz w:val="24"/>
          <w:szCs w:val="24"/>
        </w:rPr>
        <w:t>Acute Illness Surveys – capture granular information on the types of symptoms experienced shortly after notice of an illness event through Routine surveillance</w:t>
      </w:r>
    </w:p>
    <w:p w14:paraId="492BB8DD" w14:textId="77777777" w:rsidR="002449F4" w:rsidRPr="00302C1F" w:rsidRDefault="002449F4" w:rsidP="00165BAD">
      <w:pPr>
        <w:pStyle w:val="a3"/>
        <w:numPr>
          <w:ilvl w:val="1"/>
          <w:numId w:val="1"/>
        </w:numPr>
        <w:spacing w:line="480" w:lineRule="auto"/>
        <w:rPr>
          <w:rFonts w:ascii="Times New Roman" w:hAnsi="Times New Roman" w:cs="Times New Roman"/>
          <w:sz w:val="24"/>
          <w:szCs w:val="24"/>
        </w:rPr>
      </w:pPr>
      <w:r w:rsidRPr="00302C1F">
        <w:rPr>
          <w:rFonts w:ascii="Times New Roman" w:hAnsi="Times New Roman" w:cs="Times New Roman"/>
          <w:sz w:val="24"/>
          <w:szCs w:val="24"/>
        </w:rPr>
        <w:t>Follow-up Illness messaging: To ascertain how long the illness is experienced</w:t>
      </w:r>
    </w:p>
    <w:p w14:paraId="2D5FD72B" w14:textId="77777777" w:rsidR="002449F4" w:rsidRPr="00302C1F" w:rsidRDefault="002449F4" w:rsidP="00165BAD">
      <w:pPr>
        <w:pStyle w:val="a3"/>
        <w:numPr>
          <w:ilvl w:val="1"/>
          <w:numId w:val="1"/>
        </w:numPr>
        <w:spacing w:line="480" w:lineRule="auto"/>
        <w:rPr>
          <w:rFonts w:ascii="Times New Roman" w:hAnsi="Times New Roman" w:cs="Times New Roman"/>
          <w:sz w:val="24"/>
          <w:szCs w:val="24"/>
        </w:rPr>
      </w:pPr>
      <w:r w:rsidRPr="00302C1F">
        <w:rPr>
          <w:rFonts w:ascii="Times New Roman" w:hAnsi="Times New Roman" w:cs="Times New Roman"/>
          <w:sz w:val="24"/>
          <w:szCs w:val="24"/>
        </w:rPr>
        <w:t>Reminders: to follow-up on missed responses; to remind participants to take nasal swab samples and transport to the lab</w:t>
      </w:r>
    </w:p>
    <w:p w14:paraId="50CE6124" w14:textId="77777777" w:rsidR="002449F4" w:rsidRPr="00302C1F" w:rsidRDefault="002449F4" w:rsidP="00165BAD">
      <w:pPr>
        <w:pStyle w:val="a3"/>
        <w:numPr>
          <w:ilvl w:val="0"/>
          <w:numId w:val="1"/>
        </w:numPr>
        <w:spacing w:line="480" w:lineRule="auto"/>
        <w:rPr>
          <w:rFonts w:ascii="Times New Roman" w:hAnsi="Times New Roman" w:cs="Times New Roman"/>
          <w:sz w:val="24"/>
          <w:szCs w:val="24"/>
        </w:rPr>
      </w:pPr>
      <w:r w:rsidRPr="00302C1F">
        <w:rPr>
          <w:rFonts w:ascii="Times New Roman" w:hAnsi="Times New Roman" w:cs="Times New Roman"/>
          <w:sz w:val="24"/>
          <w:szCs w:val="24"/>
        </w:rPr>
        <w:t xml:space="preserve">Flows are implemented in the native language </w:t>
      </w:r>
      <w:r>
        <w:rPr>
          <w:rFonts w:ascii="Times New Roman" w:hAnsi="Times New Roman" w:cs="Times New Roman"/>
          <w:sz w:val="24"/>
          <w:szCs w:val="24"/>
        </w:rPr>
        <w:t>(</w:t>
      </w:r>
      <w:r w:rsidRPr="00302C1F">
        <w:rPr>
          <w:rFonts w:ascii="Times New Roman" w:hAnsi="Times New Roman" w:cs="Times New Roman"/>
          <w:sz w:val="24"/>
          <w:szCs w:val="24"/>
        </w:rPr>
        <w:t>Hebrew</w:t>
      </w:r>
      <w:r>
        <w:rPr>
          <w:rFonts w:ascii="Times New Roman" w:hAnsi="Times New Roman" w:cs="Times New Roman"/>
          <w:sz w:val="24"/>
          <w:szCs w:val="24"/>
        </w:rPr>
        <w:t>).</w:t>
      </w:r>
    </w:p>
    <w:p w14:paraId="187177B9" w14:textId="06FCA19A" w:rsidR="002449F4" w:rsidRDefault="002449F4" w:rsidP="00165BAD">
      <w:pPr>
        <w:pStyle w:val="a3"/>
        <w:numPr>
          <w:ilvl w:val="0"/>
          <w:numId w:val="1"/>
        </w:numPr>
        <w:spacing w:line="480" w:lineRule="auto"/>
        <w:rPr>
          <w:rFonts w:ascii="Times New Roman" w:hAnsi="Times New Roman" w:cs="Times New Roman"/>
          <w:sz w:val="24"/>
          <w:szCs w:val="24"/>
        </w:rPr>
      </w:pPr>
      <w:r w:rsidRPr="00302C1F">
        <w:rPr>
          <w:rFonts w:ascii="Times New Roman" w:hAnsi="Times New Roman" w:cs="Times New Roman"/>
          <w:sz w:val="24"/>
          <w:szCs w:val="24"/>
        </w:rPr>
        <w:t>Flows have built in logic to ensure participants receive the appropriate messaging at the appropriate time.</w:t>
      </w:r>
    </w:p>
    <w:p w14:paraId="24D04027" w14:textId="30446DBB" w:rsidR="004A4C18" w:rsidRDefault="004A4C18" w:rsidP="004A4C18">
      <w:pPr>
        <w:spacing w:line="480" w:lineRule="auto"/>
        <w:rPr>
          <w:rFonts w:ascii="Times New Roman" w:hAnsi="Times New Roman" w:cs="Times New Roman"/>
          <w:sz w:val="24"/>
          <w:szCs w:val="24"/>
        </w:rPr>
      </w:pPr>
    </w:p>
    <w:p w14:paraId="4C32716E" w14:textId="77777777" w:rsidR="004A4C18" w:rsidRPr="004A4C18" w:rsidRDefault="004A4C18" w:rsidP="004A4C18">
      <w:pPr>
        <w:spacing w:line="480" w:lineRule="auto"/>
        <w:rPr>
          <w:rFonts w:ascii="Times New Roman" w:hAnsi="Times New Roman" w:cs="Times New Roman"/>
          <w:sz w:val="24"/>
          <w:szCs w:val="24"/>
        </w:rPr>
      </w:pPr>
    </w:p>
    <w:p w14:paraId="540ABF49" w14:textId="77777777" w:rsidR="002449F4" w:rsidRPr="00E554AA" w:rsidRDefault="002449F4" w:rsidP="00165BAD">
      <w:pPr>
        <w:spacing w:line="480" w:lineRule="auto"/>
        <w:rPr>
          <w:rFonts w:asciiTheme="majorBidi" w:hAnsiTheme="majorBidi" w:cstheme="majorBidi"/>
          <w:b/>
          <w:bCs/>
          <w:sz w:val="24"/>
          <w:szCs w:val="24"/>
        </w:rPr>
      </w:pPr>
      <w:r w:rsidRPr="00E554AA">
        <w:rPr>
          <w:rFonts w:asciiTheme="majorBidi" w:hAnsiTheme="majorBidi" w:cstheme="majorBidi"/>
          <w:b/>
          <w:bCs/>
          <w:sz w:val="24"/>
          <w:szCs w:val="24"/>
        </w:rPr>
        <w:lastRenderedPageBreak/>
        <w:t>Channe</w:t>
      </w:r>
      <w:r w:rsidR="00E838B7" w:rsidRPr="00E554AA">
        <w:rPr>
          <w:rFonts w:asciiTheme="majorBidi" w:hAnsiTheme="majorBidi" w:cstheme="majorBidi"/>
          <w:b/>
          <w:bCs/>
          <w:sz w:val="24"/>
          <w:szCs w:val="24"/>
        </w:rPr>
        <w:t>ls and Message Phasing Overview</w:t>
      </w:r>
    </w:p>
    <w:p w14:paraId="3B592D82" w14:textId="3BDA0129" w:rsidR="002449F4" w:rsidRDefault="002449F4" w:rsidP="00165BA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TextI</w:t>
      </w:r>
      <w:r w:rsidRPr="00302C1F">
        <w:rPr>
          <w:rFonts w:ascii="Times New Roman" w:hAnsi="Times New Roman" w:cs="Times New Roman"/>
          <w:sz w:val="24"/>
          <w:szCs w:val="24"/>
        </w:rPr>
        <w:t>t</w:t>
      </w:r>
      <w:proofErr w:type="spellEnd"/>
      <w:r w:rsidRPr="00302C1F">
        <w:rPr>
          <w:rFonts w:ascii="Times New Roman" w:hAnsi="Times New Roman" w:cs="Times New Roman"/>
          <w:sz w:val="24"/>
          <w:szCs w:val="24"/>
        </w:rPr>
        <w:t xml:space="preserve"> requires </w:t>
      </w:r>
      <w:r>
        <w:rPr>
          <w:rFonts w:ascii="Times New Roman" w:hAnsi="Times New Roman" w:cs="Times New Roman"/>
          <w:sz w:val="24"/>
          <w:szCs w:val="24"/>
        </w:rPr>
        <w:t>a “channel</w:t>
      </w:r>
      <w:r w:rsidR="00DC74E8">
        <w:rPr>
          <w:rFonts w:ascii="Times New Roman" w:hAnsi="Times New Roman" w:cs="Times New Roman"/>
          <w:sz w:val="24"/>
          <w:szCs w:val="24"/>
        </w:rPr>
        <w:t>,</w:t>
      </w:r>
      <w:r>
        <w:rPr>
          <w:rFonts w:ascii="Times New Roman" w:hAnsi="Times New Roman" w:cs="Times New Roman"/>
          <w:sz w:val="24"/>
          <w:szCs w:val="24"/>
        </w:rPr>
        <w:t xml:space="preserve">” which </w:t>
      </w:r>
      <w:r>
        <w:rPr>
          <w:rFonts w:ascii="Times New Roman" w:hAnsi="Times New Roman" w:cs="Times New Roman"/>
          <w:color w:val="292C33"/>
          <w:sz w:val="24"/>
          <w:szCs w:val="24"/>
          <w:shd w:val="clear" w:color="auto" w:fill="FFFFFF"/>
        </w:rPr>
        <w:t>allow</w:t>
      </w:r>
      <w:r w:rsidRPr="00302C1F">
        <w:rPr>
          <w:rFonts w:ascii="Times New Roman" w:hAnsi="Times New Roman" w:cs="Times New Roman"/>
          <w:color w:val="292C33"/>
          <w:sz w:val="24"/>
          <w:szCs w:val="24"/>
          <w:shd w:val="clear" w:color="auto" w:fill="FFFFFF"/>
        </w:rPr>
        <w:t>s</w:t>
      </w:r>
      <w:r>
        <w:rPr>
          <w:rFonts w:ascii="Times New Roman" w:hAnsi="Times New Roman" w:cs="Times New Roman"/>
          <w:color w:val="292C33"/>
          <w:sz w:val="24"/>
          <w:szCs w:val="24"/>
          <w:shd w:val="clear" w:color="auto" w:fill="FFFFFF"/>
        </w:rPr>
        <w:t xml:space="preserve"> for s</w:t>
      </w:r>
      <w:r w:rsidRPr="00302C1F">
        <w:rPr>
          <w:rFonts w:ascii="Times New Roman" w:hAnsi="Times New Roman" w:cs="Times New Roman"/>
          <w:color w:val="292C33"/>
          <w:sz w:val="24"/>
          <w:szCs w:val="24"/>
          <w:shd w:val="clear" w:color="auto" w:fill="FFFFFF"/>
        </w:rPr>
        <w:t>end</w:t>
      </w:r>
      <w:r>
        <w:rPr>
          <w:rFonts w:ascii="Times New Roman" w:hAnsi="Times New Roman" w:cs="Times New Roman"/>
          <w:color w:val="292C33"/>
          <w:sz w:val="24"/>
          <w:szCs w:val="24"/>
          <w:shd w:val="clear" w:color="auto" w:fill="FFFFFF"/>
        </w:rPr>
        <w:t>ing and receiving</w:t>
      </w:r>
      <w:r w:rsidRPr="00302C1F">
        <w:rPr>
          <w:rFonts w:ascii="Times New Roman" w:hAnsi="Times New Roman" w:cs="Times New Roman"/>
          <w:color w:val="292C33"/>
          <w:sz w:val="24"/>
          <w:szCs w:val="24"/>
          <w:shd w:val="clear" w:color="auto" w:fill="FFFFFF"/>
        </w:rPr>
        <w:t xml:space="preserve"> mess</w:t>
      </w:r>
      <w:r>
        <w:rPr>
          <w:rFonts w:ascii="Times New Roman" w:hAnsi="Times New Roman" w:cs="Times New Roman"/>
          <w:color w:val="292C33"/>
          <w:sz w:val="24"/>
          <w:szCs w:val="24"/>
          <w:shd w:val="clear" w:color="auto" w:fill="FFFFFF"/>
        </w:rPr>
        <w:t>ages or phone calls through the</w:t>
      </w:r>
      <w:r w:rsidRPr="00302C1F">
        <w:rPr>
          <w:rFonts w:ascii="Times New Roman" w:hAnsi="Times New Roman" w:cs="Times New Roman"/>
          <w:color w:val="292C33"/>
          <w:sz w:val="24"/>
          <w:szCs w:val="24"/>
          <w:shd w:val="clear" w:color="auto" w:fill="FFFFFF"/>
        </w:rPr>
        <w:t xml:space="preserve"> </w:t>
      </w:r>
      <w:proofErr w:type="spellStart"/>
      <w:r w:rsidRPr="00302C1F">
        <w:rPr>
          <w:rFonts w:ascii="Times New Roman" w:hAnsi="Times New Roman" w:cs="Times New Roman"/>
          <w:color w:val="292C33"/>
          <w:sz w:val="24"/>
          <w:szCs w:val="24"/>
          <w:shd w:val="clear" w:color="auto" w:fill="FFFFFF"/>
        </w:rPr>
        <w:t>TextIt</w:t>
      </w:r>
      <w:proofErr w:type="spellEnd"/>
      <w:r w:rsidRPr="00302C1F">
        <w:rPr>
          <w:rFonts w:ascii="Times New Roman" w:hAnsi="Times New Roman" w:cs="Times New Roman"/>
          <w:color w:val="292C33"/>
          <w:sz w:val="24"/>
          <w:szCs w:val="24"/>
          <w:shd w:val="clear" w:color="auto" w:fill="FFFFFF"/>
        </w:rPr>
        <w:t xml:space="preserve"> account. </w:t>
      </w:r>
      <w:r>
        <w:rPr>
          <w:rFonts w:ascii="Times New Roman" w:hAnsi="Times New Roman" w:cs="Times New Roman"/>
          <w:color w:val="292C33"/>
          <w:sz w:val="24"/>
          <w:szCs w:val="24"/>
          <w:shd w:val="clear" w:color="auto" w:fill="FFFFFF"/>
        </w:rPr>
        <w:t xml:space="preserve">As </w:t>
      </w:r>
      <w:r w:rsidRPr="00302C1F">
        <w:rPr>
          <w:rFonts w:ascii="Times New Roman" w:hAnsi="Times New Roman" w:cs="Times New Roman"/>
          <w:color w:val="292C33"/>
          <w:sz w:val="24"/>
          <w:szCs w:val="24"/>
          <w:shd w:val="clear" w:color="auto" w:fill="FFFFFF"/>
        </w:rPr>
        <w:t xml:space="preserve">many channels </w:t>
      </w:r>
      <w:r>
        <w:rPr>
          <w:rFonts w:ascii="Times New Roman" w:hAnsi="Times New Roman" w:cs="Times New Roman"/>
          <w:color w:val="292C33"/>
          <w:sz w:val="24"/>
          <w:szCs w:val="24"/>
          <w:shd w:val="clear" w:color="auto" w:fill="FFFFFF"/>
        </w:rPr>
        <w:t xml:space="preserve">can be connected to the </w:t>
      </w:r>
      <w:proofErr w:type="spellStart"/>
      <w:r>
        <w:rPr>
          <w:rFonts w:ascii="Times New Roman" w:hAnsi="Times New Roman" w:cs="Times New Roman"/>
          <w:color w:val="292C33"/>
          <w:sz w:val="24"/>
          <w:szCs w:val="24"/>
          <w:shd w:val="clear" w:color="auto" w:fill="FFFFFF"/>
        </w:rPr>
        <w:t>TextIt</w:t>
      </w:r>
      <w:proofErr w:type="spellEnd"/>
      <w:r>
        <w:rPr>
          <w:rFonts w:ascii="Times New Roman" w:hAnsi="Times New Roman" w:cs="Times New Roman"/>
          <w:color w:val="292C33"/>
          <w:sz w:val="24"/>
          <w:szCs w:val="24"/>
          <w:shd w:val="clear" w:color="auto" w:fill="FFFFFF"/>
        </w:rPr>
        <w:t xml:space="preserve"> account as needed</w:t>
      </w:r>
      <w:r w:rsidRPr="00302C1F">
        <w:rPr>
          <w:rFonts w:ascii="Times New Roman" w:hAnsi="Times New Roman" w:cs="Times New Roman"/>
          <w:color w:val="292C33"/>
          <w:sz w:val="24"/>
          <w:szCs w:val="24"/>
          <w:shd w:val="clear" w:color="auto" w:fill="FFFFFF"/>
        </w:rPr>
        <w:t>.</w:t>
      </w:r>
      <w:r>
        <w:rPr>
          <w:rFonts w:ascii="Times New Roman" w:hAnsi="Times New Roman" w:cs="Times New Roman"/>
          <w:color w:val="292C33"/>
          <w:sz w:val="24"/>
          <w:szCs w:val="24"/>
          <w:shd w:val="clear" w:color="auto" w:fill="FFFFFF"/>
        </w:rPr>
        <w:t xml:space="preserve"> The channel used for this project was the </w:t>
      </w:r>
      <w:r w:rsidRPr="00302C1F">
        <w:rPr>
          <w:rFonts w:ascii="Times New Roman" w:hAnsi="Times New Roman" w:cs="Times New Roman"/>
          <w:color w:val="292C33"/>
          <w:sz w:val="24"/>
          <w:szCs w:val="24"/>
          <w:shd w:val="clear" w:color="auto" w:fill="FFFFFF"/>
        </w:rPr>
        <w:t>SMS aggregator Twilio. Aggregators are services that process messages across multiple carriers with exceptional speed and efficiency. They provide </w:t>
      </w:r>
      <w:r w:rsidRPr="00302C1F">
        <w:rPr>
          <w:rFonts w:ascii="Times New Roman" w:hAnsi="Times New Roman" w:cs="Times New Roman"/>
          <w:b/>
          <w:bCs/>
          <w:color w:val="292C33"/>
          <w:sz w:val="24"/>
          <w:szCs w:val="24"/>
          <w:bdr w:val="none" w:sz="0" w:space="0" w:color="auto" w:frame="1"/>
          <w:shd w:val="clear" w:color="auto" w:fill="FFFFFF"/>
        </w:rPr>
        <w:t>virtual mobile numbers </w:t>
      </w:r>
      <w:r w:rsidRPr="00302C1F">
        <w:rPr>
          <w:rFonts w:ascii="Times New Roman" w:hAnsi="Times New Roman" w:cs="Times New Roman"/>
          <w:color w:val="292C33"/>
          <w:sz w:val="24"/>
          <w:szCs w:val="24"/>
          <w:shd w:val="clear" w:color="auto" w:fill="FFFFFF"/>
        </w:rPr>
        <w:t>and </w:t>
      </w:r>
      <w:r w:rsidRPr="00302C1F">
        <w:rPr>
          <w:rFonts w:ascii="Times New Roman" w:hAnsi="Times New Roman" w:cs="Times New Roman"/>
          <w:b/>
          <w:bCs/>
          <w:color w:val="292C33"/>
          <w:sz w:val="24"/>
          <w:szCs w:val="24"/>
          <w:bdr w:val="none" w:sz="0" w:space="0" w:color="auto" w:frame="1"/>
          <w:shd w:val="clear" w:color="auto" w:fill="FFFFFF"/>
        </w:rPr>
        <w:t>short codes</w:t>
      </w:r>
      <w:r w:rsidRPr="00302C1F">
        <w:rPr>
          <w:rFonts w:ascii="Times New Roman" w:hAnsi="Times New Roman" w:cs="Times New Roman"/>
          <w:color w:val="292C33"/>
          <w:sz w:val="24"/>
          <w:szCs w:val="24"/>
          <w:shd w:val="clear" w:color="auto" w:fill="FFFFFF"/>
        </w:rPr>
        <w:t xml:space="preserve"> that are easily connected to </w:t>
      </w:r>
      <w:proofErr w:type="spellStart"/>
      <w:r w:rsidRPr="00302C1F">
        <w:rPr>
          <w:rFonts w:ascii="Times New Roman" w:hAnsi="Times New Roman" w:cs="Times New Roman"/>
          <w:color w:val="292C33"/>
          <w:sz w:val="24"/>
          <w:szCs w:val="24"/>
          <w:shd w:val="clear" w:color="auto" w:fill="FFFFFF"/>
        </w:rPr>
        <w:t>TextIt</w:t>
      </w:r>
      <w:proofErr w:type="spellEnd"/>
      <w:r w:rsidRPr="00302C1F">
        <w:rPr>
          <w:rFonts w:ascii="Times New Roman" w:hAnsi="Times New Roman" w:cs="Times New Roman"/>
          <w:color w:val="292C33"/>
          <w:sz w:val="24"/>
          <w:szCs w:val="24"/>
          <w:shd w:val="clear" w:color="auto" w:fill="FFFFFF"/>
        </w:rPr>
        <w:t xml:space="preserve"> acco</w:t>
      </w:r>
      <w:r>
        <w:rPr>
          <w:rFonts w:ascii="Times New Roman" w:hAnsi="Times New Roman" w:cs="Times New Roman"/>
          <w:color w:val="292C33"/>
          <w:sz w:val="24"/>
          <w:szCs w:val="24"/>
          <w:shd w:val="clear" w:color="auto" w:fill="FFFFFF"/>
        </w:rPr>
        <w:t xml:space="preserve">unts </w:t>
      </w:r>
      <w:r w:rsidRPr="00A3363A">
        <w:rPr>
          <w:rFonts w:ascii="Times New Roman" w:hAnsi="Times New Roman" w:cs="Times New Roman"/>
          <w:sz w:val="24"/>
          <w:szCs w:val="24"/>
        </w:rPr>
        <w:t xml:space="preserve">through an API integration. </w:t>
      </w:r>
      <w:r>
        <w:rPr>
          <w:rFonts w:ascii="Times New Roman" w:hAnsi="Times New Roman" w:cs="Times New Roman"/>
          <w:sz w:val="24"/>
          <w:szCs w:val="24"/>
        </w:rPr>
        <w:t>Messages are sent</w:t>
      </w:r>
      <w:r w:rsidRPr="00302C1F">
        <w:rPr>
          <w:rFonts w:ascii="Times New Roman" w:hAnsi="Times New Roman" w:cs="Times New Roman"/>
          <w:sz w:val="24"/>
          <w:szCs w:val="24"/>
        </w:rPr>
        <w:t xml:space="preserve"> through local mobile network operators (MNO). As a result, </w:t>
      </w:r>
      <w:r>
        <w:rPr>
          <w:rFonts w:ascii="Times New Roman" w:hAnsi="Times New Roman" w:cs="Times New Roman"/>
          <w:sz w:val="24"/>
          <w:szCs w:val="24"/>
        </w:rPr>
        <w:t xml:space="preserve">the </w:t>
      </w:r>
      <w:r w:rsidRPr="00302C1F">
        <w:rPr>
          <w:rFonts w:ascii="Times New Roman" w:hAnsi="Times New Roman" w:cs="Times New Roman"/>
          <w:sz w:val="24"/>
          <w:szCs w:val="24"/>
        </w:rPr>
        <w:t xml:space="preserve">system </w:t>
      </w:r>
      <w:r>
        <w:rPr>
          <w:rFonts w:ascii="Times New Roman" w:hAnsi="Times New Roman" w:cs="Times New Roman"/>
          <w:sz w:val="24"/>
          <w:szCs w:val="24"/>
        </w:rPr>
        <w:t>can be challenged</w:t>
      </w:r>
      <w:r w:rsidRPr="00302C1F">
        <w:rPr>
          <w:rFonts w:ascii="Times New Roman" w:hAnsi="Times New Roman" w:cs="Times New Roman"/>
          <w:sz w:val="24"/>
          <w:szCs w:val="24"/>
        </w:rPr>
        <w:t xml:space="preserve"> by MNO throttling due to the large volumes of messages that </w:t>
      </w:r>
      <w:r>
        <w:rPr>
          <w:rFonts w:ascii="Times New Roman" w:hAnsi="Times New Roman" w:cs="Times New Roman"/>
          <w:sz w:val="24"/>
          <w:szCs w:val="24"/>
        </w:rPr>
        <w:t>are sent</w:t>
      </w:r>
      <w:r w:rsidRPr="00302C1F">
        <w:rPr>
          <w:rFonts w:ascii="Times New Roman" w:hAnsi="Times New Roman" w:cs="Times New Roman"/>
          <w:sz w:val="24"/>
          <w:szCs w:val="24"/>
        </w:rPr>
        <w:t xml:space="preserve"> at one time (i</w:t>
      </w:r>
      <w:r w:rsidR="00DC74E8">
        <w:rPr>
          <w:rFonts w:ascii="Times New Roman" w:hAnsi="Times New Roman" w:cs="Times New Roman"/>
          <w:sz w:val="24"/>
          <w:szCs w:val="24"/>
        </w:rPr>
        <w:t>.</w:t>
      </w:r>
      <w:r w:rsidRPr="00302C1F">
        <w:rPr>
          <w:rFonts w:ascii="Times New Roman" w:hAnsi="Times New Roman" w:cs="Times New Roman"/>
          <w:sz w:val="24"/>
          <w:szCs w:val="24"/>
        </w:rPr>
        <w:t>e</w:t>
      </w:r>
      <w:r w:rsidR="00DC74E8">
        <w:rPr>
          <w:rFonts w:ascii="Times New Roman" w:hAnsi="Times New Roman" w:cs="Times New Roman"/>
          <w:sz w:val="24"/>
          <w:szCs w:val="24"/>
        </w:rPr>
        <w:t>.,</w:t>
      </w:r>
      <w:r w:rsidRPr="00302C1F">
        <w:rPr>
          <w:rFonts w:ascii="Times New Roman" w:hAnsi="Times New Roman" w:cs="Times New Roman"/>
          <w:sz w:val="24"/>
          <w:szCs w:val="24"/>
        </w:rPr>
        <w:t xml:space="preserve"> a routine active surveillance messaging round on Sundays of each week). </w:t>
      </w:r>
      <w:r>
        <w:rPr>
          <w:rFonts w:ascii="Times New Roman" w:hAnsi="Times New Roman" w:cs="Times New Roman"/>
          <w:sz w:val="24"/>
          <w:szCs w:val="24"/>
        </w:rPr>
        <w:t>As a result,</w:t>
      </w:r>
      <w:r w:rsidRPr="00302C1F">
        <w:rPr>
          <w:rFonts w:ascii="Times New Roman" w:hAnsi="Times New Roman" w:cs="Times New Roman"/>
          <w:sz w:val="24"/>
          <w:szCs w:val="24"/>
        </w:rPr>
        <w:t xml:space="preserve"> implementation </w:t>
      </w:r>
      <w:r>
        <w:rPr>
          <w:rFonts w:ascii="Times New Roman" w:hAnsi="Times New Roman" w:cs="Times New Roman"/>
          <w:sz w:val="24"/>
          <w:szCs w:val="24"/>
        </w:rPr>
        <w:t>followed</w:t>
      </w:r>
      <w:r w:rsidRPr="00302C1F">
        <w:rPr>
          <w:rFonts w:ascii="Times New Roman" w:hAnsi="Times New Roman" w:cs="Times New Roman"/>
          <w:sz w:val="24"/>
          <w:szCs w:val="24"/>
        </w:rPr>
        <w:t xml:space="preserve"> a phased approach, where </w:t>
      </w:r>
      <w:r>
        <w:rPr>
          <w:rFonts w:ascii="Times New Roman" w:hAnsi="Times New Roman" w:cs="Times New Roman"/>
          <w:sz w:val="24"/>
          <w:szCs w:val="24"/>
        </w:rPr>
        <w:t>the participants were</w:t>
      </w:r>
      <w:r w:rsidRPr="00302C1F">
        <w:rPr>
          <w:rFonts w:ascii="Times New Roman" w:hAnsi="Times New Roman" w:cs="Times New Roman"/>
          <w:sz w:val="24"/>
          <w:szCs w:val="24"/>
        </w:rPr>
        <w:t xml:space="preserve"> partition</w:t>
      </w:r>
      <w:r>
        <w:rPr>
          <w:rFonts w:ascii="Times New Roman" w:hAnsi="Times New Roman" w:cs="Times New Roman"/>
          <w:sz w:val="24"/>
          <w:szCs w:val="24"/>
        </w:rPr>
        <w:t>ed into</w:t>
      </w:r>
      <w:r w:rsidRPr="00302C1F">
        <w:rPr>
          <w:rFonts w:ascii="Times New Roman" w:hAnsi="Times New Roman" w:cs="Times New Roman"/>
          <w:sz w:val="24"/>
          <w:szCs w:val="24"/>
        </w:rPr>
        <w:t xml:space="preserve"> </w:t>
      </w:r>
      <w:r>
        <w:rPr>
          <w:rFonts w:ascii="Times New Roman" w:hAnsi="Times New Roman" w:cs="Times New Roman"/>
          <w:sz w:val="24"/>
          <w:szCs w:val="24"/>
        </w:rPr>
        <w:t>groups in two ways. First,</w:t>
      </w:r>
      <w:r w:rsidRPr="00302C1F">
        <w:rPr>
          <w:rFonts w:ascii="Times New Roman" w:hAnsi="Times New Roman" w:cs="Times New Roman"/>
          <w:sz w:val="24"/>
          <w:szCs w:val="24"/>
        </w:rPr>
        <w:t xml:space="preserve"> multiple channels, or phone numbers, </w:t>
      </w:r>
      <w:r>
        <w:rPr>
          <w:rFonts w:ascii="Times New Roman" w:hAnsi="Times New Roman" w:cs="Times New Roman"/>
          <w:sz w:val="24"/>
          <w:szCs w:val="24"/>
        </w:rPr>
        <w:t>were</w:t>
      </w:r>
      <w:r w:rsidRPr="00302C1F">
        <w:rPr>
          <w:rFonts w:ascii="Times New Roman" w:hAnsi="Times New Roman" w:cs="Times New Roman"/>
          <w:sz w:val="24"/>
          <w:szCs w:val="24"/>
        </w:rPr>
        <w:t xml:space="preserve"> connected to each account. The da</w:t>
      </w:r>
      <w:r>
        <w:rPr>
          <w:rFonts w:ascii="Times New Roman" w:hAnsi="Times New Roman" w:cs="Times New Roman"/>
          <w:sz w:val="24"/>
          <w:szCs w:val="24"/>
        </w:rPr>
        <w:t>ta management staff then assigned</w:t>
      </w:r>
      <w:r w:rsidRPr="00302C1F">
        <w:rPr>
          <w:rFonts w:ascii="Times New Roman" w:hAnsi="Times New Roman" w:cs="Times New Roman"/>
          <w:sz w:val="24"/>
          <w:szCs w:val="24"/>
        </w:rPr>
        <w:t xml:space="preserve"> participants to a specific channel within each account upon importing into the system. Second, participants</w:t>
      </w:r>
      <w:r>
        <w:rPr>
          <w:rFonts w:ascii="Times New Roman" w:hAnsi="Times New Roman" w:cs="Times New Roman"/>
          <w:sz w:val="24"/>
          <w:szCs w:val="24"/>
        </w:rPr>
        <w:t xml:space="preserve"> were grouped</w:t>
      </w:r>
      <w:r w:rsidRPr="00302C1F">
        <w:rPr>
          <w:rFonts w:ascii="Times New Roman" w:hAnsi="Times New Roman" w:cs="Times New Roman"/>
          <w:sz w:val="24"/>
          <w:szCs w:val="24"/>
        </w:rPr>
        <w:t xml:space="preserve"> into different ‘time slots’ throughout the day to receive their </w:t>
      </w:r>
      <w:r>
        <w:rPr>
          <w:rFonts w:ascii="Times New Roman" w:hAnsi="Times New Roman" w:cs="Times New Roman"/>
          <w:sz w:val="24"/>
          <w:szCs w:val="24"/>
        </w:rPr>
        <w:t>messages. Typically, there are three</w:t>
      </w:r>
      <w:r w:rsidRPr="00302C1F">
        <w:rPr>
          <w:rFonts w:ascii="Times New Roman" w:hAnsi="Times New Roman" w:cs="Times New Roman"/>
          <w:sz w:val="24"/>
          <w:szCs w:val="24"/>
        </w:rPr>
        <w:t xml:space="preserve"> time slots a day that participants will be assigned to (through a </w:t>
      </w:r>
      <w:proofErr w:type="spellStart"/>
      <w:r w:rsidRPr="00302C1F">
        <w:rPr>
          <w:rFonts w:ascii="Times New Roman" w:hAnsi="Times New Roman" w:cs="Times New Roman"/>
          <w:sz w:val="24"/>
          <w:szCs w:val="24"/>
        </w:rPr>
        <w:t>Date&amp;Time</w:t>
      </w:r>
      <w:proofErr w:type="spellEnd"/>
      <w:r w:rsidRPr="00302C1F">
        <w:rPr>
          <w:rFonts w:ascii="Times New Roman" w:hAnsi="Times New Roman" w:cs="Times New Roman"/>
          <w:sz w:val="24"/>
          <w:szCs w:val="24"/>
        </w:rPr>
        <w:t xml:space="preserve"> contact variable). Thus, for example when it comes time for an active messaging round, all participants will still receive their messages on the required day, but the messages will be sent in blocks (re: 10 AM, 1 PM, 3 PM) so as to limit the volume of messages even further from each of the channels.</w:t>
      </w:r>
    </w:p>
    <w:p w14:paraId="2F65050D" w14:textId="77777777" w:rsidR="004A4C18" w:rsidRDefault="004A4C18" w:rsidP="00E554AA">
      <w:pPr>
        <w:rPr>
          <w:rFonts w:ascii="Times New Roman" w:hAnsi="Times New Roman" w:cs="Times New Roman"/>
          <w:b/>
          <w:sz w:val="24"/>
          <w:szCs w:val="24"/>
          <w:u w:val="single"/>
          <w:lang w:bidi="he-IL"/>
        </w:rPr>
      </w:pPr>
    </w:p>
    <w:p w14:paraId="264E2030" w14:textId="77777777" w:rsidR="004A4C18" w:rsidRDefault="004A4C18" w:rsidP="00E554AA">
      <w:pPr>
        <w:rPr>
          <w:rFonts w:ascii="Times New Roman" w:hAnsi="Times New Roman" w:cs="Times New Roman"/>
          <w:b/>
          <w:sz w:val="24"/>
          <w:szCs w:val="24"/>
          <w:u w:val="single"/>
          <w:lang w:bidi="he-IL"/>
        </w:rPr>
      </w:pPr>
    </w:p>
    <w:p w14:paraId="07CE2473" w14:textId="77777777" w:rsidR="004A4C18" w:rsidRDefault="004A4C18" w:rsidP="00E554AA">
      <w:pPr>
        <w:rPr>
          <w:rFonts w:ascii="Times New Roman" w:hAnsi="Times New Roman" w:cs="Times New Roman"/>
          <w:b/>
          <w:sz w:val="24"/>
          <w:szCs w:val="24"/>
          <w:u w:val="single"/>
          <w:lang w:bidi="he-IL"/>
        </w:rPr>
      </w:pPr>
    </w:p>
    <w:p w14:paraId="12F5D0C3" w14:textId="77777777" w:rsidR="004A4C18" w:rsidRDefault="004A4C18" w:rsidP="00E554AA">
      <w:pPr>
        <w:rPr>
          <w:rFonts w:ascii="Times New Roman" w:hAnsi="Times New Roman" w:cs="Times New Roman"/>
          <w:b/>
          <w:sz w:val="24"/>
          <w:szCs w:val="24"/>
          <w:u w:val="single"/>
          <w:lang w:bidi="he-IL"/>
        </w:rPr>
      </w:pPr>
    </w:p>
    <w:p w14:paraId="43E2B372" w14:textId="77777777" w:rsidR="004A4C18" w:rsidRDefault="004A4C18" w:rsidP="00E554AA">
      <w:pPr>
        <w:rPr>
          <w:rFonts w:ascii="Times New Roman" w:hAnsi="Times New Roman" w:cs="Times New Roman"/>
          <w:b/>
          <w:sz w:val="24"/>
          <w:szCs w:val="24"/>
          <w:u w:val="single"/>
          <w:lang w:bidi="he-IL"/>
        </w:rPr>
      </w:pPr>
    </w:p>
    <w:p w14:paraId="0D8F08FE" w14:textId="7B5696C3" w:rsidR="00A3363A" w:rsidRPr="00E554AA" w:rsidRDefault="00E554AA" w:rsidP="00E554AA">
      <w:pPr>
        <w:rPr>
          <w:rFonts w:ascii="Times New Roman" w:hAnsi="Times New Roman" w:cs="Times New Roman"/>
          <w:b/>
          <w:sz w:val="24"/>
          <w:szCs w:val="24"/>
          <w:u w:val="single"/>
          <w:lang w:bidi="he-IL"/>
        </w:rPr>
      </w:pPr>
      <w:bookmarkStart w:id="0" w:name="_GoBack"/>
      <w:bookmarkEnd w:id="0"/>
      <w:r w:rsidRPr="00E554AA">
        <w:rPr>
          <w:rFonts w:ascii="Times New Roman" w:hAnsi="Times New Roman" w:cs="Times New Roman"/>
          <w:b/>
          <w:sz w:val="24"/>
          <w:szCs w:val="24"/>
          <w:u w:val="single"/>
          <w:lang w:bidi="he-IL"/>
        </w:rPr>
        <w:lastRenderedPageBreak/>
        <w:t>A</w:t>
      </w:r>
      <w:r w:rsidR="0083497E">
        <w:rPr>
          <w:rFonts w:ascii="Times New Roman" w:hAnsi="Times New Roman" w:cs="Times New Roman"/>
          <w:b/>
          <w:sz w:val="24"/>
          <w:szCs w:val="24"/>
          <w:u w:val="single"/>
          <w:lang w:bidi="he-IL"/>
        </w:rPr>
        <w:t xml:space="preserve">nnex </w:t>
      </w:r>
      <w:r w:rsidR="00410943">
        <w:rPr>
          <w:rFonts w:ascii="Times New Roman" w:hAnsi="Times New Roman" w:cs="Times New Roman"/>
          <w:b/>
          <w:sz w:val="24"/>
          <w:szCs w:val="24"/>
          <w:u w:val="single"/>
          <w:lang w:bidi="he-IL"/>
        </w:rPr>
        <w:t>7</w:t>
      </w:r>
      <w:r w:rsidR="00410943" w:rsidRPr="00E554AA">
        <w:rPr>
          <w:rFonts w:ascii="Times New Roman" w:hAnsi="Times New Roman" w:cs="Times New Roman"/>
          <w:b/>
          <w:sz w:val="24"/>
          <w:szCs w:val="24"/>
          <w:u w:val="single"/>
          <w:lang w:bidi="he-IL"/>
        </w:rPr>
        <w:t xml:space="preserve"> </w:t>
      </w:r>
      <w:r>
        <w:rPr>
          <w:rFonts w:ascii="Times New Roman" w:hAnsi="Times New Roman" w:cs="Times New Roman"/>
          <w:b/>
          <w:sz w:val="24"/>
          <w:szCs w:val="24"/>
          <w:u w:val="single"/>
          <w:lang w:bidi="he-IL"/>
        </w:rPr>
        <w:t>–</w:t>
      </w:r>
      <w:r w:rsidRPr="00E554AA">
        <w:rPr>
          <w:rFonts w:ascii="Times New Roman" w:hAnsi="Times New Roman" w:cs="Times New Roman"/>
          <w:b/>
          <w:sz w:val="24"/>
          <w:szCs w:val="24"/>
          <w:u w:val="single"/>
          <w:lang w:bidi="he-IL"/>
        </w:rPr>
        <w:t xml:space="preserve"> </w:t>
      </w:r>
      <w:r w:rsidR="00A3363A" w:rsidRPr="00E554AA">
        <w:rPr>
          <w:rFonts w:ascii="Times New Roman" w:hAnsi="Times New Roman" w:cs="Times New Roman"/>
          <w:b/>
          <w:sz w:val="24"/>
          <w:szCs w:val="24"/>
          <w:u w:val="single"/>
          <w:lang w:bidi="he-IL"/>
        </w:rPr>
        <w:t>S</w:t>
      </w:r>
      <w:r>
        <w:rPr>
          <w:rFonts w:ascii="Times New Roman" w:hAnsi="Times New Roman" w:cs="Times New Roman"/>
          <w:b/>
          <w:sz w:val="24"/>
          <w:szCs w:val="24"/>
          <w:u w:val="single"/>
          <w:lang w:bidi="he-IL"/>
        </w:rPr>
        <w:t>tatistical Considerations</w:t>
      </w:r>
    </w:p>
    <w:p w14:paraId="4358B68A" w14:textId="77777777" w:rsidR="00A3363A" w:rsidRPr="00E621BB" w:rsidRDefault="00A3363A" w:rsidP="00165BAD">
      <w:pPr>
        <w:spacing w:line="480" w:lineRule="auto"/>
        <w:rPr>
          <w:rFonts w:asciiTheme="majorBidi" w:hAnsiTheme="majorBidi" w:cstheme="majorBidi"/>
          <w:b/>
          <w:bCs/>
        </w:rPr>
      </w:pPr>
      <w:r w:rsidRPr="00E621BB">
        <w:rPr>
          <w:rFonts w:asciiTheme="majorBidi" w:hAnsiTheme="majorBidi" w:cstheme="majorBidi"/>
          <w:b/>
          <w:bCs/>
          <w:sz w:val="24"/>
          <w:szCs w:val="24"/>
        </w:rPr>
        <w:t>Sample Size for VE and Incidence Objectives</w:t>
      </w:r>
    </w:p>
    <w:p w14:paraId="3D5FA3CD" w14:textId="77777777" w:rsidR="00A3363A" w:rsidRDefault="00A3363A" w:rsidP="00165BAD">
      <w:pPr>
        <w:spacing w:line="480" w:lineRule="auto"/>
        <w:rPr>
          <w:rFonts w:ascii="Times New Roman" w:hAnsi="Times New Roman" w:cs="Times New Roman"/>
          <w:sz w:val="24"/>
          <w:szCs w:val="24"/>
        </w:rPr>
      </w:pPr>
      <w:r>
        <w:rPr>
          <w:rFonts w:ascii="Times New Roman" w:hAnsi="Times New Roman" w:cs="Times New Roman"/>
          <w:sz w:val="24"/>
          <w:szCs w:val="24"/>
        </w:rPr>
        <w:t xml:space="preserve">We estimated that with 2,430 participants (contributing 5 months at-risk of influenza infection per season or 1,012 participant years), 40% vaccine coverage, and 10% influenza illness attack rate, we would be powered to estimate a true VE of 50% with confidence intervals that do not overlap with zero. Assuming within season attrition of ~9%, a cohort of approximately 2,800 HCP would ensure an analytic sample of &gt;2,300.   </w:t>
      </w:r>
    </w:p>
    <w:p w14:paraId="191BB6E2" w14:textId="77777777" w:rsidR="00A3363A" w:rsidRDefault="00A3363A" w:rsidP="00165BA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Kuster</w:t>
      </w:r>
      <w:proofErr w:type="spellEnd"/>
      <w:r>
        <w:rPr>
          <w:rFonts w:ascii="Times New Roman" w:hAnsi="Times New Roman" w:cs="Times New Roman"/>
          <w:sz w:val="24"/>
          <w:szCs w:val="24"/>
        </w:rPr>
        <w:t xml:space="preserve"> et al.’s meta-analysis of HCP studies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&lt;EndNote&gt;&lt;Cite&gt;&lt;Author&gt;Kuster&lt;/Author&gt;&lt;Year&gt;2011&lt;/Year&gt;&lt;RecNum&gt;1&lt;/RecNum&gt;&lt;DisplayText&gt;[1]&lt;/DisplayText&gt;&lt;record&gt;&lt;rec-number&gt;1&lt;/rec-number&gt;&lt;foreign-keys&gt;&lt;key app="EN" db-id="ww0pastav5xasfesxe7vst2ireaa059vpftf" timestamp="1464121883"&gt;1&lt;/key&gt;&lt;/foreign-keys&gt;&lt;ref-type name="Journal Article"&gt;17&lt;/ref-type&gt;&lt;contributors&gt;&lt;authors&gt;&lt;author&gt;Kuster, S. P.&lt;/author&gt;&lt;author&gt;Shah, P. S.&lt;/author&gt;&lt;author&gt;Coleman, B. L.&lt;/author&gt;&lt;author&gt;Lam, P. P.&lt;/author&gt;&lt;author&gt;Tong, A.&lt;/author&gt;&lt;author&gt;Wormsbecker, A.&lt;/author&gt;&lt;author&gt;McGeer, A.&lt;/author&gt;&lt;/authors&gt;&lt;/contributors&gt;&lt;auth-address&gt;Mount Sinai Hospital, Toronto Ontario, Canada.&lt;/auth-address&gt;&lt;titles&gt;&lt;title&gt;Incidence of influenza in healthy adults and healthcare workers: a systematic review and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26239&lt;/pages&gt;&lt;volume&gt;6&lt;/volume&gt;&lt;number&gt;10&lt;/number&gt;&lt;edition&gt;2011/10/27&lt;/edition&gt;&lt;keywords&gt;&lt;keyword&gt;Adult&lt;/keyword&gt;&lt;keyword&gt;*Health&lt;/keyword&gt;&lt;keyword&gt;Health Personnel/*statistics &amp;amp; numerical data&lt;/keyword&gt;&lt;keyword&gt;Humans&lt;/keyword&gt;&lt;keyword&gt;Influenza, Human/*epidemiology&lt;/keyword&gt;&lt;/keywords&gt;&lt;dates&gt;&lt;year&gt;2011&lt;/year&gt;&lt;/dates&gt;&lt;isbn&gt;1932-6203 (Electronic)&amp;#xD;1932-6203 (Linking)&lt;/isbn&gt;&lt;accession-num&gt;22028840&lt;/accession-num&gt;&lt;work-type&gt;Meta-Analysis&amp;#xD;Research Support, Non-U.S. Gov&amp;apos;t&amp;#xD;Review&lt;/work-type&gt;&lt;urls&gt;&lt;related-urls&gt;&lt;url&gt;http://www.ncbi.nlm.nih.gov/pubmed/22028840&lt;/url&gt;&lt;/related-urls&gt;&lt;/urls&gt;&lt;custom2&gt;3196543&lt;/custom2&gt;&lt;electronic-resource-num&gt;10.1371/journal.pone.0026239&lt;/electronic-resource-num&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r:id="rId6" w:anchor="_ENREF_1" w:tooltip="Kuster, 2011 #1" w:history="1">
        <w:r>
          <w:rPr>
            <w:rStyle w:val="Hyperlink"/>
            <w:rFonts w:ascii="Times New Roman" w:hAnsi="Times New Roman" w:cs="Times New Roman"/>
            <w:noProof/>
            <w:sz w:val="24"/>
            <w:szCs w:val="24"/>
          </w:rPr>
          <w:t>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estimated the incidence of symptomatic influenza infection in a typical influenza season at 7.5 per 100 unvaccinated HCP and 4.8 per 100 vaccinated HCP. This is lower than the 10% attack rate assumed in our preliminary power analyses. However, our study design involves a broader case definition and intensive surveillance, which should optimize influenza detection. Nonetheless, we may be underpowered to estimate VE if the season duration, attack rate, or vaccination coverage is lower than expected. Combining results with the related US-CDC-funded HCP cohort study in Peru and/or a multi-season model may be required to examine whether VE varied by age, prior vaccination exposure, occupation, or other potential effect modifiers. </w:t>
      </w:r>
    </w:p>
    <w:p w14:paraId="5743B38C" w14:textId="45099FC9" w:rsidR="00A3363A" w:rsidRDefault="00A3363A" w:rsidP="00165BAD">
      <w:pPr>
        <w:spacing w:line="480" w:lineRule="auto"/>
        <w:rPr>
          <w:rFonts w:ascii="Times New Roman" w:hAnsi="Times New Roman" w:cs="Times New Roman"/>
          <w:sz w:val="24"/>
          <w:szCs w:val="24"/>
        </w:rPr>
      </w:pPr>
      <w:r>
        <w:rPr>
          <w:rFonts w:ascii="Times New Roman" w:hAnsi="Times New Roman" w:cs="Times New Roman"/>
          <w:sz w:val="24"/>
          <w:szCs w:val="24"/>
        </w:rPr>
        <w:t xml:space="preserve">Additional scenarios relative to sample size planning were considered and are summarized in Table </w:t>
      </w:r>
      <w:r w:rsidR="000B7057" w:rsidRPr="000B7057">
        <w:rPr>
          <w:rFonts w:ascii="Times New Roman" w:hAnsi="Times New Roman" w:cs="Times New Roman"/>
          <w:sz w:val="24"/>
          <w:szCs w:val="24"/>
        </w:rPr>
        <w:t>1</w:t>
      </w:r>
      <w:r>
        <w:rPr>
          <w:rFonts w:ascii="Times New Roman" w:hAnsi="Times New Roman" w:cs="Times New Roman"/>
          <w:sz w:val="24"/>
          <w:szCs w:val="24"/>
        </w:rPr>
        <w:t xml:space="preserve">. These scenarios included the following assumptions: </w:t>
      </w:r>
    </w:p>
    <w:p w14:paraId="5B4BEB95" w14:textId="77777777" w:rsidR="00A3363A" w:rsidRDefault="00A3363A" w:rsidP="00165BAD">
      <w:pPr>
        <w:numPr>
          <w:ilvl w:val="0"/>
          <w:numId w:val="2"/>
        </w:numPr>
        <w:spacing w:after="60" w:line="480" w:lineRule="auto"/>
        <w:ind w:left="1434" w:hanging="357"/>
        <w:rPr>
          <w:rFonts w:ascii="Times New Roman" w:hAnsi="Times New Roman" w:cs="Times New Roman"/>
          <w:sz w:val="24"/>
          <w:szCs w:val="24"/>
        </w:rPr>
      </w:pPr>
      <w:r>
        <w:rPr>
          <w:rFonts w:ascii="Times New Roman" w:hAnsi="Times New Roman" w:cs="Times New Roman"/>
          <w:sz w:val="24"/>
          <w:szCs w:val="24"/>
        </w:rPr>
        <w:t xml:space="preserve">Each </w:t>
      </w:r>
      <w:proofErr w:type="gramStart"/>
      <w:r>
        <w:rPr>
          <w:rFonts w:ascii="Times New Roman" w:hAnsi="Times New Roman" w:cs="Times New Roman"/>
          <w:sz w:val="24"/>
          <w:szCs w:val="24"/>
        </w:rPr>
        <w:t>participant  contributes</w:t>
      </w:r>
      <w:proofErr w:type="gramEnd"/>
      <w:r>
        <w:rPr>
          <w:rFonts w:ascii="Times New Roman" w:hAnsi="Times New Roman" w:cs="Times New Roman"/>
          <w:sz w:val="24"/>
          <w:szCs w:val="24"/>
        </w:rPr>
        <w:t xml:space="preserve"> approximately five months at-risk for influenza infection; thus, 2,430 participants would contribute 1,012 total participant-years (p-</w:t>
      </w:r>
      <w:proofErr w:type="spellStart"/>
      <w:r>
        <w:rPr>
          <w:rFonts w:ascii="Times New Roman" w:hAnsi="Times New Roman" w:cs="Times New Roman"/>
          <w:sz w:val="24"/>
          <w:szCs w:val="24"/>
        </w:rPr>
        <w:t>yrs</w:t>
      </w:r>
      <w:proofErr w:type="spellEnd"/>
      <w:r>
        <w:rPr>
          <w:rFonts w:ascii="Times New Roman" w:hAnsi="Times New Roman" w:cs="Times New Roman"/>
          <w:sz w:val="24"/>
          <w:szCs w:val="24"/>
        </w:rPr>
        <w:t xml:space="preserve">); </w:t>
      </w:r>
    </w:p>
    <w:p w14:paraId="0A999849" w14:textId="77777777" w:rsidR="00A3363A" w:rsidRDefault="00A3363A" w:rsidP="00165BAD">
      <w:pPr>
        <w:numPr>
          <w:ilvl w:val="0"/>
          <w:numId w:val="2"/>
        </w:numPr>
        <w:spacing w:after="60" w:line="480" w:lineRule="auto"/>
        <w:ind w:left="1434" w:hanging="357"/>
        <w:rPr>
          <w:rFonts w:ascii="Times New Roman" w:hAnsi="Times New Roman" w:cs="Times New Roman"/>
          <w:sz w:val="24"/>
          <w:szCs w:val="24"/>
        </w:rPr>
      </w:pPr>
      <w:r>
        <w:rPr>
          <w:rFonts w:ascii="Times New Roman" w:hAnsi="Times New Roman" w:cs="Times New Roman"/>
          <w:sz w:val="24"/>
          <w:szCs w:val="24"/>
        </w:rPr>
        <w:lastRenderedPageBreak/>
        <w:t>Background incidence rates of 5% (5/100 p-</w:t>
      </w:r>
      <w:proofErr w:type="spellStart"/>
      <w:r>
        <w:rPr>
          <w:rFonts w:ascii="Times New Roman" w:hAnsi="Times New Roman" w:cs="Times New Roman"/>
          <w:sz w:val="24"/>
          <w:szCs w:val="24"/>
        </w:rPr>
        <w:t>yrs</w:t>
      </w:r>
      <w:proofErr w:type="spellEnd"/>
      <w:r>
        <w:rPr>
          <w:rFonts w:ascii="Times New Roman" w:hAnsi="Times New Roman" w:cs="Times New Roman"/>
          <w:sz w:val="24"/>
          <w:szCs w:val="24"/>
        </w:rPr>
        <w:t>) and 10% (10/100 p-</w:t>
      </w:r>
      <w:proofErr w:type="spellStart"/>
      <w:r>
        <w:rPr>
          <w:rFonts w:ascii="Times New Roman" w:hAnsi="Times New Roman" w:cs="Times New Roman"/>
          <w:sz w:val="24"/>
          <w:szCs w:val="24"/>
        </w:rPr>
        <w:t>yrs</w:t>
      </w:r>
      <w:proofErr w:type="spellEnd"/>
      <w:r>
        <w:rPr>
          <w:rFonts w:ascii="Times New Roman" w:hAnsi="Times New Roman" w:cs="Times New Roman"/>
          <w:sz w:val="24"/>
          <w:szCs w:val="24"/>
        </w:rPr>
        <w:t xml:space="preserve">) were considered;  </w:t>
      </w:r>
    </w:p>
    <w:p w14:paraId="4173E43D" w14:textId="77777777" w:rsidR="00A3363A" w:rsidRDefault="00A3363A" w:rsidP="00165BAD">
      <w:pPr>
        <w:numPr>
          <w:ilvl w:val="0"/>
          <w:numId w:val="2"/>
        </w:num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Unadjusted VE estimates of 40% and 50% were examined. </w:t>
      </w:r>
    </w:p>
    <w:p w14:paraId="1607C916" w14:textId="77777777" w:rsidR="00A3363A" w:rsidRDefault="00A3363A" w:rsidP="00165BAD">
      <w:pPr>
        <w:spacing w:line="480" w:lineRule="auto"/>
        <w:rPr>
          <w:rFonts w:ascii="Times New Roman" w:hAnsi="Times New Roman" w:cs="Times New Roman"/>
          <w:sz w:val="24"/>
          <w:szCs w:val="24"/>
        </w:rPr>
      </w:pPr>
      <w:r>
        <w:rPr>
          <w:rFonts w:ascii="Times New Roman" w:hAnsi="Times New Roman" w:cs="Times New Roman"/>
          <w:sz w:val="24"/>
          <w:szCs w:val="24"/>
        </w:rPr>
        <w:t xml:space="preserve">Under these assumptions, a cohort of 2,430 would be able to detect differences in influenza incidence between vaccinated and unvaccinated participants except in situations where the background incidence was low (5%) and VE was low (40%). </w:t>
      </w:r>
    </w:p>
    <w:p w14:paraId="43BA0B10" w14:textId="1EE8B934" w:rsidR="00A3363A" w:rsidRDefault="00A3363A" w:rsidP="00A3363A">
      <w:pPr>
        <w:keepNext/>
        <w:spacing w:after="120" w:line="360" w:lineRule="auto"/>
        <w:rPr>
          <w:rFonts w:ascii="Times New Roman" w:hAnsi="Times New Roman" w:cs="Times New Roman"/>
          <w:sz w:val="24"/>
          <w:szCs w:val="24"/>
        </w:rPr>
      </w:pPr>
      <w:r>
        <w:rPr>
          <w:rFonts w:ascii="Times New Roman" w:hAnsi="Times New Roman" w:cs="Times New Roman"/>
          <w:b/>
          <w:sz w:val="24"/>
          <w:szCs w:val="24"/>
        </w:rPr>
        <w:t xml:space="preserve">Table </w:t>
      </w:r>
      <w:r w:rsidR="000B7057" w:rsidRPr="000B7057">
        <w:rPr>
          <w:rFonts w:ascii="Times New Roman" w:hAnsi="Times New Roman" w:cs="Times New Roman"/>
          <w:b/>
          <w:sz w:val="24"/>
          <w:szCs w:val="24"/>
        </w:rPr>
        <w:t>1</w:t>
      </w:r>
      <w:r w:rsidR="000B7057">
        <w:rPr>
          <w:rFonts w:ascii="Times New Roman" w:hAnsi="Times New Roman" w:cs="Times New Roman"/>
          <w:b/>
          <w:sz w:val="24"/>
          <w:szCs w:val="24"/>
        </w:rPr>
        <w:t>.</w:t>
      </w:r>
      <w:r>
        <w:rPr>
          <w:rFonts w:ascii="Times New Roman" w:hAnsi="Times New Roman" w:cs="Times New Roman"/>
          <w:b/>
          <w:sz w:val="24"/>
          <w:szCs w:val="24"/>
        </w:rPr>
        <w:t xml:space="preserve"> Estimated Statistical Significance of Differences in Influenza Incidence between Vaccinated and Unvaccinated Participants in a Cohort of 2,430 with Varying Vaccine Coverage, Incidence, and Hypothesized 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067"/>
        <w:gridCol w:w="1890"/>
        <w:gridCol w:w="1658"/>
        <w:gridCol w:w="1402"/>
      </w:tblGrid>
      <w:tr w:rsidR="00A3363A" w14:paraId="7F3D6E5F" w14:textId="77777777" w:rsidTr="00A3363A">
        <w:trPr>
          <w:jc w:val="center"/>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4735E2" w14:textId="77777777" w:rsidR="00A3363A" w:rsidRDefault="00A3363A">
            <w:pPr>
              <w:keepNext/>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Vaccinated  participant years (p-</w:t>
            </w:r>
            <w:proofErr w:type="spellStart"/>
            <w:r>
              <w:rPr>
                <w:rFonts w:ascii="Times New Roman" w:hAnsi="Times New Roman" w:cs="Times New Roman"/>
                <w:b/>
                <w:sz w:val="24"/>
                <w:szCs w:val="24"/>
              </w:rPr>
              <w:t>yrs</w:t>
            </w:r>
            <w:proofErr w:type="spellEnd"/>
            <w:r>
              <w:rPr>
                <w:rFonts w:ascii="Times New Roman" w:hAnsi="Times New Roman" w:cs="Times New Roman"/>
                <w:b/>
                <w:sz w:val="24"/>
                <w:szCs w:val="24"/>
              </w:rPr>
              <w:t>)</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B0D78" w14:textId="77777777" w:rsidR="00A3363A" w:rsidRDefault="00A3363A">
            <w:pPr>
              <w:keepNext/>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Unvaccinated</w:t>
            </w:r>
          </w:p>
          <w:p w14:paraId="6D70A3C9" w14:textId="77777777" w:rsidR="00A3363A" w:rsidRDefault="00A3363A">
            <w:pPr>
              <w:keepNext/>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w:t>
            </w:r>
            <w:proofErr w:type="spellStart"/>
            <w:r>
              <w:rPr>
                <w:rFonts w:ascii="Times New Roman" w:hAnsi="Times New Roman" w:cs="Times New Roman"/>
                <w:b/>
                <w:sz w:val="24"/>
                <w:szCs w:val="24"/>
              </w:rPr>
              <w:t>yrs</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484524" w14:textId="77777777" w:rsidR="00A3363A" w:rsidRDefault="00A3363A">
            <w:pPr>
              <w:keepNext/>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Background incidence rate</w:t>
            </w:r>
          </w:p>
        </w:tc>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137F1" w14:textId="77777777" w:rsidR="00A3363A" w:rsidRDefault="00A3363A">
            <w:pPr>
              <w:keepNext/>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Hypothesized VE</w:t>
            </w:r>
          </w:p>
        </w:tc>
        <w:tc>
          <w:tcPr>
            <w:tcW w:w="1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1BE56E" w14:textId="77777777" w:rsidR="00A3363A" w:rsidRDefault="00A3363A">
            <w:pPr>
              <w:keepNext/>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p-value *</w:t>
            </w:r>
          </w:p>
        </w:tc>
      </w:tr>
      <w:tr w:rsidR="00A3363A" w14:paraId="4FD8242A" w14:textId="77777777" w:rsidTr="00A3363A">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72C0224D" w14:textId="77777777" w:rsidR="00A3363A" w:rsidRDefault="00A3363A">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405</w:t>
            </w:r>
          </w:p>
          <w:p w14:paraId="4FF0E479" w14:textId="77777777" w:rsidR="00A3363A" w:rsidRDefault="00A3363A">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(40% vaccinated)</w:t>
            </w:r>
          </w:p>
        </w:tc>
        <w:tc>
          <w:tcPr>
            <w:tcW w:w="2067" w:type="dxa"/>
            <w:tcBorders>
              <w:top w:val="single" w:sz="4" w:space="0" w:color="auto"/>
              <w:left w:val="single" w:sz="4" w:space="0" w:color="auto"/>
              <w:bottom w:val="single" w:sz="4" w:space="0" w:color="auto"/>
              <w:right w:val="single" w:sz="4" w:space="0" w:color="auto"/>
            </w:tcBorders>
            <w:vAlign w:val="center"/>
          </w:tcPr>
          <w:p w14:paraId="6779E393" w14:textId="77777777" w:rsidR="00A3363A" w:rsidRDefault="00A3363A">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607</w:t>
            </w:r>
          </w:p>
          <w:p w14:paraId="4A1C74A4" w14:textId="77777777" w:rsidR="00A3363A" w:rsidRDefault="00A3363A">
            <w:pPr>
              <w:keepNext/>
              <w:spacing w:after="0" w:line="36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40B3832E" w14:textId="77777777" w:rsidR="00A3363A" w:rsidRDefault="00A3363A">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58" w:type="dxa"/>
            <w:tcBorders>
              <w:top w:val="single" w:sz="4" w:space="0" w:color="auto"/>
              <w:left w:val="single" w:sz="4" w:space="0" w:color="auto"/>
              <w:bottom w:val="single" w:sz="4" w:space="0" w:color="auto"/>
              <w:right w:val="single" w:sz="4" w:space="0" w:color="auto"/>
            </w:tcBorders>
            <w:vAlign w:val="center"/>
            <w:hideMark/>
          </w:tcPr>
          <w:p w14:paraId="41BC601D" w14:textId="77777777" w:rsidR="00A3363A" w:rsidRDefault="00A3363A">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72C021A8" w14:textId="77777777" w:rsidR="00A3363A" w:rsidRDefault="00A3363A">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A3363A" w14:paraId="5C369874" w14:textId="77777777" w:rsidTr="00A3363A">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31F03C18"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405</w:t>
            </w:r>
          </w:p>
          <w:p w14:paraId="683E4094"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 vaccinated)</w:t>
            </w:r>
          </w:p>
        </w:tc>
        <w:tc>
          <w:tcPr>
            <w:tcW w:w="2067" w:type="dxa"/>
            <w:tcBorders>
              <w:top w:val="single" w:sz="4" w:space="0" w:color="auto"/>
              <w:left w:val="single" w:sz="4" w:space="0" w:color="auto"/>
              <w:bottom w:val="single" w:sz="4" w:space="0" w:color="auto"/>
              <w:right w:val="single" w:sz="4" w:space="0" w:color="auto"/>
            </w:tcBorders>
            <w:vAlign w:val="center"/>
          </w:tcPr>
          <w:p w14:paraId="37406221"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607</w:t>
            </w:r>
          </w:p>
          <w:p w14:paraId="3C016933" w14:textId="77777777" w:rsidR="00A3363A" w:rsidRDefault="00A3363A">
            <w:pPr>
              <w:spacing w:after="0" w:line="36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1D2DA1DF"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58" w:type="dxa"/>
            <w:tcBorders>
              <w:top w:val="single" w:sz="4" w:space="0" w:color="auto"/>
              <w:left w:val="single" w:sz="4" w:space="0" w:color="auto"/>
              <w:bottom w:val="single" w:sz="4" w:space="0" w:color="auto"/>
              <w:right w:val="single" w:sz="4" w:space="0" w:color="auto"/>
            </w:tcBorders>
            <w:vAlign w:val="center"/>
            <w:hideMark/>
          </w:tcPr>
          <w:p w14:paraId="7AA7A167"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0BE7F1DE"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A3363A" w14:paraId="22671564" w14:textId="77777777" w:rsidTr="00A3363A">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35838CEF"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405</w:t>
            </w:r>
          </w:p>
          <w:p w14:paraId="12C26ACB"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 vaccinated)</w:t>
            </w:r>
          </w:p>
        </w:tc>
        <w:tc>
          <w:tcPr>
            <w:tcW w:w="2067" w:type="dxa"/>
            <w:tcBorders>
              <w:top w:val="single" w:sz="4" w:space="0" w:color="auto"/>
              <w:left w:val="single" w:sz="4" w:space="0" w:color="auto"/>
              <w:bottom w:val="single" w:sz="4" w:space="0" w:color="auto"/>
              <w:right w:val="single" w:sz="4" w:space="0" w:color="auto"/>
            </w:tcBorders>
            <w:vAlign w:val="center"/>
          </w:tcPr>
          <w:p w14:paraId="4787A98A"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607</w:t>
            </w:r>
          </w:p>
          <w:p w14:paraId="3A7FEB06" w14:textId="77777777" w:rsidR="00A3363A" w:rsidRDefault="00A3363A">
            <w:pPr>
              <w:spacing w:after="0" w:line="36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5868217D"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58" w:type="dxa"/>
            <w:tcBorders>
              <w:top w:val="single" w:sz="4" w:space="0" w:color="auto"/>
              <w:left w:val="single" w:sz="4" w:space="0" w:color="auto"/>
              <w:bottom w:val="single" w:sz="4" w:space="0" w:color="auto"/>
              <w:right w:val="single" w:sz="4" w:space="0" w:color="auto"/>
            </w:tcBorders>
            <w:vAlign w:val="center"/>
            <w:hideMark/>
          </w:tcPr>
          <w:p w14:paraId="2DD9B039"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134A3F32"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A3363A" w14:paraId="06EE198C" w14:textId="77777777" w:rsidTr="00A3363A">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67AC67F4"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405</w:t>
            </w:r>
          </w:p>
          <w:p w14:paraId="5C1CF88B"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 vaccinated)</w:t>
            </w:r>
          </w:p>
        </w:tc>
        <w:tc>
          <w:tcPr>
            <w:tcW w:w="2067" w:type="dxa"/>
            <w:tcBorders>
              <w:top w:val="single" w:sz="4" w:space="0" w:color="auto"/>
              <w:left w:val="single" w:sz="4" w:space="0" w:color="auto"/>
              <w:bottom w:val="single" w:sz="4" w:space="0" w:color="auto"/>
              <w:right w:val="single" w:sz="4" w:space="0" w:color="auto"/>
            </w:tcBorders>
            <w:vAlign w:val="center"/>
          </w:tcPr>
          <w:p w14:paraId="5E77E4D4"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607</w:t>
            </w:r>
          </w:p>
          <w:p w14:paraId="38928E47" w14:textId="77777777" w:rsidR="00A3363A" w:rsidRDefault="00A3363A">
            <w:pPr>
              <w:spacing w:after="0" w:line="36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69691DE5"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58" w:type="dxa"/>
            <w:tcBorders>
              <w:top w:val="single" w:sz="4" w:space="0" w:color="auto"/>
              <w:left w:val="single" w:sz="4" w:space="0" w:color="auto"/>
              <w:bottom w:val="single" w:sz="4" w:space="0" w:color="auto"/>
              <w:right w:val="single" w:sz="4" w:space="0" w:color="auto"/>
            </w:tcBorders>
            <w:vAlign w:val="center"/>
            <w:hideMark/>
          </w:tcPr>
          <w:p w14:paraId="00ACCDCF"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00603C18"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0.005</w:t>
            </w:r>
          </w:p>
        </w:tc>
      </w:tr>
      <w:tr w:rsidR="00A3363A" w14:paraId="05D4CA09" w14:textId="77777777" w:rsidTr="00A3363A">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7756D101"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607</w:t>
            </w:r>
          </w:p>
          <w:p w14:paraId="589D1031"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 vaccinated)</w:t>
            </w:r>
          </w:p>
        </w:tc>
        <w:tc>
          <w:tcPr>
            <w:tcW w:w="2067" w:type="dxa"/>
            <w:tcBorders>
              <w:top w:val="single" w:sz="4" w:space="0" w:color="auto"/>
              <w:left w:val="single" w:sz="4" w:space="0" w:color="auto"/>
              <w:bottom w:val="single" w:sz="4" w:space="0" w:color="auto"/>
              <w:right w:val="single" w:sz="4" w:space="0" w:color="auto"/>
            </w:tcBorders>
            <w:vAlign w:val="center"/>
          </w:tcPr>
          <w:p w14:paraId="1C831952"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405</w:t>
            </w:r>
          </w:p>
          <w:p w14:paraId="6C6F1961" w14:textId="77777777" w:rsidR="00A3363A" w:rsidRDefault="00A3363A">
            <w:pPr>
              <w:spacing w:after="0" w:line="36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7D2DA016"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58" w:type="dxa"/>
            <w:tcBorders>
              <w:top w:val="single" w:sz="4" w:space="0" w:color="auto"/>
              <w:left w:val="single" w:sz="4" w:space="0" w:color="auto"/>
              <w:bottom w:val="single" w:sz="4" w:space="0" w:color="auto"/>
              <w:right w:val="single" w:sz="4" w:space="0" w:color="auto"/>
            </w:tcBorders>
            <w:vAlign w:val="center"/>
            <w:hideMark/>
          </w:tcPr>
          <w:p w14:paraId="5A6363F3"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31FE5A23"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A3363A" w14:paraId="1699AF26" w14:textId="77777777" w:rsidTr="00A3363A">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4F575C2A"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607</w:t>
            </w:r>
          </w:p>
          <w:p w14:paraId="65778721"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 vaccinated)</w:t>
            </w:r>
          </w:p>
        </w:tc>
        <w:tc>
          <w:tcPr>
            <w:tcW w:w="2067" w:type="dxa"/>
            <w:tcBorders>
              <w:top w:val="single" w:sz="4" w:space="0" w:color="auto"/>
              <w:left w:val="single" w:sz="4" w:space="0" w:color="auto"/>
              <w:bottom w:val="single" w:sz="4" w:space="0" w:color="auto"/>
              <w:right w:val="single" w:sz="4" w:space="0" w:color="auto"/>
            </w:tcBorders>
            <w:vAlign w:val="center"/>
          </w:tcPr>
          <w:p w14:paraId="3587EEF5"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405</w:t>
            </w:r>
          </w:p>
          <w:p w14:paraId="3AE6EB0C" w14:textId="77777777" w:rsidR="00A3363A" w:rsidRDefault="00A3363A">
            <w:pPr>
              <w:spacing w:after="0" w:line="36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47D3EE1F"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58" w:type="dxa"/>
            <w:tcBorders>
              <w:top w:val="single" w:sz="4" w:space="0" w:color="auto"/>
              <w:left w:val="single" w:sz="4" w:space="0" w:color="auto"/>
              <w:bottom w:val="single" w:sz="4" w:space="0" w:color="auto"/>
              <w:right w:val="single" w:sz="4" w:space="0" w:color="auto"/>
            </w:tcBorders>
            <w:vAlign w:val="center"/>
            <w:hideMark/>
          </w:tcPr>
          <w:p w14:paraId="2862EF09"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7678E297"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A3363A" w14:paraId="18B32E60" w14:textId="77777777" w:rsidTr="00A3363A">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20E0F4B0"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607</w:t>
            </w:r>
          </w:p>
          <w:p w14:paraId="7117BA08"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 vaccinated)</w:t>
            </w:r>
          </w:p>
        </w:tc>
        <w:tc>
          <w:tcPr>
            <w:tcW w:w="2067" w:type="dxa"/>
            <w:tcBorders>
              <w:top w:val="single" w:sz="4" w:space="0" w:color="auto"/>
              <w:left w:val="single" w:sz="4" w:space="0" w:color="auto"/>
              <w:bottom w:val="single" w:sz="4" w:space="0" w:color="auto"/>
              <w:right w:val="single" w:sz="4" w:space="0" w:color="auto"/>
            </w:tcBorders>
            <w:vAlign w:val="center"/>
          </w:tcPr>
          <w:p w14:paraId="3648CAA7"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405</w:t>
            </w:r>
          </w:p>
          <w:p w14:paraId="21934B5A" w14:textId="77777777" w:rsidR="00A3363A" w:rsidRDefault="00A3363A">
            <w:pPr>
              <w:spacing w:after="0" w:line="36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2ABE77A4"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58" w:type="dxa"/>
            <w:tcBorders>
              <w:top w:val="single" w:sz="4" w:space="0" w:color="auto"/>
              <w:left w:val="single" w:sz="4" w:space="0" w:color="auto"/>
              <w:bottom w:val="single" w:sz="4" w:space="0" w:color="auto"/>
              <w:right w:val="single" w:sz="4" w:space="0" w:color="auto"/>
            </w:tcBorders>
            <w:vAlign w:val="center"/>
            <w:hideMark/>
          </w:tcPr>
          <w:p w14:paraId="68008E0A"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78561010"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A3363A" w14:paraId="0C6411DB" w14:textId="77777777" w:rsidTr="00A3363A">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2D06D665"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607</w:t>
            </w:r>
          </w:p>
          <w:p w14:paraId="7A5B9909"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(60% vaccinated)</w:t>
            </w:r>
          </w:p>
        </w:tc>
        <w:tc>
          <w:tcPr>
            <w:tcW w:w="2067" w:type="dxa"/>
            <w:tcBorders>
              <w:top w:val="single" w:sz="4" w:space="0" w:color="auto"/>
              <w:left w:val="single" w:sz="4" w:space="0" w:color="auto"/>
              <w:bottom w:val="single" w:sz="4" w:space="0" w:color="auto"/>
              <w:right w:val="single" w:sz="4" w:space="0" w:color="auto"/>
            </w:tcBorders>
            <w:vAlign w:val="center"/>
          </w:tcPr>
          <w:p w14:paraId="270ADEE3"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405</w:t>
            </w:r>
          </w:p>
          <w:p w14:paraId="6715849A" w14:textId="77777777" w:rsidR="00A3363A" w:rsidRDefault="00A3363A">
            <w:pPr>
              <w:spacing w:after="0" w:line="36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3F8CF57E"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658" w:type="dxa"/>
            <w:tcBorders>
              <w:top w:val="single" w:sz="4" w:space="0" w:color="auto"/>
              <w:left w:val="single" w:sz="4" w:space="0" w:color="auto"/>
              <w:bottom w:val="single" w:sz="4" w:space="0" w:color="auto"/>
              <w:right w:val="single" w:sz="4" w:space="0" w:color="auto"/>
            </w:tcBorders>
            <w:vAlign w:val="center"/>
            <w:hideMark/>
          </w:tcPr>
          <w:p w14:paraId="1DB2ABAE"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02" w:type="dxa"/>
            <w:tcBorders>
              <w:top w:val="single" w:sz="4" w:space="0" w:color="auto"/>
              <w:left w:val="single" w:sz="4" w:space="0" w:color="auto"/>
              <w:bottom w:val="single" w:sz="4" w:space="0" w:color="auto"/>
              <w:right w:val="single" w:sz="4" w:space="0" w:color="auto"/>
            </w:tcBorders>
            <w:vAlign w:val="center"/>
            <w:hideMark/>
          </w:tcPr>
          <w:p w14:paraId="6A7101EF" w14:textId="77777777" w:rsidR="00A3363A" w:rsidRDefault="00A336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A3363A" w14:paraId="0945547C" w14:textId="77777777" w:rsidTr="00A3363A">
        <w:trPr>
          <w:jc w:val="center"/>
        </w:trPr>
        <w:tc>
          <w:tcPr>
            <w:tcW w:w="9105" w:type="dxa"/>
            <w:gridSpan w:val="5"/>
            <w:tcBorders>
              <w:top w:val="single" w:sz="4" w:space="0" w:color="auto"/>
              <w:left w:val="single" w:sz="4" w:space="0" w:color="auto"/>
              <w:bottom w:val="single" w:sz="4" w:space="0" w:color="auto"/>
              <w:right w:val="single" w:sz="4" w:space="0" w:color="auto"/>
            </w:tcBorders>
            <w:vAlign w:val="center"/>
            <w:hideMark/>
          </w:tcPr>
          <w:p w14:paraId="760DC4D7" w14:textId="77777777" w:rsidR="00A3363A" w:rsidRDefault="00A3363A">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 p-value is for comparison of unadjusted influenza incidence rates in vaccinated vs unvaccinated</w:t>
            </w:r>
          </w:p>
        </w:tc>
      </w:tr>
    </w:tbl>
    <w:p w14:paraId="43C6CD92" w14:textId="77777777" w:rsidR="00A3363A" w:rsidRDefault="00A3363A" w:rsidP="00A3363A">
      <w:pPr>
        <w:spacing w:line="360" w:lineRule="auto"/>
        <w:rPr>
          <w:rFonts w:ascii="Times New Roman" w:hAnsi="Times New Roman" w:cs="Times New Roman"/>
          <w:b/>
          <w:sz w:val="24"/>
          <w:szCs w:val="24"/>
          <w:u w:val="single"/>
        </w:rPr>
      </w:pPr>
    </w:p>
    <w:p w14:paraId="3CC9408B" w14:textId="6115C100" w:rsidR="00A3363A" w:rsidRDefault="00A3363A" w:rsidP="00165BA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full cohort provides the sample needs for estimating the frequency (or incidence within the study sample) of influenza illness. Table </w:t>
      </w:r>
      <w:r w:rsidR="000B7057" w:rsidRPr="000B7057">
        <w:rPr>
          <w:rFonts w:ascii="Times New Roman" w:hAnsi="Times New Roman" w:cs="Times New Roman"/>
          <w:sz w:val="24"/>
          <w:szCs w:val="24"/>
        </w:rPr>
        <w:t>2</w:t>
      </w:r>
      <w:r>
        <w:rPr>
          <w:rFonts w:ascii="Times New Roman" w:hAnsi="Times New Roman" w:cs="Times New Roman"/>
          <w:sz w:val="24"/>
          <w:szCs w:val="24"/>
        </w:rPr>
        <w:t xml:space="preserve"> presents the precision (plus and minus value of 95% confidence interval) associated with incidences of 5%, 10%, and 15%. Given the larger sample demands for the VE objectives, we expect to have ample statistical power for most objectives that involve estimating incidence or frequencies. However, estimating the frequency of influenza illness within specific HCP occupational or demographic subgroups may be challenging depending on the attack rate. For example, we expect to need at least 600 participants who complete surveillance activities in order to assess an incidence of 15% with a 95% confidence interval of 12-18%.</w:t>
      </w:r>
    </w:p>
    <w:p w14:paraId="0FBDDA8F" w14:textId="77777777" w:rsidR="00A3363A" w:rsidRDefault="00A3363A" w:rsidP="00A3363A">
      <w:pPr>
        <w:spacing w:line="360" w:lineRule="auto"/>
        <w:rPr>
          <w:rFonts w:ascii="Times New Roman" w:hAnsi="Times New Roman" w:cs="Times New Roman"/>
          <w:b/>
          <w:sz w:val="24"/>
          <w:szCs w:val="24"/>
        </w:rPr>
      </w:pPr>
    </w:p>
    <w:p w14:paraId="01764D0F" w14:textId="7A9E1DC3" w:rsidR="00A3363A" w:rsidRDefault="00A3363A" w:rsidP="00A3363A">
      <w:pPr>
        <w:spacing w:after="120" w:line="360" w:lineRule="auto"/>
        <w:rPr>
          <w:rFonts w:ascii="Times New Roman" w:hAnsi="Times New Roman" w:cs="Times New Roman"/>
          <w:sz w:val="24"/>
          <w:szCs w:val="24"/>
        </w:rPr>
      </w:pPr>
      <w:r>
        <w:rPr>
          <w:rFonts w:ascii="Times New Roman" w:hAnsi="Times New Roman" w:cs="Times New Roman"/>
          <w:b/>
          <w:sz w:val="24"/>
          <w:szCs w:val="24"/>
        </w:rPr>
        <w:t xml:space="preserve">Table </w:t>
      </w:r>
      <w:r w:rsidR="000B7057" w:rsidRPr="000B7057">
        <w:rPr>
          <w:rFonts w:ascii="Times New Roman" w:hAnsi="Times New Roman" w:cs="Times New Roman"/>
          <w:b/>
          <w:sz w:val="24"/>
          <w:szCs w:val="24"/>
        </w:rPr>
        <w:t>2</w:t>
      </w:r>
      <w:r w:rsidRPr="000B7057">
        <w:rPr>
          <w:rFonts w:ascii="Times New Roman" w:hAnsi="Times New Roman" w:cs="Times New Roman"/>
          <w:b/>
          <w:sz w:val="24"/>
          <w:szCs w:val="24"/>
        </w:rPr>
        <w:t>.</w:t>
      </w:r>
      <w:r>
        <w:rPr>
          <w:rFonts w:ascii="Times New Roman" w:hAnsi="Times New Roman" w:cs="Times New Roman"/>
          <w:b/>
          <w:sz w:val="24"/>
          <w:szCs w:val="24"/>
        </w:rPr>
        <w:t xml:space="preserve"> Plus and Minus Value for the Expected 95% Confidence Interval for Different Possible Incidences of Influenza-confirmed illness and Number of Participants</w:t>
      </w:r>
    </w:p>
    <w:tbl>
      <w:tblPr>
        <w:tblW w:w="0" w:type="auto"/>
        <w:jc w:val="center"/>
        <w:tblLook w:val="04A0" w:firstRow="1" w:lastRow="0" w:firstColumn="1" w:lastColumn="0" w:noHBand="0" w:noVBand="1"/>
      </w:tblPr>
      <w:tblGrid>
        <w:gridCol w:w="1646"/>
        <w:gridCol w:w="1586"/>
        <w:gridCol w:w="1586"/>
        <w:gridCol w:w="1586"/>
        <w:gridCol w:w="1586"/>
        <w:gridCol w:w="1586"/>
      </w:tblGrid>
      <w:tr w:rsidR="00A3363A" w14:paraId="35206106" w14:textId="77777777" w:rsidTr="00A3363A">
        <w:trPr>
          <w:jc w:val="center"/>
        </w:trPr>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6F943" w14:textId="77777777" w:rsidR="00A3363A" w:rsidRDefault="00A3363A">
            <w:pPr>
              <w:spacing w:after="200" w:line="360" w:lineRule="auto"/>
              <w:rPr>
                <w:rFonts w:ascii="Times New Roman" w:hAnsi="Times New Roman" w:cs="Times New Roman"/>
                <w:sz w:val="24"/>
                <w:szCs w:val="24"/>
              </w:rPr>
            </w:pP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455DC1" w14:textId="77777777" w:rsidR="00A3363A" w:rsidRDefault="00A3363A">
            <w:pPr>
              <w:spacing w:after="200" w:line="360" w:lineRule="auto"/>
              <w:rPr>
                <w:rFonts w:ascii="Times New Roman" w:hAnsi="Times New Roman" w:cs="Times New Roman"/>
                <w:b/>
                <w:sz w:val="24"/>
                <w:szCs w:val="24"/>
              </w:rPr>
            </w:pPr>
            <w:r>
              <w:rPr>
                <w:rFonts w:ascii="Times New Roman" w:hAnsi="Times New Roman" w:cs="Times New Roman"/>
                <w:b/>
                <w:sz w:val="24"/>
                <w:szCs w:val="24"/>
              </w:rPr>
              <w:t>N = 200</w:t>
            </w: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2A6F00" w14:textId="77777777" w:rsidR="00A3363A" w:rsidRDefault="00A3363A">
            <w:pPr>
              <w:spacing w:after="200" w:line="360" w:lineRule="auto"/>
              <w:rPr>
                <w:rFonts w:ascii="Times New Roman" w:hAnsi="Times New Roman" w:cs="Times New Roman"/>
                <w:b/>
                <w:sz w:val="24"/>
                <w:szCs w:val="24"/>
              </w:rPr>
            </w:pPr>
            <w:r>
              <w:rPr>
                <w:rFonts w:ascii="Times New Roman" w:hAnsi="Times New Roman" w:cs="Times New Roman"/>
                <w:b/>
                <w:sz w:val="24"/>
                <w:szCs w:val="24"/>
              </w:rPr>
              <w:t>N = 300</w:t>
            </w: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0FF79" w14:textId="77777777" w:rsidR="00A3363A" w:rsidRDefault="00A3363A">
            <w:pPr>
              <w:spacing w:after="200" w:line="360" w:lineRule="auto"/>
              <w:rPr>
                <w:rFonts w:ascii="Times New Roman" w:hAnsi="Times New Roman" w:cs="Times New Roman"/>
                <w:b/>
                <w:sz w:val="24"/>
                <w:szCs w:val="24"/>
              </w:rPr>
            </w:pPr>
            <w:r>
              <w:rPr>
                <w:rFonts w:ascii="Times New Roman" w:hAnsi="Times New Roman" w:cs="Times New Roman"/>
                <w:b/>
                <w:sz w:val="24"/>
                <w:szCs w:val="24"/>
              </w:rPr>
              <w:t>N = 400</w:t>
            </w: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858416" w14:textId="77777777" w:rsidR="00A3363A" w:rsidRDefault="00A3363A">
            <w:pPr>
              <w:spacing w:after="200" w:line="360" w:lineRule="auto"/>
              <w:rPr>
                <w:rFonts w:ascii="Times New Roman" w:hAnsi="Times New Roman" w:cs="Times New Roman"/>
                <w:b/>
                <w:sz w:val="24"/>
                <w:szCs w:val="24"/>
              </w:rPr>
            </w:pPr>
            <w:r>
              <w:rPr>
                <w:rFonts w:ascii="Times New Roman" w:hAnsi="Times New Roman" w:cs="Times New Roman"/>
                <w:b/>
                <w:sz w:val="24"/>
                <w:szCs w:val="24"/>
              </w:rPr>
              <w:t>N = 500</w:t>
            </w: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907E4" w14:textId="77777777" w:rsidR="00A3363A" w:rsidRDefault="00A3363A">
            <w:pPr>
              <w:spacing w:after="200" w:line="360" w:lineRule="auto"/>
              <w:rPr>
                <w:rFonts w:ascii="Times New Roman" w:hAnsi="Times New Roman" w:cs="Times New Roman"/>
                <w:b/>
                <w:sz w:val="24"/>
                <w:szCs w:val="24"/>
              </w:rPr>
            </w:pPr>
            <w:r>
              <w:rPr>
                <w:rFonts w:ascii="Times New Roman" w:hAnsi="Times New Roman" w:cs="Times New Roman"/>
                <w:b/>
                <w:sz w:val="24"/>
                <w:szCs w:val="24"/>
              </w:rPr>
              <w:t>N = 600</w:t>
            </w:r>
          </w:p>
        </w:tc>
      </w:tr>
      <w:tr w:rsidR="00A3363A" w14:paraId="266A9461" w14:textId="77777777" w:rsidTr="00A3363A">
        <w:trPr>
          <w:jc w:val="center"/>
        </w:trPr>
        <w:tc>
          <w:tcPr>
            <w:tcW w:w="1716" w:type="dxa"/>
            <w:tcBorders>
              <w:top w:val="single" w:sz="4" w:space="0" w:color="auto"/>
              <w:left w:val="single" w:sz="4" w:space="0" w:color="auto"/>
              <w:bottom w:val="single" w:sz="4" w:space="0" w:color="auto"/>
              <w:right w:val="single" w:sz="4" w:space="0" w:color="auto"/>
            </w:tcBorders>
            <w:hideMark/>
          </w:tcPr>
          <w:p w14:paraId="3637054D" w14:textId="77777777" w:rsidR="00A3363A" w:rsidRDefault="00A3363A">
            <w:pPr>
              <w:spacing w:after="200" w:line="360" w:lineRule="auto"/>
              <w:rPr>
                <w:rFonts w:ascii="Times New Roman" w:hAnsi="Times New Roman" w:cs="Times New Roman"/>
                <w:b/>
                <w:sz w:val="24"/>
                <w:szCs w:val="24"/>
              </w:rPr>
            </w:pPr>
            <w:r>
              <w:rPr>
                <w:rFonts w:ascii="Times New Roman" w:hAnsi="Times New Roman" w:cs="Times New Roman"/>
                <w:b/>
                <w:sz w:val="24"/>
                <w:szCs w:val="24"/>
              </w:rPr>
              <w:t>5% incidence</w:t>
            </w:r>
          </w:p>
        </w:tc>
        <w:tc>
          <w:tcPr>
            <w:tcW w:w="1716" w:type="dxa"/>
            <w:tcBorders>
              <w:top w:val="single" w:sz="4" w:space="0" w:color="auto"/>
              <w:left w:val="single" w:sz="4" w:space="0" w:color="auto"/>
              <w:bottom w:val="single" w:sz="4" w:space="0" w:color="auto"/>
              <w:right w:val="single" w:sz="4" w:space="0" w:color="auto"/>
            </w:tcBorders>
            <w:hideMark/>
          </w:tcPr>
          <w:p w14:paraId="77D31C32" w14:textId="77777777" w:rsidR="00A3363A" w:rsidRDefault="00A3363A">
            <w:pPr>
              <w:spacing w:after="200" w:line="360" w:lineRule="auto"/>
              <w:rPr>
                <w:rFonts w:ascii="Times New Roman" w:hAnsi="Times New Roman" w:cs="Times New Roman"/>
                <w:sz w:val="24"/>
                <w:szCs w:val="24"/>
              </w:rPr>
            </w:pPr>
            <w:r>
              <w:rPr>
                <w:rFonts w:ascii="Times New Roman" w:hAnsi="Times New Roman" w:cs="Times New Roman"/>
                <w:sz w:val="24"/>
                <w:szCs w:val="24"/>
              </w:rPr>
              <w:t>+/- 3.0%</w:t>
            </w:r>
          </w:p>
        </w:tc>
        <w:tc>
          <w:tcPr>
            <w:tcW w:w="1716" w:type="dxa"/>
            <w:tcBorders>
              <w:top w:val="single" w:sz="4" w:space="0" w:color="auto"/>
              <w:left w:val="single" w:sz="4" w:space="0" w:color="auto"/>
              <w:bottom w:val="single" w:sz="4" w:space="0" w:color="auto"/>
              <w:right w:val="single" w:sz="4" w:space="0" w:color="auto"/>
            </w:tcBorders>
            <w:hideMark/>
          </w:tcPr>
          <w:p w14:paraId="78ED9BC1" w14:textId="77777777" w:rsidR="00A3363A" w:rsidRDefault="00A3363A">
            <w:pPr>
              <w:spacing w:after="200" w:line="360" w:lineRule="auto"/>
              <w:rPr>
                <w:rFonts w:ascii="Times New Roman" w:hAnsi="Times New Roman" w:cs="Times New Roman"/>
                <w:sz w:val="24"/>
                <w:szCs w:val="24"/>
              </w:rPr>
            </w:pPr>
            <w:r>
              <w:rPr>
                <w:rFonts w:ascii="Times New Roman" w:hAnsi="Times New Roman" w:cs="Times New Roman"/>
                <w:sz w:val="24"/>
                <w:szCs w:val="24"/>
              </w:rPr>
              <w:t>+/- 2.5%</w:t>
            </w:r>
          </w:p>
        </w:tc>
        <w:tc>
          <w:tcPr>
            <w:tcW w:w="1716" w:type="dxa"/>
            <w:tcBorders>
              <w:top w:val="single" w:sz="4" w:space="0" w:color="auto"/>
              <w:left w:val="single" w:sz="4" w:space="0" w:color="auto"/>
              <w:bottom w:val="single" w:sz="4" w:space="0" w:color="auto"/>
              <w:right w:val="single" w:sz="4" w:space="0" w:color="auto"/>
            </w:tcBorders>
            <w:hideMark/>
          </w:tcPr>
          <w:p w14:paraId="4E7D230A" w14:textId="77777777" w:rsidR="00A3363A" w:rsidRDefault="00A3363A">
            <w:pPr>
              <w:spacing w:after="200" w:line="360" w:lineRule="auto"/>
              <w:rPr>
                <w:rFonts w:ascii="Times New Roman" w:hAnsi="Times New Roman" w:cs="Times New Roman"/>
                <w:sz w:val="24"/>
                <w:szCs w:val="24"/>
              </w:rPr>
            </w:pPr>
            <w:r>
              <w:rPr>
                <w:rFonts w:ascii="Times New Roman" w:hAnsi="Times New Roman" w:cs="Times New Roman"/>
                <w:sz w:val="24"/>
                <w:szCs w:val="24"/>
              </w:rPr>
              <w:t>+/- 2.1%</w:t>
            </w:r>
          </w:p>
        </w:tc>
        <w:tc>
          <w:tcPr>
            <w:tcW w:w="1716" w:type="dxa"/>
            <w:tcBorders>
              <w:top w:val="single" w:sz="4" w:space="0" w:color="auto"/>
              <w:left w:val="single" w:sz="4" w:space="0" w:color="auto"/>
              <w:bottom w:val="single" w:sz="4" w:space="0" w:color="auto"/>
              <w:right w:val="single" w:sz="4" w:space="0" w:color="auto"/>
            </w:tcBorders>
            <w:hideMark/>
          </w:tcPr>
          <w:p w14:paraId="31B60E13" w14:textId="77777777" w:rsidR="00A3363A" w:rsidRDefault="00A3363A">
            <w:pPr>
              <w:spacing w:after="200" w:line="360" w:lineRule="auto"/>
              <w:rPr>
                <w:rFonts w:ascii="Times New Roman" w:hAnsi="Times New Roman" w:cs="Times New Roman"/>
                <w:sz w:val="24"/>
                <w:szCs w:val="24"/>
              </w:rPr>
            </w:pPr>
            <w:r>
              <w:rPr>
                <w:rFonts w:ascii="Times New Roman" w:hAnsi="Times New Roman" w:cs="Times New Roman"/>
                <w:sz w:val="24"/>
                <w:szCs w:val="24"/>
              </w:rPr>
              <w:t>+/- 1.9%</w:t>
            </w:r>
          </w:p>
        </w:tc>
        <w:tc>
          <w:tcPr>
            <w:tcW w:w="1716" w:type="dxa"/>
            <w:tcBorders>
              <w:top w:val="single" w:sz="4" w:space="0" w:color="auto"/>
              <w:left w:val="single" w:sz="4" w:space="0" w:color="auto"/>
              <w:bottom w:val="single" w:sz="4" w:space="0" w:color="auto"/>
              <w:right w:val="single" w:sz="4" w:space="0" w:color="auto"/>
            </w:tcBorders>
            <w:hideMark/>
          </w:tcPr>
          <w:p w14:paraId="3046C7C5" w14:textId="77777777" w:rsidR="00A3363A" w:rsidRDefault="00A3363A">
            <w:pPr>
              <w:spacing w:after="200" w:line="360" w:lineRule="auto"/>
              <w:rPr>
                <w:rFonts w:ascii="Times New Roman" w:hAnsi="Times New Roman" w:cs="Times New Roman"/>
                <w:sz w:val="24"/>
                <w:szCs w:val="24"/>
              </w:rPr>
            </w:pPr>
            <w:r>
              <w:rPr>
                <w:rFonts w:ascii="Times New Roman" w:hAnsi="Times New Roman" w:cs="Times New Roman"/>
                <w:sz w:val="24"/>
                <w:szCs w:val="24"/>
              </w:rPr>
              <w:t>+/- 1.7%</w:t>
            </w:r>
          </w:p>
        </w:tc>
      </w:tr>
      <w:tr w:rsidR="00A3363A" w14:paraId="018C1271" w14:textId="77777777" w:rsidTr="00A3363A">
        <w:trPr>
          <w:jc w:val="center"/>
        </w:trPr>
        <w:tc>
          <w:tcPr>
            <w:tcW w:w="1716" w:type="dxa"/>
            <w:tcBorders>
              <w:top w:val="single" w:sz="4" w:space="0" w:color="auto"/>
              <w:left w:val="single" w:sz="4" w:space="0" w:color="auto"/>
              <w:bottom w:val="single" w:sz="4" w:space="0" w:color="auto"/>
              <w:right w:val="single" w:sz="4" w:space="0" w:color="auto"/>
            </w:tcBorders>
            <w:hideMark/>
          </w:tcPr>
          <w:p w14:paraId="61CB0F79" w14:textId="77777777" w:rsidR="00A3363A" w:rsidRDefault="00A3363A">
            <w:pPr>
              <w:spacing w:after="200" w:line="360" w:lineRule="auto"/>
              <w:rPr>
                <w:rFonts w:ascii="Times New Roman" w:hAnsi="Times New Roman" w:cs="Times New Roman"/>
                <w:b/>
                <w:sz w:val="24"/>
                <w:szCs w:val="24"/>
              </w:rPr>
            </w:pPr>
            <w:r>
              <w:rPr>
                <w:rFonts w:ascii="Times New Roman" w:hAnsi="Times New Roman" w:cs="Times New Roman"/>
                <w:b/>
                <w:sz w:val="24"/>
                <w:szCs w:val="24"/>
              </w:rPr>
              <w:t>10% incidence</w:t>
            </w:r>
          </w:p>
        </w:tc>
        <w:tc>
          <w:tcPr>
            <w:tcW w:w="1716" w:type="dxa"/>
            <w:tcBorders>
              <w:top w:val="single" w:sz="4" w:space="0" w:color="auto"/>
              <w:left w:val="single" w:sz="4" w:space="0" w:color="auto"/>
              <w:bottom w:val="single" w:sz="4" w:space="0" w:color="auto"/>
              <w:right w:val="single" w:sz="4" w:space="0" w:color="auto"/>
            </w:tcBorders>
            <w:hideMark/>
          </w:tcPr>
          <w:p w14:paraId="461D84AD" w14:textId="77777777" w:rsidR="00A3363A" w:rsidRDefault="00A3363A">
            <w:pPr>
              <w:spacing w:after="200" w:line="360" w:lineRule="auto"/>
              <w:rPr>
                <w:rFonts w:ascii="Times New Roman" w:hAnsi="Times New Roman" w:cs="Times New Roman"/>
                <w:sz w:val="24"/>
                <w:szCs w:val="24"/>
              </w:rPr>
            </w:pPr>
            <w:r>
              <w:rPr>
                <w:rFonts w:ascii="Times New Roman" w:hAnsi="Times New Roman" w:cs="Times New Roman"/>
                <w:sz w:val="24"/>
                <w:szCs w:val="24"/>
              </w:rPr>
              <w:t>+/- 4.2%</w:t>
            </w:r>
          </w:p>
        </w:tc>
        <w:tc>
          <w:tcPr>
            <w:tcW w:w="1716" w:type="dxa"/>
            <w:tcBorders>
              <w:top w:val="single" w:sz="4" w:space="0" w:color="auto"/>
              <w:left w:val="single" w:sz="4" w:space="0" w:color="auto"/>
              <w:bottom w:val="single" w:sz="4" w:space="0" w:color="auto"/>
              <w:right w:val="single" w:sz="4" w:space="0" w:color="auto"/>
            </w:tcBorders>
            <w:hideMark/>
          </w:tcPr>
          <w:p w14:paraId="7577B404" w14:textId="77777777" w:rsidR="00A3363A" w:rsidRDefault="00A3363A">
            <w:pPr>
              <w:spacing w:after="200" w:line="360" w:lineRule="auto"/>
              <w:rPr>
                <w:rFonts w:ascii="Times New Roman" w:hAnsi="Times New Roman" w:cs="Times New Roman"/>
                <w:sz w:val="24"/>
                <w:szCs w:val="24"/>
              </w:rPr>
            </w:pPr>
            <w:r>
              <w:rPr>
                <w:rFonts w:ascii="Times New Roman" w:hAnsi="Times New Roman" w:cs="Times New Roman"/>
                <w:sz w:val="24"/>
                <w:szCs w:val="24"/>
              </w:rPr>
              <w:t>+/- 3.4%</w:t>
            </w:r>
          </w:p>
        </w:tc>
        <w:tc>
          <w:tcPr>
            <w:tcW w:w="1716" w:type="dxa"/>
            <w:tcBorders>
              <w:top w:val="single" w:sz="4" w:space="0" w:color="auto"/>
              <w:left w:val="single" w:sz="4" w:space="0" w:color="auto"/>
              <w:bottom w:val="single" w:sz="4" w:space="0" w:color="auto"/>
              <w:right w:val="single" w:sz="4" w:space="0" w:color="auto"/>
            </w:tcBorders>
            <w:hideMark/>
          </w:tcPr>
          <w:p w14:paraId="0C41EF1F" w14:textId="77777777" w:rsidR="00A3363A" w:rsidRDefault="00A3363A">
            <w:pPr>
              <w:spacing w:after="200" w:line="360" w:lineRule="auto"/>
              <w:rPr>
                <w:rFonts w:ascii="Times New Roman" w:hAnsi="Times New Roman" w:cs="Times New Roman"/>
                <w:sz w:val="24"/>
                <w:szCs w:val="24"/>
              </w:rPr>
            </w:pPr>
            <w:r>
              <w:rPr>
                <w:rFonts w:ascii="Times New Roman" w:hAnsi="Times New Roman" w:cs="Times New Roman"/>
                <w:sz w:val="24"/>
                <w:szCs w:val="24"/>
              </w:rPr>
              <w:t>+/- 2.9%</w:t>
            </w:r>
          </w:p>
        </w:tc>
        <w:tc>
          <w:tcPr>
            <w:tcW w:w="1716" w:type="dxa"/>
            <w:tcBorders>
              <w:top w:val="single" w:sz="4" w:space="0" w:color="auto"/>
              <w:left w:val="single" w:sz="4" w:space="0" w:color="auto"/>
              <w:bottom w:val="single" w:sz="4" w:space="0" w:color="auto"/>
              <w:right w:val="single" w:sz="4" w:space="0" w:color="auto"/>
            </w:tcBorders>
            <w:hideMark/>
          </w:tcPr>
          <w:p w14:paraId="587F40DE" w14:textId="77777777" w:rsidR="00A3363A" w:rsidRDefault="00A3363A">
            <w:pPr>
              <w:spacing w:after="200" w:line="360" w:lineRule="auto"/>
              <w:rPr>
                <w:rFonts w:ascii="Times New Roman" w:hAnsi="Times New Roman" w:cs="Times New Roman"/>
                <w:sz w:val="24"/>
                <w:szCs w:val="24"/>
              </w:rPr>
            </w:pPr>
            <w:r>
              <w:rPr>
                <w:rFonts w:ascii="Times New Roman" w:hAnsi="Times New Roman" w:cs="Times New Roman"/>
                <w:sz w:val="24"/>
                <w:szCs w:val="24"/>
              </w:rPr>
              <w:t>+/- 2.6%</w:t>
            </w:r>
          </w:p>
        </w:tc>
        <w:tc>
          <w:tcPr>
            <w:tcW w:w="1716" w:type="dxa"/>
            <w:tcBorders>
              <w:top w:val="single" w:sz="4" w:space="0" w:color="auto"/>
              <w:left w:val="single" w:sz="4" w:space="0" w:color="auto"/>
              <w:bottom w:val="single" w:sz="4" w:space="0" w:color="auto"/>
              <w:right w:val="single" w:sz="4" w:space="0" w:color="auto"/>
            </w:tcBorders>
            <w:hideMark/>
          </w:tcPr>
          <w:p w14:paraId="24E85EDD" w14:textId="77777777" w:rsidR="00A3363A" w:rsidRDefault="00A3363A">
            <w:pPr>
              <w:spacing w:after="200" w:line="360" w:lineRule="auto"/>
              <w:rPr>
                <w:rFonts w:ascii="Times New Roman" w:hAnsi="Times New Roman" w:cs="Times New Roman"/>
                <w:sz w:val="24"/>
                <w:szCs w:val="24"/>
              </w:rPr>
            </w:pPr>
            <w:r>
              <w:rPr>
                <w:rFonts w:ascii="Times New Roman" w:hAnsi="Times New Roman" w:cs="Times New Roman"/>
                <w:sz w:val="24"/>
                <w:szCs w:val="24"/>
              </w:rPr>
              <w:t>+/- 2.4%</w:t>
            </w:r>
          </w:p>
        </w:tc>
      </w:tr>
      <w:tr w:rsidR="00A3363A" w14:paraId="2D8F8C39" w14:textId="77777777" w:rsidTr="00A3363A">
        <w:trPr>
          <w:jc w:val="center"/>
        </w:trPr>
        <w:tc>
          <w:tcPr>
            <w:tcW w:w="1716" w:type="dxa"/>
            <w:tcBorders>
              <w:top w:val="single" w:sz="4" w:space="0" w:color="auto"/>
              <w:left w:val="single" w:sz="4" w:space="0" w:color="auto"/>
              <w:bottom w:val="single" w:sz="4" w:space="0" w:color="auto"/>
              <w:right w:val="single" w:sz="4" w:space="0" w:color="auto"/>
            </w:tcBorders>
            <w:hideMark/>
          </w:tcPr>
          <w:p w14:paraId="75AC1778" w14:textId="77777777" w:rsidR="00A3363A" w:rsidRDefault="00A3363A">
            <w:pPr>
              <w:spacing w:after="200" w:line="360" w:lineRule="auto"/>
              <w:rPr>
                <w:rFonts w:ascii="Times New Roman" w:hAnsi="Times New Roman" w:cs="Times New Roman"/>
                <w:b/>
                <w:sz w:val="24"/>
                <w:szCs w:val="24"/>
              </w:rPr>
            </w:pPr>
            <w:r>
              <w:rPr>
                <w:rFonts w:ascii="Times New Roman" w:hAnsi="Times New Roman" w:cs="Times New Roman"/>
                <w:b/>
                <w:sz w:val="24"/>
                <w:szCs w:val="24"/>
              </w:rPr>
              <w:t>15% incidence</w:t>
            </w:r>
          </w:p>
        </w:tc>
        <w:tc>
          <w:tcPr>
            <w:tcW w:w="1716" w:type="dxa"/>
            <w:tcBorders>
              <w:top w:val="single" w:sz="4" w:space="0" w:color="auto"/>
              <w:left w:val="single" w:sz="4" w:space="0" w:color="auto"/>
              <w:bottom w:val="single" w:sz="4" w:space="0" w:color="auto"/>
              <w:right w:val="single" w:sz="4" w:space="0" w:color="auto"/>
            </w:tcBorders>
            <w:hideMark/>
          </w:tcPr>
          <w:p w14:paraId="660D4D0E" w14:textId="77777777" w:rsidR="00A3363A" w:rsidRDefault="00A3363A">
            <w:pPr>
              <w:spacing w:after="200" w:line="360" w:lineRule="auto"/>
              <w:rPr>
                <w:rFonts w:ascii="Times New Roman" w:hAnsi="Times New Roman" w:cs="Times New Roman"/>
                <w:sz w:val="24"/>
                <w:szCs w:val="24"/>
              </w:rPr>
            </w:pPr>
            <w:r>
              <w:rPr>
                <w:rFonts w:ascii="Times New Roman" w:hAnsi="Times New Roman" w:cs="Times New Roman"/>
                <w:sz w:val="24"/>
                <w:szCs w:val="24"/>
              </w:rPr>
              <w:t>+/- 4.9%</w:t>
            </w:r>
          </w:p>
        </w:tc>
        <w:tc>
          <w:tcPr>
            <w:tcW w:w="1716" w:type="dxa"/>
            <w:tcBorders>
              <w:top w:val="single" w:sz="4" w:space="0" w:color="auto"/>
              <w:left w:val="single" w:sz="4" w:space="0" w:color="auto"/>
              <w:bottom w:val="single" w:sz="4" w:space="0" w:color="auto"/>
              <w:right w:val="single" w:sz="4" w:space="0" w:color="auto"/>
            </w:tcBorders>
            <w:hideMark/>
          </w:tcPr>
          <w:p w14:paraId="2751FE36" w14:textId="77777777" w:rsidR="00A3363A" w:rsidRDefault="00A3363A">
            <w:pPr>
              <w:spacing w:after="200" w:line="360" w:lineRule="auto"/>
              <w:rPr>
                <w:rFonts w:ascii="Times New Roman" w:hAnsi="Times New Roman" w:cs="Times New Roman"/>
                <w:sz w:val="24"/>
                <w:szCs w:val="24"/>
              </w:rPr>
            </w:pPr>
            <w:r>
              <w:rPr>
                <w:rFonts w:ascii="Times New Roman" w:hAnsi="Times New Roman" w:cs="Times New Roman"/>
                <w:sz w:val="24"/>
                <w:szCs w:val="24"/>
              </w:rPr>
              <w:t>+/- 4.0%</w:t>
            </w:r>
          </w:p>
        </w:tc>
        <w:tc>
          <w:tcPr>
            <w:tcW w:w="1716" w:type="dxa"/>
            <w:tcBorders>
              <w:top w:val="single" w:sz="4" w:space="0" w:color="auto"/>
              <w:left w:val="single" w:sz="4" w:space="0" w:color="auto"/>
              <w:bottom w:val="single" w:sz="4" w:space="0" w:color="auto"/>
              <w:right w:val="single" w:sz="4" w:space="0" w:color="auto"/>
            </w:tcBorders>
            <w:hideMark/>
          </w:tcPr>
          <w:p w14:paraId="0F921538" w14:textId="77777777" w:rsidR="00A3363A" w:rsidRDefault="00A3363A">
            <w:pPr>
              <w:spacing w:after="200" w:line="360" w:lineRule="auto"/>
              <w:rPr>
                <w:rFonts w:ascii="Times New Roman" w:hAnsi="Times New Roman" w:cs="Times New Roman"/>
                <w:sz w:val="24"/>
                <w:szCs w:val="24"/>
              </w:rPr>
            </w:pPr>
            <w:r>
              <w:rPr>
                <w:rFonts w:ascii="Times New Roman" w:hAnsi="Times New Roman" w:cs="Times New Roman"/>
                <w:sz w:val="24"/>
                <w:szCs w:val="24"/>
              </w:rPr>
              <w:t>+/- 3.5%</w:t>
            </w:r>
          </w:p>
        </w:tc>
        <w:tc>
          <w:tcPr>
            <w:tcW w:w="1716" w:type="dxa"/>
            <w:tcBorders>
              <w:top w:val="single" w:sz="4" w:space="0" w:color="auto"/>
              <w:left w:val="single" w:sz="4" w:space="0" w:color="auto"/>
              <w:bottom w:val="single" w:sz="4" w:space="0" w:color="auto"/>
              <w:right w:val="single" w:sz="4" w:space="0" w:color="auto"/>
            </w:tcBorders>
            <w:hideMark/>
          </w:tcPr>
          <w:p w14:paraId="7244B046" w14:textId="77777777" w:rsidR="00A3363A" w:rsidRDefault="00A3363A">
            <w:pPr>
              <w:spacing w:after="200" w:line="360" w:lineRule="auto"/>
              <w:rPr>
                <w:rFonts w:ascii="Times New Roman" w:hAnsi="Times New Roman" w:cs="Times New Roman"/>
                <w:sz w:val="24"/>
                <w:szCs w:val="24"/>
              </w:rPr>
            </w:pPr>
            <w:r>
              <w:rPr>
                <w:rFonts w:ascii="Times New Roman" w:hAnsi="Times New Roman" w:cs="Times New Roman"/>
                <w:sz w:val="24"/>
                <w:szCs w:val="24"/>
              </w:rPr>
              <w:t>+/- 3.1%</w:t>
            </w:r>
          </w:p>
        </w:tc>
        <w:tc>
          <w:tcPr>
            <w:tcW w:w="1716" w:type="dxa"/>
            <w:tcBorders>
              <w:top w:val="single" w:sz="4" w:space="0" w:color="auto"/>
              <w:left w:val="single" w:sz="4" w:space="0" w:color="auto"/>
              <w:bottom w:val="single" w:sz="4" w:space="0" w:color="auto"/>
              <w:right w:val="single" w:sz="4" w:space="0" w:color="auto"/>
            </w:tcBorders>
            <w:hideMark/>
          </w:tcPr>
          <w:p w14:paraId="502B70B4" w14:textId="77777777" w:rsidR="00A3363A" w:rsidRDefault="00A3363A">
            <w:pPr>
              <w:spacing w:after="200" w:line="360" w:lineRule="auto"/>
              <w:rPr>
                <w:rFonts w:ascii="Times New Roman" w:hAnsi="Times New Roman" w:cs="Times New Roman"/>
                <w:sz w:val="24"/>
                <w:szCs w:val="24"/>
              </w:rPr>
            </w:pPr>
            <w:r>
              <w:rPr>
                <w:rFonts w:ascii="Times New Roman" w:hAnsi="Times New Roman" w:cs="Times New Roman"/>
                <w:sz w:val="24"/>
                <w:szCs w:val="24"/>
              </w:rPr>
              <w:t>+/- 2.9%</w:t>
            </w:r>
          </w:p>
        </w:tc>
      </w:tr>
    </w:tbl>
    <w:p w14:paraId="77033095" w14:textId="77777777" w:rsidR="00A3363A" w:rsidRDefault="00A3363A" w:rsidP="00A3363A">
      <w:pPr>
        <w:spacing w:line="360" w:lineRule="auto"/>
        <w:rPr>
          <w:rFonts w:ascii="Times New Roman" w:hAnsi="Times New Roman" w:cs="Times New Roman"/>
          <w:sz w:val="24"/>
          <w:szCs w:val="24"/>
        </w:rPr>
      </w:pPr>
    </w:p>
    <w:p w14:paraId="506BC814" w14:textId="77777777" w:rsidR="00726A13" w:rsidRDefault="00726A13" w:rsidP="00A3363A">
      <w:pPr>
        <w:spacing w:line="360" w:lineRule="auto"/>
        <w:rPr>
          <w:rFonts w:ascii="Times New Roman" w:hAnsi="Times New Roman" w:cs="Times New Roman"/>
          <w:sz w:val="24"/>
          <w:szCs w:val="24"/>
          <w:u w:val="single"/>
        </w:rPr>
      </w:pPr>
    </w:p>
    <w:p w14:paraId="0A3BEB70" w14:textId="77777777" w:rsidR="004A4C18" w:rsidRPr="00726A13" w:rsidRDefault="004A4C18" w:rsidP="004A4C18">
      <w:pPr>
        <w:rPr>
          <w:rFonts w:asciiTheme="majorBidi" w:hAnsiTheme="majorBidi"/>
          <w:rtl/>
        </w:rPr>
      </w:pPr>
      <w:r w:rsidRPr="00E621BB">
        <w:rPr>
          <w:rFonts w:asciiTheme="majorBidi" w:hAnsiTheme="majorBidi" w:cstheme="majorBidi"/>
          <w:b/>
          <w:bCs/>
          <w:sz w:val="24"/>
          <w:szCs w:val="24"/>
        </w:rPr>
        <w:lastRenderedPageBreak/>
        <w:t>Data Analysis of Immunogenicity</w:t>
      </w:r>
    </w:p>
    <w:p w14:paraId="26AF0C8A" w14:textId="6C7060B2" w:rsidR="00A3363A" w:rsidRDefault="00A3363A" w:rsidP="00165BAD">
      <w:pPr>
        <w:spacing w:line="480" w:lineRule="auto"/>
        <w:rPr>
          <w:rFonts w:ascii="Times New Roman" w:hAnsi="Times New Roman" w:cs="Times New Roman"/>
          <w:sz w:val="24"/>
          <w:szCs w:val="24"/>
        </w:rPr>
      </w:pPr>
      <w:r>
        <w:rPr>
          <w:rFonts w:ascii="Times New Roman" w:hAnsi="Times New Roman" w:cs="Times New Roman"/>
          <w:sz w:val="24"/>
          <w:szCs w:val="24"/>
        </w:rPr>
        <w:t xml:space="preserve">In sensitivity analyses, days between Time 1 and 2 sera collection and their association with Time 2 GMR will be examined.  </w:t>
      </w:r>
    </w:p>
    <w:p w14:paraId="2480CEEB" w14:textId="123AF224" w:rsidR="00A3363A" w:rsidRDefault="00A3363A" w:rsidP="00165BAD">
      <w:pPr>
        <w:spacing w:line="480" w:lineRule="auto"/>
        <w:rPr>
          <w:rFonts w:ascii="Times New Roman" w:hAnsi="Times New Roman" w:cs="Times New Roman"/>
          <w:sz w:val="24"/>
          <w:szCs w:val="24"/>
        </w:rPr>
      </w:pPr>
      <w:r>
        <w:rPr>
          <w:rFonts w:ascii="Times New Roman" w:hAnsi="Times New Roman" w:cs="Times New Roman"/>
          <w:sz w:val="24"/>
          <w:szCs w:val="24"/>
        </w:rPr>
        <w:t xml:space="preserve">To test the hypothesis that the outcome (serologic vaccine response or GMR) varies depending on the exposure (the number of prior IIV vaccinations), we will estimate an interaction term for time of sera draw (pre- and post-vaccination) by the number of prior vaccinations; after adjusting for main effects and covariates, a statistically significant interaction term (p &lt; .1) indicated that vaccine response was significantly modified by prior IIV exposure. </w:t>
      </w:r>
    </w:p>
    <w:p w14:paraId="7C8EDD77" w14:textId="03665658" w:rsidR="00A3363A" w:rsidRDefault="00A3363A" w:rsidP="001B7FE8">
      <w:pPr>
        <w:spacing w:line="480" w:lineRule="auto"/>
        <w:rPr>
          <w:rFonts w:ascii="Times New Roman" w:hAnsi="Times New Roman" w:cs="Times New Roman"/>
          <w:sz w:val="24"/>
          <w:szCs w:val="24"/>
        </w:rPr>
      </w:pPr>
      <w:r>
        <w:rPr>
          <w:rFonts w:ascii="Times New Roman" w:hAnsi="Times New Roman" w:cs="Times New Roman"/>
          <w:sz w:val="24"/>
          <w:szCs w:val="24"/>
        </w:rPr>
        <w:t xml:space="preserve">Since baseline antibody titers are among the best predictors of serologic response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&lt;EndNote&gt;&lt;Cite&gt;&lt;Author&gt;Beyer&lt;/Author&gt;&lt;Year&gt;2004&lt;/Year&gt;&lt;RecNum&gt;880&lt;/RecNum&gt;&lt;DisplayText&gt;[4]&lt;/DisplayText&gt;&lt;record&gt;&lt;rec-number&gt;880&lt;/rec-number&gt;&lt;foreign-keys&gt;&lt;key app="EN" db-id="5ddatexvfs0wraezfr250fr9rxfp0wddspsd" timestamp="0"&gt;880&lt;/key&gt;&lt;/foreign-keys&gt;&lt;ref-type name="Journal Article"&gt;17&lt;/ref-type&gt;&lt;contributors&gt;&lt;authors&gt;&lt;author&gt;Beyer, W. E.&lt;/author&gt;&lt;author&gt;Palache, A. M.&lt;/author&gt;&lt;author&gt;Luchters, G.&lt;/author&gt;&lt;author&gt;Nauta, J.&lt;/author&gt;&lt;author&gt;Osterhaus, A. D.&lt;/author&gt;&lt;/authors&gt;&lt;/contributors&gt;&lt;auth-address&gt;National Influenza Centre, Department of Virology, Erasmus University, P.O. Box 1738, NL-3000 DR Rotterdam, The Netherlands.&lt;/auth-address&gt;&lt;titles&gt;&lt;title&gt;Seroprotection rate, mean fold increase, seroconversion rate: which parameter adequately expresses seroresponse to influenza vaccination?&lt;/title&gt;&lt;secondary-title&gt;Virus Res&lt;/secondary-title&gt;&lt;alt-title&gt;Virus research&lt;/alt-title&gt;&lt;/titles&gt;&lt;pages&gt;125-32&lt;/pages&gt;&lt;volume&gt;103&lt;/volume&gt;&lt;number&gt;1-2&lt;/number&gt;&lt;edition&gt;2004/05/28&lt;/edition&gt;&lt;keywords&gt;&lt;keyword&gt;Adult&lt;/keyword&gt;&lt;keyword&gt;Antibodies, Viral/ blood&lt;/keyword&gt;&lt;keyword&gt;Humans&lt;/keyword&gt;&lt;keyword&gt;Immunization&lt;/keyword&gt;&lt;keyword&gt;Influenza A virus/ immunology&lt;/keyword&gt;&lt;keyword&gt;Influenza Vaccines/administration &amp;amp; dosage/ immunology&lt;/keyword&gt;&lt;keyword&gt;Influenza, Human/immunology/ prevention &amp;amp; control/virology&lt;/keyword&gt;&lt;keyword&gt;Vaccines, Inactivated/administration &amp;amp; dosage/ immunology&lt;/keyword&gt;&lt;/keywords&gt;&lt;dates&gt;&lt;year&gt;2004&lt;/year&gt;&lt;pub-dates&gt;&lt;date&gt;Jul&lt;/date&gt;&lt;/pub-dates&gt;&lt;/dates&gt;&lt;isbn&gt;0168-1702 (Print)&amp;#xD;0168-1702 (Linking)&lt;/isbn&gt;&lt;accession-num&gt;15163500&lt;/accession-num&gt;&lt;urls&gt;&lt;/urls&gt;&lt;electronic-resource-num&gt;10.1016/j.virusres.2004.02.024&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we will repeat the GMR models stratifying participants by those with low baseline titers (GMT &lt;40) or high baseline titers (≥40) </w:t>
      </w:r>
      <w:r>
        <w:rPr>
          <w:rFonts w:ascii="Times New Roman" w:hAnsi="Times New Roman" w:cs="Times New Roman"/>
          <w:sz w:val="24"/>
          <w:szCs w:val="24"/>
        </w:rPr>
        <w:fldChar w:fldCharType="begin">
          <w:fldData xml:space="preserve">PEVuZE5vdGU+PENpdGU+PEF1dGhvcj5HYWdsYW5pPC9BdXRob3I+PFllYXI+MjAxNDwvWWVhcj48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ZXM+MTcwNS0xNDwvcGFnZXM+PHZvbHVtZT4yMDk8L3ZvbHVtZT48bnVtYmVyPjExPC9udW1iZXI+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PEVuZE5vdGU+PENpdGU+PEF1dGhvcj5HYWdsYW5pPC9BdXRob3I+PFllYXI+MjAxNDwvWWVhcj48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ZXM+MTcwNS0xNDwvcGFnZXM+PHZvbHVtZT4yMDk8L3ZvbHVtZT48bnVtYmVyPjExPC9udW1iZXI+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As an additional outcome measure and to aid the interpretation of the association between prior vaccinations and GMR, we will also report the percentage of participants with GMT of ≥40, a recognized immune marker associated with at least a 50% protection against influenza infection in populations </w:t>
      </w:r>
      <w:r>
        <w:rPr>
          <w:rFonts w:ascii="Times New Roman" w:hAnsi="Times New Roman" w:cs="Times New Roman"/>
          <w:sz w:val="24"/>
          <w:szCs w:val="24"/>
        </w:rPr>
        <w:fldChar w:fldCharType="begin">
          <w:fldData xml:space="preserve">PEVuZE5vdGU+PENpdGU+PEF1dGhvcj5HYWdsYW5pPC9BdXRob3I+PFllYXI+MjAxNDwvWWVhcj48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ZXM+MTcwNS0xNDwvcGFnZXM+PHZvbHVtZT4yMDk8L3ZvbHVtZT48bnVtYmVyPjExPC9udW1iZXI+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PEVuZE5vdGU+PENpdGU+PEF1dGhvcj5HYWdsYW5pPC9BdXRob3I+PFllYXI+MjAxNDwvWWVhcj48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ZXM+MTcwNS0xNDwvcGFnZXM+PHZvbHVtZT4yMDk8L3ZvbHVtZT48bnVtYmVyPjExPC9udW1iZXI+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as well as a GMT of &gt;100 which is associated with even higher clinical protection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&lt;EndNote&gt;&lt;Cite&gt;&lt;Author&gt;Coudeville&lt;/Author&gt;&lt;Year&gt;2010&lt;/Year&gt;&lt;RecNum&gt;878&lt;/RecNum&gt;&lt;DisplayText&gt;[2]&lt;/DisplayText&gt;&lt;record&gt;&lt;rec-number&gt;878&lt;/rec-number&gt;&lt;foreign-keys&gt;&lt;key app="EN" db-id="5ddatexvfs0wraezfr250fr9rxfp0wddspsd" timestamp="0"&gt;878&lt;/key&gt;&lt;/foreign-keys&gt;&lt;ref-type name="Journal Article"&gt;17&lt;/ref-type&gt;&lt;contributors&gt;&lt;authors&gt;&lt;author&gt;Coudeville, L.&lt;/author&gt;&lt;author&gt;Bailleux, F.&lt;/author&gt;&lt;author&gt;Riche, B.&lt;/author&gt;&lt;author&gt;Megas, F.&lt;/author&gt;&lt;author&gt;Andre, P.&lt;/author&gt;&lt;author&gt;Ecochard, R.&lt;/author&gt;&lt;/authors&gt;&lt;/contributors&gt;&lt;auth-address&gt;Sanofi pasteur, 2 avenue Pont Pasteur F-69367 Lyon cedex 07 France. laurent.coudeville@sanofipasteur.com&lt;/auth-address&gt;&lt;titles&gt;&lt;title&gt;Relationship between haemagglutination-inhibiting antibody titres and clinical protection against influenza: development and application of a bayesian random-effects model&lt;/title&gt;&lt;secondary-title&gt;BMC Med Res Methodol&lt;/secondary-title&gt;&lt;alt-title&gt;BMC medical research methodology&lt;/alt-title&gt;&lt;/titles&gt;&lt;pages&gt;18&lt;/pages&gt;&lt;volume&gt;10&lt;/volume&gt;&lt;edition&gt;2010/03/10&lt;/edition&gt;&lt;keywords&gt;&lt;keyword&gt;Adult&lt;/keyword&gt;&lt;keyword&gt;Antibodies, Viral/ blood&lt;/keyword&gt;&lt;keyword&gt;Bayes Theorem&lt;/keyword&gt;&lt;keyword&gt;Hemagglutinins/ immunology&lt;/keyword&gt;&lt;keyword&gt;Humans&lt;/keyword&gt;&lt;keyword&gt;Influenza, Human/ immunology&lt;/keyword&gt;&lt;keyword&gt;Models, Theoretical&lt;/keyword&gt;&lt;/keywords&gt;&lt;dates&gt;&lt;year&gt;2010&lt;/year&gt;&lt;/dates&gt;&lt;isbn&gt;1471-2288 (Electronic)&amp;#xD;1471-2288 (Linking)&lt;/isbn&gt;&lt;accession-num&gt;20210985&lt;/accession-num&gt;&lt;urls&gt;&lt;/urls&gt;&lt;custom2&gt;PMC2851702&lt;/custom2&gt;&lt;electronic-resource-num&gt;10.1186/1471-2288-10-18&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Given differences in baseline immunity, we will also report the percentage who achieved titers ≥40 and &gt;100 post-</w:t>
      </w:r>
      <w:proofErr w:type="gramStart"/>
      <w:r>
        <w:rPr>
          <w:rFonts w:ascii="Times New Roman" w:hAnsi="Times New Roman" w:cs="Times New Roman"/>
          <w:sz w:val="24"/>
          <w:szCs w:val="24"/>
        </w:rPr>
        <w:t>vaccination</w:t>
      </w:r>
      <w:proofErr w:type="gramEnd"/>
      <w:r>
        <w:rPr>
          <w:rFonts w:ascii="Times New Roman" w:hAnsi="Times New Roman" w:cs="Times New Roman"/>
          <w:sz w:val="24"/>
          <w:szCs w:val="24"/>
        </w:rPr>
        <w:t xml:space="preserve">, excluding those with preseason GMT ≥40. These percentages will be estimated using generalized linear models with the same covariates described for the mixed effects models and adjusted for baseline titers, as recommended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&lt;EndNote&gt;&lt;Cite&gt;&lt;Author&gt;Beyer&lt;/Author&gt;&lt;Year&gt;2004&lt;/Year&gt;&lt;RecNum&gt;880&lt;/RecNum&gt;&lt;DisplayText&gt;[4]&lt;/DisplayText&gt;&lt;record&gt;&lt;rec-number&gt;880&lt;/rec-number&gt;&lt;foreign-keys&gt;&lt;key app="EN" db-id="5ddatexvfs0wraezfr250fr9rxfp0wddspsd" timestamp="0"&gt;880&lt;/key&gt;&lt;/foreign-keys&gt;&lt;ref-type name="Journal Article"&gt;17&lt;/ref-type&gt;&lt;contributors&gt;&lt;authors&gt;&lt;author&gt;Beyer, W. E.&lt;/author&gt;&lt;author&gt;Palache, A. M.&lt;/author&gt;&lt;author&gt;Luchters, G.&lt;/author&gt;&lt;author&gt;Nauta, J.&lt;/author&gt;&lt;author&gt;Osterhaus, A. D.&lt;/author&gt;&lt;/authors&gt;&lt;/contributors&gt;&lt;auth-address&gt;National Influenza Centre, Department of Virology, Erasmus University, P.O. Box 1738, NL-3000 DR Rotterdam, The Netherlands.&lt;/auth-address&gt;&lt;titles&gt;&lt;title&gt;Seroprotection rate, mean fold increase, seroconversion rate: which parameter adequately expresses seroresponse to influenza vaccination?&lt;/title&gt;&lt;secondary-title&gt;Virus Res&lt;/secondary-title&gt;&lt;alt-title&gt;Virus research&lt;/alt-title&gt;&lt;/titles&gt;&lt;pages&gt;125-32&lt;/pages&gt;&lt;volume&gt;103&lt;/volume&gt;&lt;number&gt;1-2&lt;/number&gt;&lt;edition&gt;2004/05/28&lt;/edition&gt;&lt;keywords&gt;&lt;keyword&gt;Adult&lt;/keyword&gt;&lt;keyword&gt;Antibodies, Viral/ blood&lt;/keyword&gt;&lt;keyword&gt;Humans&lt;/keyword&gt;&lt;keyword&gt;Immunization&lt;/keyword&gt;&lt;keyword&gt;Influenza A virus/ immunology&lt;/keyword&gt;&lt;keyword&gt;Influenza Vaccines/administration &amp;amp; dosage/ immunology&lt;/keyword&gt;&lt;keyword&gt;Influenza, Human/immunology/ prevention &amp;amp; control/virology&lt;/keyword&gt;&lt;keyword&gt;Vaccines, Inactivated/administration &amp;amp; dosage/ immunology&lt;/keyword&gt;&lt;/keywords&gt;&lt;dates&gt;&lt;year&gt;2004&lt;/year&gt;&lt;pub-dates&gt;&lt;date&gt;Jul&lt;/date&gt;&lt;/pub-dates&gt;&lt;/dates&gt;&lt;isbn&gt;0168-1702 (Print)&amp;#xD;0168-1702 (Linking)&lt;/isbn&gt;&lt;accession-num&gt;15163500&lt;/accession-num&gt;&lt;urls&gt;&lt;/urls&gt;&lt;electronic-resource-num&gt;10.1016/j.virusres.2004.02.024&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 xml:space="preserve">to minimize bias associated with </w:t>
      </w:r>
      <w:proofErr w:type="spellStart"/>
      <w:r>
        <w:rPr>
          <w:rFonts w:ascii="Times New Roman" w:hAnsi="Times New Roman" w:cs="Times New Roman"/>
          <w:sz w:val="24"/>
          <w:szCs w:val="24"/>
        </w:rPr>
        <w:t>prevaccination</w:t>
      </w:r>
      <w:proofErr w:type="spellEnd"/>
      <w:r>
        <w:rPr>
          <w:rFonts w:ascii="Times New Roman" w:hAnsi="Times New Roman" w:cs="Times New Roman"/>
          <w:sz w:val="24"/>
          <w:szCs w:val="24"/>
        </w:rPr>
        <w:t xml:space="preserve"> titers. We will use logistic regression, with the same covariates, to illustrate the magnitude of the effect of prior vaccination on the dichotomous elevated titer outcomes. </w:t>
      </w:r>
    </w:p>
    <w:p w14:paraId="0FD3251B" w14:textId="1F4E367C" w:rsidR="00A3363A" w:rsidRDefault="00A3363A" w:rsidP="004A4C18">
      <w:pPr>
        <w:spacing w:line="480" w:lineRule="auto"/>
        <w:rPr>
          <w:rFonts w:ascii="Times New Roman" w:hAnsi="Times New Roman" w:cs="Times New Roman"/>
          <w:sz w:val="24"/>
          <w:szCs w:val="24"/>
        </w:rPr>
      </w:pPr>
      <w:r>
        <w:rPr>
          <w:rFonts w:ascii="Times New Roman" w:hAnsi="Times New Roman" w:cs="Times New Roman"/>
          <w:sz w:val="24"/>
          <w:szCs w:val="24"/>
        </w:rPr>
        <w:t xml:space="preserve">Vaccine exposure groups whose 95% confidence intervals (CI) (for GMT, GMR, or percentage with elevated titers) do not overlap will be considered statistically different. For other analyses, a </w:t>
      </w:r>
      <w:r>
        <w:rPr>
          <w:rFonts w:ascii="Times New Roman" w:hAnsi="Times New Roman" w:cs="Times New Roman"/>
          <w:sz w:val="24"/>
          <w:szCs w:val="24"/>
        </w:rPr>
        <w:lastRenderedPageBreak/>
        <w:t>p-value of &lt; .05 will be considered statistically significant. Partial eta squared (η</w:t>
      </w:r>
      <w:r>
        <w:rPr>
          <w:rFonts w:ascii="Times New Roman" w:hAnsi="Times New Roman" w:cs="Times New Roman"/>
          <w:sz w:val="24"/>
          <w:szCs w:val="24"/>
          <w:vertAlign w:val="superscript"/>
        </w:rPr>
        <w:t>2</w:t>
      </w:r>
      <w:r>
        <w:rPr>
          <w:rFonts w:ascii="Times New Roman" w:hAnsi="Times New Roman" w:cs="Times New Roman"/>
          <w:sz w:val="24"/>
          <w:szCs w:val="24"/>
        </w:rPr>
        <w:t>) will be reported for mixed effect models to indicate the amount of variance in the outcome explained by the number of prior vaccinations after excluding variance explained by other covariates.</w:t>
      </w:r>
    </w:p>
    <w:p w14:paraId="32432E7D" w14:textId="77777777" w:rsidR="00E838B7" w:rsidRPr="00E838B7" w:rsidRDefault="00E838B7" w:rsidP="00726A13">
      <w:pPr>
        <w:spacing w:line="360" w:lineRule="auto"/>
        <w:ind w:left="720" w:hanging="720"/>
        <w:rPr>
          <w:rFonts w:ascii="Times New Roman" w:hAnsi="Times New Roman" w:cs="Times New Roman"/>
          <w:sz w:val="24"/>
          <w:szCs w:val="24"/>
        </w:rPr>
      </w:pPr>
    </w:p>
    <w:p w14:paraId="565B354B" w14:textId="77777777" w:rsidR="00A3363A" w:rsidRDefault="00A3363A" w:rsidP="00726A13">
      <w:pPr>
        <w:spacing w:line="360" w:lineRule="auto"/>
        <w:rPr>
          <w:rFonts w:ascii="Times New Roman" w:hAnsi="Times New Roman" w:cs="Times New Roman"/>
          <w:sz w:val="24"/>
          <w:szCs w:val="24"/>
        </w:rPr>
      </w:pPr>
    </w:p>
    <w:p w14:paraId="15E00575" w14:textId="77777777" w:rsidR="00E621BB" w:rsidRDefault="00E621BB" w:rsidP="00E621BB">
      <w:pPr>
        <w:rPr>
          <w:rFonts w:ascii="Times New Roman" w:hAnsi="Times New Roman" w:cs="Times New Roman"/>
          <w:sz w:val="24"/>
          <w:szCs w:val="24"/>
        </w:rPr>
      </w:pPr>
    </w:p>
    <w:p w14:paraId="04186DD1" w14:textId="5737E1D8" w:rsidR="00A3363A" w:rsidRDefault="00A3363A" w:rsidP="00E621BB">
      <w:pPr>
        <w:rPr>
          <w:rFonts w:ascii="Times New Roman" w:hAnsi="Times New Roman" w:cs="Times New Roman"/>
          <w:sz w:val="24"/>
          <w:szCs w:val="24"/>
        </w:rPr>
      </w:pPr>
      <w:r>
        <w:rPr>
          <w:rFonts w:ascii="Times New Roman" w:hAnsi="Times New Roman" w:cs="Times New Roman"/>
          <w:sz w:val="24"/>
          <w:szCs w:val="24"/>
        </w:rPr>
        <w:br w:type="page"/>
      </w:r>
    </w:p>
    <w:p w14:paraId="3839B029" w14:textId="49AAA65A" w:rsidR="00A3363A" w:rsidRDefault="00E621BB" w:rsidP="00A3363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14:paraId="1827E871" w14:textId="77777777" w:rsidR="00A3363A" w:rsidRDefault="00A3363A" w:rsidP="00A3363A">
      <w:pPr>
        <w:pStyle w:val="EndNoteBibliography"/>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begin"/>
      </w:r>
      <w:r w:rsidRPr="00410943">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tab/>
        <w:t xml:space="preserve">Gaglani M, Spencer S, Ball S, et al. Antibody response to influenza A(H1N1)pdm09 among healthcare personnel receiving trivalent inactivated vaccine: effect of prior monovalent inactivated vaccine. The Journal of infectious diseases </w:t>
      </w:r>
      <w:r>
        <w:rPr>
          <w:rFonts w:ascii="Times New Roman" w:hAnsi="Times New Roman" w:cs="Times New Roman"/>
          <w:b/>
          <w:sz w:val="24"/>
          <w:szCs w:val="24"/>
        </w:rPr>
        <w:t>2014</w:t>
      </w:r>
      <w:r>
        <w:rPr>
          <w:rFonts w:ascii="Times New Roman" w:hAnsi="Times New Roman" w:cs="Times New Roman"/>
          <w:sz w:val="24"/>
          <w:szCs w:val="24"/>
        </w:rPr>
        <w:t>; 209(11): 1705-14.</w:t>
      </w:r>
    </w:p>
    <w:p w14:paraId="4E0CFED5" w14:textId="6C739AAE" w:rsidR="00A3363A" w:rsidRDefault="00A3363A" w:rsidP="00165BAD">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Coudeville L, Bailleux F, Riche B, Megas F, Andre P, Ecochard R. Relationship between haemagglutination-inhibiting antibody titres and clinical protection against influenza: development and application of a bayesian random-effects model. BMC Med Res Methodol </w:t>
      </w:r>
      <w:r>
        <w:rPr>
          <w:rFonts w:ascii="Times New Roman" w:hAnsi="Times New Roman" w:cs="Times New Roman"/>
          <w:b/>
          <w:sz w:val="24"/>
          <w:szCs w:val="24"/>
        </w:rPr>
        <w:t>2010</w:t>
      </w:r>
      <w:r>
        <w:rPr>
          <w:rFonts w:ascii="Times New Roman" w:hAnsi="Times New Roman" w:cs="Times New Roman"/>
          <w:sz w:val="24"/>
          <w:szCs w:val="24"/>
        </w:rPr>
        <w:t>; 10: 18.</w:t>
      </w:r>
    </w:p>
    <w:p w14:paraId="63990BAA" w14:textId="057C52BB" w:rsidR="00A3363A" w:rsidRDefault="00A3363A" w:rsidP="00165BAD">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Thompson MG, Gaglani MJ, Naleway A, et al. The expected emotional benefits of influenza vaccination strongly affect pre-season intentions and subsequent vaccination among healthcare personnel. Vaccine </w:t>
      </w:r>
      <w:r>
        <w:rPr>
          <w:rFonts w:ascii="Times New Roman" w:hAnsi="Times New Roman" w:cs="Times New Roman"/>
          <w:b/>
          <w:sz w:val="24"/>
          <w:szCs w:val="24"/>
        </w:rPr>
        <w:t>2012</w:t>
      </w:r>
      <w:r>
        <w:rPr>
          <w:rFonts w:ascii="Times New Roman" w:hAnsi="Times New Roman" w:cs="Times New Roman"/>
          <w:sz w:val="24"/>
          <w:szCs w:val="24"/>
        </w:rPr>
        <w:t>; 30(24): 3557-65.</w:t>
      </w:r>
    </w:p>
    <w:p w14:paraId="0161743E" w14:textId="3965EF97" w:rsidR="00A3363A" w:rsidRDefault="00A3363A" w:rsidP="00165BAD">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Beyer WE, Palache AM, Luchters G, Nauta J, Osterhaus AD. Seroprotection rate, mean fold increase, seroconversion rate: which parameter adequately expresses seroresponse to influenza vaccination? Virus Res </w:t>
      </w:r>
      <w:r>
        <w:rPr>
          <w:rFonts w:ascii="Times New Roman" w:hAnsi="Times New Roman" w:cs="Times New Roman"/>
          <w:b/>
          <w:sz w:val="24"/>
          <w:szCs w:val="24"/>
        </w:rPr>
        <w:t>2004</w:t>
      </w:r>
      <w:r>
        <w:rPr>
          <w:rFonts w:ascii="Times New Roman" w:hAnsi="Times New Roman" w:cs="Times New Roman"/>
          <w:sz w:val="24"/>
          <w:szCs w:val="24"/>
        </w:rPr>
        <w:t>; 103(1-2): 125-32.</w:t>
      </w:r>
    </w:p>
    <w:p w14:paraId="12B52F31" w14:textId="77777777" w:rsidR="00A3363A" w:rsidRDefault="00A3363A" w:rsidP="00410943">
      <w:pPr>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3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0000000000000000000"/>
    <w:charset w:val="4D"/>
    <w:family w:val="roman"/>
    <w:notTrueType/>
    <w:pitch w:val="variable"/>
    <w:sig w:usb0="00000003" w:usb1="00000000" w:usb2="00000000" w:usb3="00000000" w:csb0="00000001" w:csb1="00000000"/>
  </w:font>
  <w:font w:name="TimesLTStd-Roman">
    <w:altName w:val="Arial Unicode MS"/>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TC Franklin Gothic Book">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401"/>
    <w:multiLevelType w:val="hybridMultilevel"/>
    <w:tmpl w:val="BFBC3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03184D"/>
    <w:multiLevelType w:val="hybridMultilevel"/>
    <w:tmpl w:val="39C6BFEE"/>
    <w:lvl w:ilvl="0" w:tplc="DA0A5690">
      <w:start w:val="70"/>
      <w:numFmt w:val="bullet"/>
      <w:lvlText w:val="-"/>
      <w:lvlJc w:val="left"/>
      <w:pPr>
        <w:ind w:left="1080" w:hanging="360"/>
      </w:pPr>
      <w:rPr>
        <w:rFonts w:ascii="Times" w:eastAsia="TimesLTStd-Roman" w:hAnsi="Times" w:cs="Time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1B58"/>
    <w:multiLevelType w:val="hybridMultilevel"/>
    <w:tmpl w:val="44D86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A742C"/>
    <w:multiLevelType w:val="hybridMultilevel"/>
    <w:tmpl w:val="2F089D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830E9F"/>
    <w:multiLevelType w:val="hybridMultilevel"/>
    <w:tmpl w:val="52E48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216033"/>
    <w:multiLevelType w:val="hybridMultilevel"/>
    <w:tmpl w:val="878A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51EB9"/>
    <w:multiLevelType w:val="multilevel"/>
    <w:tmpl w:val="AC082F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B3F7392"/>
    <w:multiLevelType w:val="hybridMultilevel"/>
    <w:tmpl w:val="92DA4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B4266"/>
    <w:multiLevelType w:val="hybridMultilevel"/>
    <w:tmpl w:val="06B0EA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394F7D"/>
    <w:multiLevelType w:val="hybridMultilevel"/>
    <w:tmpl w:val="80247C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B3950CE"/>
    <w:multiLevelType w:val="hybridMultilevel"/>
    <w:tmpl w:val="D682CC68"/>
    <w:lvl w:ilvl="0" w:tplc="44C0E9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D64C69"/>
    <w:multiLevelType w:val="hybridMultilevel"/>
    <w:tmpl w:val="90D026EA"/>
    <w:lvl w:ilvl="0" w:tplc="4AF88846">
      <w:start w:val="1"/>
      <w:numFmt w:val="decimal"/>
      <w:lvlText w:val="%1."/>
      <w:lvlJc w:val="left"/>
      <w:pPr>
        <w:tabs>
          <w:tab w:val="num" w:pos="720"/>
        </w:tabs>
        <w:ind w:left="720" w:hanging="360"/>
      </w:pPr>
    </w:lvl>
    <w:lvl w:ilvl="1" w:tplc="608C54A4">
      <w:start w:val="1"/>
      <w:numFmt w:val="decimal"/>
      <w:lvlText w:val="%2."/>
      <w:lvlJc w:val="left"/>
      <w:pPr>
        <w:tabs>
          <w:tab w:val="num" w:pos="1440"/>
        </w:tabs>
        <w:ind w:left="1440" w:hanging="360"/>
      </w:pPr>
    </w:lvl>
    <w:lvl w:ilvl="2" w:tplc="AF5008D6" w:tentative="1">
      <w:start w:val="1"/>
      <w:numFmt w:val="decimal"/>
      <w:lvlText w:val="%3."/>
      <w:lvlJc w:val="left"/>
      <w:pPr>
        <w:tabs>
          <w:tab w:val="num" w:pos="2160"/>
        </w:tabs>
        <w:ind w:left="2160" w:hanging="360"/>
      </w:pPr>
    </w:lvl>
    <w:lvl w:ilvl="3" w:tplc="676C2DD0" w:tentative="1">
      <w:start w:val="1"/>
      <w:numFmt w:val="decimal"/>
      <w:lvlText w:val="%4."/>
      <w:lvlJc w:val="left"/>
      <w:pPr>
        <w:tabs>
          <w:tab w:val="num" w:pos="2880"/>
        </w:tabs>
        <w:ind w:left="2880" w:hanging="360"/>
      </w:pPr>
    </w:lvl>
    <w:lvl w:ilvl="4" w:tplc="000AF0AA" w:tentative="1">
      <w:start w:val="1"/>
      <w:numFmt w:val="decimal"/>
      <w:lvlText w:val="%5."/>
      <w:lvlJc w:val="left"/>
      <w:pPr>
        <w:tabs>
          <w:tab w:val="num" w:pos="3600"/>
        </w:tabs>
        <w:ind w:left="3600" w:hanging="360"/>
      </w:pPr>
    </w:lvl>
    <w:lvl w:ilvl="5" w:tplc="456834C8" w:tentative="1">
      <w:start w:val="1"/>
      <w:numFmt w:val="decimal"/>
      <w:lvlText w:val="%6."/>
      <w:lvlJc w:val="left"/>
      <w:pPr>
        <w:tabs>
          <w:tab w:val="num" w:pos="4320"/>
        </w:tabs>
        <w:ind w:left="4320" w:hanging="360"/>
      </w:pPr>
    </w:lvl>
    <w:lvl w:ilvl="6" w:tplc="524457FE" w:tentative="1">
      <w:start w:val="1"/>
      <w:numFmt w:val="decimal"/>
      <w:lvlText w:val="%7."/>
      <w:lvlJc w:val="left"/>
      <w:pPr>
        <w:tabs>
          <w:tab w:val="num" w:pos="5040"/>
        </w:tabs>
        <w:ind w:left="5040" w:hanging="360"/>
      </w:pPr>
    </w:lvl>
    <w:lvl w:ilvl="7" w:tplc="4086E174" w:tentative="1">
      <w:start w:val="1"/>
      <w:numFmt w:val="decimal"/>
      <w:lvlText w:val="%8."/>
      <w:lvlJc w:val="left"/>
      <w:pPr>
        <w:tabs>
          <w:tab w:val="num" w:pos="5760"/>
        </w:tabs>
        <w:ind w:left="5760" w:hanging="360"/>
      </w:pPr>
    </w:lvl>
    <w:lvl w:ilvl="8" w:tplc="D3226F56" w:tentative="1">
      <w:start w:val="1"/>
      <w:numFmt w:val="decimal"/>
      <w:lvlText w:val="%9."/>
      <w:lvlJc w:val="left"/>
      <w:pPr>
        <w:tabs>
          <w:tab w:val="num" w:pos="6480"/>
        </w:tabs>
        <w:ind w:left="6480" w:hanging="360"/>
      </w:pPr>
    </w:lvl>
  </w:abstractNum>
  <w:abstractNum w:abstractNumId="12" w15:restartNumberingAfterBreak="0">
    <w:nsid w:val="63435757"/>
    <w:multiLevelType w:val="hybridMultilevel"/>
    <w:tmpl w:val="CB063E32"/>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4DE64E3"/>
    <w:multiLevelType w:val="hybridMultilevel"/>
    <w:tmpl w:val="5F9AE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A2339"/>
    <w:multiLevelType w:val="hybridMultilevel"/>
    <w:tmpl w:val="44F2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5155B"/>
    <w:multiLevelType w:val="hybridMultilevel"/>
    <w:tmpl w:val="B83C663C"/>
    <w:lvl w:ilvl="0" w:tplc="C75A3E7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5"/>
  </w:num>
  <w:num w:numId="5">
    <w:abstractNumId w:val="4"/>
  </w:num>
  <w:num w:numId="6">
    <w:abstractNumId w:val="8"/>
  </w:num>
  <w:num w:numId="7">
    <w:abstractNumId w:val="9"/>
  </w:num>
  <w:num w:numId="8">
    <w:abstractNumId w:val="14"/>
  </w:num>
  <w:num w:numId="9">
    <w:abstractNumId w:val="7"/>
  </w:num>
  <w:num w:numId="10">
    <w:abstractNumId w:val="1"/>
  </w:num>
  <w:num w:numId="11">
    <w:abstractNumId w:val="13"/>
  </w:num>
  <w:num w:numId="12">
    <w:abstractNumId w:val="11"/>
  </w:num>
  <w:num w:numId="13">
    <w:abstractNumId w:val="1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F4"/>
    <w:rsid w:val="00017406"/>
    <w:rsid w:val="000B7057"/>
    <w:rsid w:val="00165BAD"/>
    <w:rsid w:val="00193EF6"/>
    <w:rsid w:val="00196602"/>
    <w:rsid w:val="001B7FE8"/>
    <w:rsid w:val="001F339B"/>
    <w:rsid w:val="00216D31"/>
    <w:rsid w:val="002449F4"/>
    <w:rsid w:val="002A134F"/>
    <w:rsid w:val="002A65A0"/>
    <w:rsid w:val="00410943"/>
    <w:rsid w:val="004A4C18"/>
    <w:rsid w:val="00547FD0"/>
    <w:rsid w:val="005B6B8C"/>
    <w:rsid w:val="005D7E46"/>
    <w:rsid w:val="0063139C"/>
    <w:rsid w:val="006E28E8"/>
    <w:rsid w:val="00715DB8"/>
    <w:rsid w:val="00726A13"/>
    <w:rsid w:val="007873C9"/>
    <w:rsid w:val="007E7868"/>
    <w:rsid w:val="007F1AED"/>
    <w:rsid w:val="0081323D"/>
    <w:rsid w:val="00824647"/>
    <w:rsid w:val="0083497E"/>
    <w:rsid w:val="008760EF"/>
    <w:rsid w:val="008E401D"/>
    <w:rsid w:val="008F7342"/>
    <w:rsid w:val="00931884"/>
    <w:rsid w:val="009C3E93"/>
    <w:rsid w:val="00A12DC1"/>
    <w:rsid w:val="00A3363A"/>
    <w:rsid w:val="00A819F7"/>
    <w:rsid w:val="00B10828"/>
    <w:rsid w:val="00B211BC"/>
    <w:rsid w:val="00B26D65"/>
    <w:rsid w:val="00B96989"/>
    <w:rsid w:val="00C76F90"/>
    <w:rsid w:val="00C94C59"/>
    <w:rsid w:val="00C96797"/>
    <w:rsid w:val="00CD481E"/>
    <w:rsid w:val="00CF53D5"/>
    <w:rsid w:val="00D05AEC"/>
    <w:rsid w:val="00D441EB"/>
    <w:rsid w:val="00DA58B8"/>
    <w:rsid w:val="00DC4FCE"/>
    <w:rsid w:val="00DC74E8"/>
    <w:rsid w:val="00E132A3"/>
    <w:rsid w:val="00E554AA"/>
    <w:rsid w:val="00E621BB"/>
    <w:rsid w:val="00E838B7"/>
    <w:rsid w:val="00EE0D04"/>
    <w:rsid w:val="00F55154"/>
    <w:rsid w:val="00FF008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23031"/>
  <w15:docId w15:val="{6A5A7369-0B35-4113-88DF-C2C00E8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9F4"/>
    <w:pPr>
      <w:spacing w:after="160" w:line="259" w:lineRule="auto"/>
    </w:pPr>
  </w:style>
  <w:style w:type="paragraph" w:styleId="1">
    <w:name w:val="heading 1"/>
    <w:basedOn w:val="a"/>
    <w:next w:val="a"/>
    <w:link w:val="10"/>
    <w:uiPriority w:val="9"/>
    <w:qFormat/>
    <w:rsid w:val="00E83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38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F008A"/>
    <w:pPr>
      <w:keepNext/>
      <w:keepLines/>
      <w:spacing w:before="200" w:after="0" w:line="240" w:lineRule="auto"/>
      <w:outlineLvl w:val="2"/>
    </w:pPr>
    <w:rPr>
      <w:rFonts w:asciiTheme="majorBidi" w:eastAsiaTheme="majorEastAsia" w:hAnsiTheme="majorBidi" w:cstheme="majorBidi"/>
      <w:b/>
      <w:bCs/>
      <w:sz w:val="24"/>
      <w:szCs w:val="24"/>
      <w:lang w:bidi="he-IL"/>
    </w:rPr>
  </w:style>
  <w:style w:type="paragraph" w:styleId="4">
    <w:name w:val="heading 4"/>
    <w:basedOn w:val="a"/>
    <w:link w:val="40"/>
    <w:uiPriority w:val="9"/>
    <w:qFormat/>
    <w:rsid w:val="00FF008A"/>
    <w:pPr>
      <w:spacing w:before="100" w:beforeAutospacing="1" w:after="0" w:line="240" w:lineRule="auto"/>
      <w:outlineLvl w:val="3"/>
    </w:pPr>
    <w:rPr>
      <w:rFonts w:ascii="Times New Roman" w:eastAsia="Times New Roman" w:hAnsi="Times New Roman" w:cs="Times New Roman"/>
      <w:sz w:val="24"/>
      <w:szCs w:val="24"/>
      <w:u w:val="single"/>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838B7"/>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E838B7"/>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rsid w:val="00FF008A"/>
    <w:rPr>
      <w:rFonts w:asciiTheme="majorBidi" w:eastAsiaTheme="majorEastAsia" w:hAnsiTheme="majorBidi" w:cstheme="majorBidi"/>
      <w:b/>
      <w:bCs/>
      <w:sz w:val="24"/>
      <w:szCs w:val="24"/>
      <w:lang w:bidi="he-IL"/>
    </w:rPr>
  </w:style>
  <w:style w:type="character" w:customStyle="1" w:styleId="40">
    <w:name w:val="כותרת 4 תו"/>
    <w:basedOn w:val="a0"/>
    <w:link w:val="4"/>
    <w:uiPriority w:val="9"/>
    <w:rsid w:val="00FF008A"/>
    <w:rPr>
      <w:rFonts w:ascii="Times New Roman" w:eastAsia="Times New Roman" w:hAnsi="Times New Roman" w:cs="Times New Roman"/>
      <w:sz w:val="24"/>
      <w:szCs w:val="24"/>
      <w:u w:val="single"/>
      <w:lang w:bidi="he-IL"/>
    </w:rPr>
  </w:style>
  <w:style w:type="paragraph" w:styleId="a3">
    <w:name w:val="List Paragraph"/>
    <w:basedOn w:val="a"/>
    <w:uiPriority w:val="34"/>
    <w:qFormat/>
    <w:rsid w:val="002449F4"/>
    <w:pPr>
      <w:ind w:left="720"/>
      <w:contextualSpacing/>
    </w:pPr>
  </w:style>
  <w:style w:type="character" w:styleId="a4">
    <w:name w:val="annotation reference"/>
    <w:basedOn w:val="a0"/>
    <w:uiPriority w:val="99"/>
    <w:semiHidden/>
    <w:unhideWhenUsed/>
    <w:rsid w:val="002449F4"/>
    <w:rPr>
      <w:sz w:val="18"/>
      <w:szCs w:val="18"/>
    </w:rPr>
  </w:style>
  <w:style w:type="paragraph" w:styleId="a5">
    <w:name w:val="annotation text"/>
    <w:basedOn w:val="a"/>
    <w:link w:val="a6"/>
    <w:uiPriority w:val="99"/>
    <w:unhideWhenUsed/>
    <w:rsid w:val="002449F4"/>
    <w:pPr>
      <w:bidi/>
      <w:spacing w:after="200" w:line="240" w:lineRule="auto"/>
    </w:pPr>
    <w:rPr>
      <w:sz w:val="24"/>
      <w:szCs w:val="24"/>
      <w:lang w:bidi="he-IL"/>
    </w:rPr>
  </w:style>
  <w:style w:type="character" w:customStyle="1" w:styleId="a6">
    <w:name w:val="טקסט הערה תו"/>
    <w:basedOn w:val="a0"/>
    <w:link w:val="a5"/>
    <w:uiPriority w:val="99"/>
    <w:rsid w:val="002449F4"/>
    <w:rPr>
      <w:sz w:val="24"/>
      <w:szCs w:val="24"/>
      <w:lang w:bidi="he-IL"/>
    </w:rPr>
  </w:style>
  <w:style w:type="character" w:customStyle="1" w:styleId="apple-converted-space">
    <w:name w:val="apple-converted-space"/>
    <w:basedOn w:val="a0"/>
    <w:rsid w:val="002449F4"/>
  </w:style>
  <w:style w:type="paragraph" w:styleId="a7">
    <w:name w:val="Balloon Text"/>
    <w:basedOn w:val="a"/>
    <w:link w:val="a8"/>
    <w:uiPriority w:val="99"/>
    <w:semiHidden/>
    <w:unhideWhenUsed/>
    <w:rsid w:val="002449F4"/>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449F4"/>
    <w:rPr>
      <w:rFonts w:ascii="Tahoma" w:hAnsi="Tahoma" w:cs="Tahoma"/>
      <w:sz w:val="16"/>
      <w:szCs w:val="16"/>
    </w:rPr>
  </w:style>
  <w:style w:type="character" w:customStyle="1" w:styleId="EndNoteBibliographyChar">
    <w:name w:val="EndNote Bibliography Char"/>
    <w:basedOn w:val="a0"/>
    <w:link w:val="EndNoteBibliography"/>
    <w:locked/>
    <w:rsid w:val="00A3363A"/>
    <w:rPr>
      <w:rFonts w:ascii="Calibri" w:hAnsi="Calibri"/>
      <w:noProof/>
    </w:rPr>
  </w:style>
  <w:style w:type="paragraph" w:customStyle="1" w:styleId="EndNoteBibliography">
    <w:name w:val="EndNote Bibliography"/>
    <w:basedOn w:val="a"/>
    <w:link w:val="EndNoteBibliographyChar"/>
    <w:rsid w:val="00A3363A"/>
    <w:pPr>
      <w:spacing w:after="200" w:line="240" w:lineRule="auto"/>
    </w:pPr>
    <w:rPr>
      <w:rFonts w:ascii="Calibri" w:hAnsi="Calibri"/>
      <w:noProof/>
    </w:rPr>
  </w:style>
  <w:style w:type="character" w:styleId="Hyperlink">
    <w:name w:val="Hyperlink"/>
    <w:basedOn w:val="a0"/>
    <w:uiPriority w:val="99"/>
    <w:unhideWhenUsed/>
    <w:rsid w:val="00A3363A"/>
    <w:rPr>
      <w:color w:val="0000FF" w:themeColor="hyperlink"/>
      <w:u w:val="single"/>
    </w:rPr>
  </w:style>
  <w:style w:type="table" w:styleId="a9">
    <w:name w:val="Table Grid"/>
    <w:basedOn w:val="a1"/>
    <w:uiPriority w:val="59"/>
    <w:rsid w:val="00A336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FF008A"/>
  </w:style>
  <w:style w:type="character" w:styleId="aa">
    <w:name w:val="Strong"/>
    <w:basedOn w:val="a0"/>
    <w:uiPriority w:val="22"/>
    <w:qFormat/>
    <w:rsid w:val="00FF008A"/>
    <w:rPr>
      <w:b/>
      <w:bCs/>
    </w:rPr>
  </w:style>
  <w:style w:type="character" w:styleId="ab">
    <w:name w:val="Emphasis"/>
    <w:basedOn w:val="a0"/>
    <w:uiPriority w:val="20"/>
    <w:qFormat/>
    <w:rsid w:val="00FF008A"/>
    <w:rPr>
      <w:i/>
      <w:iCs/>
    </w:rPr>
  </w:style>
  <w:style w:type="paragraph" w:styleId="ac">
    <w:name w:val="TOC Heading"/>
    <w:basedOn w:val="1"/>
    <w:next w:val="a"/>
    <w:uiPriority w:val="39"/>
    <w:unhideWhenUsed/>
    <w:qFormat/>
    <w:rsid w:val="00FF008A"/>
    <w:pPr>
      <w:spacing w:line="276" w:lineRule="auto"/>
      <w:outlineLvl w:val="9"/>
    </w:pPr>
    <w:rPr>
      <w:lang w:eastAsia="ja-JP"/>
    </w:rPr>
  </w:style>
  <w:style w:type="paragraph" w:styleId="ad">
    <w:name w:val="No Spacing"/>
    <w:link w:val="ae"/>
    <w:uiPriority w:val="1"/>
    <w:qFormat/>
    <w:rsid w:val="00FF008A"/>
    <w:pPr>
      <w:bidi/>
      <w:spacing w:after="0" w:line="240" w:lineRule="auto"/>
    </w:pPr>
    <w:rPr>
      <w:rFonts w:ascii="Calibri" w:eastAsia="Times New Roman" w:hAnsi="Calibri" w:cs="Times New Roman"/>
      <w:lang w:bidi="he-IL"/>
    </w:rPr>
  </w:style>
  <w:style w:type="character" w:customStyle="1" w:styleId="ae">
    <w:name w:val="ללא מרווח תו"/>
    <w:link w:val="ad"/>
    <w:uiPriority w:val="1"/>
    <w:rsid w:val="00FF008A"/>
    <w:rPr>
      <w:rFonts w:ascii="Calibri" w:eastAsia="Times New Roman" w:hAnsi="Calibri" w:cs="Times New Roman"/>
      <w:lang w:bidi="he-IL"/>
    </w:rPr>
  </w:style>
  <w:style w:type="paragraph" w:customStyle="1" w:styleId="Default">
    <w:name w:val="Default"/>
    <w:rsid w:val="00FF008A"/>
    <w:pPr>
      <w:autoSpaceDE w:val="0"/>
      <w:autoSpaceDN w:val="0"/>
      <w:adjustRightInd w:val="0"/>
      <w:spacing w:after="0" w:line="240" w:lineRule="auto"/>
    </w:pPr>
    <w:rPr>
      <w:rFonts w:ascii="Arial" w:hAnsi="Arial" w:cs="Arial"/>
      <w:color w:val="000000"/>
      <w:sz w:val="24"/>
      <w:szCs w:val="24"/>
      <w:lang w:bidi="he-IL"/>
    </w:rPr>
  </w:style>
  <w:style w:type="character" w:styleId="af">
    <w:name w:val="Book Title"/>
    <w:basedOn w:val="a0"/>
    <w:uiPriority w:val="33"/>
    <w:qFormat/>
    <w:rsid w:val="00FF008A"/>
    <w:rPr>
      <w:b/>
      <w:bCs/>
      <w:smallCaps/>
      <w:spacing w:val="5"/>
    </w:rPr>
  </w:style>
  <w:style w:type="paragraph" w:styleId="af0">
    <w:name w:val="Title"/>
    <w:basedOn w:val="a"/>
    <w:next w:val="a"/>
    <w:link w:val="af1"/>
    <w:uiPriority w:val="10"/>
    <w:qFormat/>
    <w:rsid w:val="00FF008A"/>
    <w:pPr>
      <w:pBdr>
        <w:bottom w:val="single" w:sz="8" w:space="4" w:color="4F81BD" w:themeColor="accent1"/>
      </w:pBdr>
      <w:bidi/>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he-IL"/>
    </w:rPr>
  </w:style>
  <w:style w:type="character" w:customStyle="1" w:styleId="af1">
    <w:name w:val="כותרת טקסט תו"/>
    <w:basedOn w:val="a0"/>
    <w:link w:val="af0"/>
    <w:uiPriority w:val="10"/>
    <w:rsid w:val="00FF008A"/>
    <w:rPr>
      <w:rFonts w:asciiTheme="majorHAnsi" w:eastAsiaTheme="majorEastAsia" w:hAnsiTheme="majorHAnsi" w:cstheme="majorBidi"/>
      <w:color w:val="17365D" w:themeColor="text2" w:themeShade="BF"/>
      <w:spacing w:val="5"/>
      <w:kern w:val="28"/>
      <w:sz w:val="52"/>
      <w:szCs w:val="52"/>
      <w:lang w:bidi="he-IL"/>
    </w:rPr>
  </w:style>
  <w:style w:type="character" w:customStyle="1" w:styleId="af2">
    <w:name w:val="נושא הערה תו"/>
    <w:basedOn w:val="a6"/>
    <w:link w:val="af3"/>
    <w:uiPriority w:val="99"/>
    <w:semiHidden/>
    <w:rsid w:val="00FF008A"/>
    <w:rPr>
      <w:rFonts w:ascii="Times New Roman" w:hAnsi="Times New Roman" w:cs="Times New Roman"/>
      <w:b/>
      <w:bCs/>
      <w:sz w:val="20"/>
      <w:szCs w:val="20"/>
      <w:lang w:bidi="he-IL"/>
    </w:rPr>
  </w:style>
  <w:style w:type="paragraph" w:styleId="af3">
    <w:name w:val="annotation subject"/>
    <w:basedOn w:val="a5"/>
    <w:next w:val="a5"/>
    <w:link w:val="af2"/>
    <w:uiPriority w:val="99"/>
    <w:semiHidden/>
    <w:unhideWhenUsed/>
    <w:rsid w:val="00FF008A"/>
    <w:pPr>
      <w:bidi w:val="0"/>
      <w:spacing w:after="0"/>
    </w:pPr>
    <w:rPr>
      <w:rFonts w:ascii="Times New Roman" w:hAnsi="Times New Roman" w:cs="Times New Roman"/>
      <w:b/>
      <w:bCs/>
      <w:sz w:val="20"/>
      <w:szCs w:val="20"/>
    </w:rPr>
  </w:style>
  <w:style w:type="paragraph" w:styleId="TOC2">
    <w:name w:val="toc 2"/>
    <w:basedOn w:val="a"/>
    <w:next w:val="a"/>
    <w:autoRedefine/>
    <w:uiPriority w:val="39"/>
    <w:unhideWhenUsed/>
    <w:qFormat/>
    <w:rsid w:val="00FF008A"/>
    <w:pPr>
      <w:spacing w:after="100" w:line="240" w:lineRule="auto"/>
      <w:ind w:left="240"/>
    </w:pPr>
    <w:rPr>
      <w:rFonts w:ascii="Times New Roman" w:hAnsi="Times New Roman" w:cs="Times New Roman"/>
      <w:sz w:val="24"/>
      <w:szCs w:val="24"/>
      <w:lang w:bidi="he-IL"/>
    </w:rPr>
  </w:style>
  <w:style w:type="paragraph" w:styleId="af4">
    <w:name w:val="header"/>
    <w:basedOn w:val="a"/>
    <w:link w:val="af5"/>
    <w:uiPriority w:val="99"/>
    <w:unhideWhenUsed/>
    <w:rsid w:val="00FF008A"/>
    <w:pPr>
      <w:tabs>
        <w:tab w:val="center" w:pos="4320"/>
        <w:tab w:val="right" w:pos="8640"/>
      </w:tabs>
      <w:spacing w:after="0" w:line="240" w:lineRule="auto"/>
    </w:pPr>
    <w:rPr>
      <w:rFonts w:ascii="Times New Roman" w:hAnsi="Times New Roman" w:cs="Times New Roman"/>
      <w:sz w:val="24"/>
      <w:szCs w:val="24"/>
      <w:lang w:bidi="he-IL"/>
    </w:rPr>
  </w:style>
  <w:style w:type="character" w:customStyle="1" w:styleId="af5">
    <w:name w:val="כותרת עליונה תו"/>
    <w:basedOn w:val="a0"/>
    <w:link w:val="af4"/>
    <w:uiPriority w:val="99"/>
    <w:rsid w:val="00FF008A"/>
    <w:rPr>
      <w:rFonts w:ascii="Times New Roman" w:hAnsi="Times New Roman" w:cs="Times New Roman"/>
      <w:sz w:val="24"/>
      <w:szCs w:val="24"/>
      <w:lang w:bidi="he-IL"/>
    </w:rPr>
  </w:style>
  <w:style w:type="paragraph" w:styleId="af6">
    <w:name w:val="footer"/>
    <w:basedOn w:val="a"/>
    <w:link w:val="af7"/>
    <w:uiPriority w:val="99"/>
    <w:unhideWhenUsed/>
    <w:rsid w:val="00FF008A"/>
    <w:pPr>
      <w:tabs>
        <w:tab w:val="center" w:pos="4320"/>
        <w:tab w:val="right" w:pos="8640"/>
      </w:tabs>
      <w:spacing w:after="0" w:line="240" w:lineRule="auto"/>
    </w:pPr>
    <w:rPr>
      <w:rFonts w:ascii="Times New Roman" w:hAnsi="Times New Roman" w:cs="Times New Roman"/>
      <w:sz w:val="24"/>
      <w:szCs w:val="24"/>
      <w:lang w:bidi="he-IL"/>
    </w:rPr>
  </w:style>
  <w:style w:type="character" w:customStyle="1" w:styleId="af7">
    <w:name w:val="כותרת תחתונה תו"/>
    <w:basedOn w:val="a0"/>
    <w:link w:val="af6"/>
    <w:uiPriority w:val="99"/>
    <w:rsid w:val="00FF008A"/>
    <w:rPr>
      <w:rFonts w:ascii="Times New Roman" w:hAnsi="Times New Roman" w:cs="Times New Roman"/>
      <w:sz w:val="24"/>
      <w:szCs w:val="24"/>
      <w:lang w:bidi="he-IL"/>
    </w:rPr>
  </w:style>
  <w:style w:type="paragraph" w:styleId="TOC1">
    <w:name w:val="toc 1"/>
    <w:basedOn w:val="a"/>
    <w:next w:val="a"/>
    <w:autoRedefine/>
    <w:uiPriority w:val="39"/>
    <w:unhideWhenUsed/>
    <w:qFormat/>
    <w:rsid w:val="00FF008A"/>
    <w:pPr>
      <w:spacing w:after="100" w:line="240" w:lineRule="auto"/>
    </w:pPr>
    <w:rPr>
      <w:rFonts w:ascii="Times New Roman" w:hAnsi="Times New Roman" w:cs="Times New Roman"/>
      <w:sz w:val="24"/>
      <w:szCs w:val="24"/>
      <w:lang w:bidi="he-IL"/>
    </w:rPr>
  </w:style>
  <w:style w:type="paragraph" w:styleId="TOC3">
    <w:name w:val="toc 3"/>
    <w:basedOn w:val="a"/>
    <w:next w:val="a"/>
    <w:autoRedefine/>
    <w:uiPriority w:val="39"/>
    <w:unhideWhenUsed/>
    <w:qFormat/>
    <w:rsid w:val="00FF008A"/>
    <w:pPr>
      <w:spacing w:after="100" w:line="240" w:lineRule="auto"/>
      <w:ind w:left="480"/>
    </w:pPr>
    <w:rPr>
      <w:rFonts w:ascii="Times New Roman" w:hAnsi="Times New Roman" w:cs="Times New Roman"/>
      <w:sz w:val="24"/>
      <w:szCs w:val="24"/>
      <w:lang w:bidi="he-IL"/>
    </w:rPr>
  </w:style>
  <w:style w:type="character" w:customStyle="1" w:styleId="st1">
    <w:name w:val="st1"/>
    <w:basedOn w:val="a0"/>
    <w:rsid w:val="00FF008A"/>
  </w:style>
  <w:style w:type="paragraph" w:styleId="TOC4">
    <w:name w:val="toc 4"/>
    <w:basedOn w:val="a"/>
    <w:next w:val="a"/>
    <w:autoRedefine/>
    <w:uiPriority w:val="39"/>
    <w:unhideWhenUsed/>
    <w:rsid w:val="00FF008A"/>
    <w:pPr>
      <w:spacing w:after="100" w:line="240" w:lineRule="auto"/>
      <w:ind w:left="720"/>
    </w:pPr>
    <w:rPr>
      <w:rFonts w:ascii="Times New Roman" w:hAnsi="Times New Roman" w:cs="Times New Roman"/>
      <w:sz w:val="24"/>
      <w:szCs w:val="24"/>
      <w:lang w:bidi="he-IL"/>
    </w:rPr>
  </w:style>
  <w:style w:type="character" w:styleId="FollowedHyperlink">
    <w:name w:val="FollowedHyperlink"/>
    <w:basedOn w:val="a0"/>
    <w:uiPriority w:val="99"/>
    <w:semiHidden/>
    <w:unhideWhenUsed/>
    <w:rsid w:val="00FF008A"/>
    <w:rPr>
      <w:color w:val="800080" w:themeColor="followedHyperlink"/>
      <w:u w:val="single"/>
    </w:rPr>
  </w:style>
  <w:style w:type="paragraph" w:styleId="NormalWeb">
    <w:name w:val="Normal (Web)"/>
    <w:basedOn w:val="a"/>
    <w:uiPriority w:val="99"/>
    <w:unhideWhenUsed/>
    <w:rsid w:val="00FF008A"/>
    <w:pPr>
      <w:spacing w:before="100" w:beforeAutospacing="1" w:after="100" w:afterAutospacing="1" w:line="240" w:lineRule="auto"/>
    </w:pPr>
    <w:rPr>
      <w:rFonts w:ascii="Times New Roman" w:eastAsiaTheme="minorEastAsia" w:hAnsi="Times New Roman" w:cs="Times New Roman"/>
      <w:sz w:val="24"/>
      <w:szCs w:val="24"/>
      <w:lang w:bidi="he-IL"/>
    </w:rPr>
  </w:style>
  <w:style w:type="character" w:customStyle="1" w:styleId="referencediv">
    <w:name w:val="referencediv"/>
    <w:basedOn w:val="a0"/>
    <w:rsid w:val="00FF008A"/>
  </w:style>
  <w:style w:type="character" w:customStyle="1" w:styleId="nlmyear">
    <w:name w:val="nlm_year"/>
    <w:basedOn w:val="a0"/>
    <w:rsid w:val="00FF008A"/>
  </w:style>
  <w:style w:type="character" w:customStyle="1" w:styleId="nlmday">
    <w:name w:val="nlm_day"/>
    <w:basedOn w:val="a0"/>
    <w:rsid w:val="00FF008A"/>
  </w:style>
  <w:style w:type="paragraph" w:customStyle="1" w:styleId="Tabletitle">
    <w:name w:val="Table title"/>
    <w:basedOn w:val="a"/>
    <w:rsid w:val="00FF008A"/>
    <w:pPr>
      <w:spacing w:after="0" w:line="240" w:lineRule="auto"/>
    </w:pPr>
    <w:rPr>
      <w:rFonts w:ascii="Times New Roman" w:eastAsia="Times New Roman" w:hAnsi="Times New Roman" w:cs="Times New Roman"/>
      <w:b/>
      <w:szCs w:val="20"/>
    </w:rPr>
  </w:style>
  <w:style w:type="paragraph" w:customStyle="1" w:styleId="Pa19">
    <w:name w:val="Pa19"/>
    <w:basedOn w:val="a"/>
    <w:next w:val="a"/>
    <w:uiPriority w:val="99"/>
    <w:rsid w:val="00FF008A"/>
    <w:pPr>
      <w:autoSpaceDE w:val="0"/>
      <w:autoSpaceDN w:val="0"/>
      <w:adjustRightInd w:val="0"/>
      <w:spacing w:after="0" w:line="191" w:lineRule="atLeast"/>
    </w:pPr>
    <w:rPr>
      <w:rFonts w:ascii="ITC Franklin Gothic Book" w:eastAsiaTheme="minorEastAsia" w:hAnsi="ITC Franklin Gothic Book"/>
      <w:sz w:val="24"/>
      <w:szCs w:val="24"/>
    </w:rPr>
  </w:style>
  <w:style w:type="character" w:customStyle="1" w:styleId="A10">
    <w:name w:val="A1"/>
    <w:uiPriority w:val="99"/>
    <w:rsid w:val="00FF008A"/>
    <w:rPr>
      <w:rFonts w:cs="ITC Franklin Gothic Book"/>
      <w:color w:val="221E1F"/>
      <w:sz w:val="13"/>
      <w:szCs w:val="13"/>
    </w:rPr>
  </w:style>
  <w:style w:type="character" w:customStyle="1" w:styleId="identifier1">
    <w:name w:val="identifier1"/>
    <w:basedOn w:val="a0"/>
    <w:rsid w:val="00FF008A"/>
    <w:rPr>
      <w:rFonts w:ascii="Consolas" w:hAnsi="Consolas" w:hint="default"/>
      <w:sz w:val="15"/>
      <w:szCs w:val="15"/>
    </w:rPr>
  </w:style>
  <w:style w:type="character" w:customStyle="1" w:styleId="tp-label">
    <w:name w:val="tp-label"/>
    <w:basedOn w:val="a0"/>
    <w:rsid w:val="00FF008A"/>
  </w:style>
  <w:style w:type="character" w:customStyle="1" w:styleId="tp-size">
    <w:name w:val="tp-size"/>
    <w:basedOn w:val="a0"/>
    <w:rsid w:val="00FF008A"/>
  </w:style>
  <w:style w:type="paragraph" w:customStyle="1" w:styleId="xl65">
    <w:name w:val="xl65"/>
    <w:basedOn w:val="a"/>
    <w:rsid w:val="00FF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FF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FF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a"/>
    <w:rsid w:val="00FF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FF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a"/>
    <w:rsid w:val="00FF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threedigitcodelistdescription">
    <w:name w:val="threedigitcodelistdescription"/>
    <w:basedOn w:val="a0"/>
    <w:rsid w:val="00FF008A"/>
  </w:style>
  <w:style w:type="character" w:customStyle="1" w:styleId="identifier">
    <w:name w:val="identifier"/>
    <w:basedOn w:val="a0"/>
    <w:rsid w:val="00FF008A"/>
  </w:style>
  <w:style w:type="paragraph" w:customStyle="1" w:styleId="font5">
    <w:name w:val="font5"/>
    <w:basedOn w:val="a"/>
    <w:rsid w:val="00FF008A"/>
    <w:pPr>
      <w:spacing w:before="100" w:beforeAutospacing="1" w:after="100" w:afterAutospacing="1" w:line="240" w:lineRule="auto"/>
    </w:pPr>
    <w:rPr>
      <w:rFonts w:ascii="Times New Roman" w:eastAsiaTheme="minorEastAsia" w:hAnsi="Times New Roman" w:cs="Times New Roman"/>
      <w:b/>
      <w:bCs/>
      <w:color w:val="000000"/>
    </w:rPr>
  </w:style>
  <w:style w:type="paragraph" w:customStyle="1" w:styleId="font6">
    <w:name w:val="font6"/>
    <w:basedOn w:val="a"/>
    <w:rsid w:val="00FF008A"/>
    <w:pPr>
      <w:spacing w:before="100" w:beforeAutospacing="1" w:after="100" w:afterAutospacing="1" w:line="240" w:lineRule="auto"/>
    </w:pPr>
    <w:rPr>
      <w:rFonts w:ascii="Calibri" w:eastAsiaTheme="minorEastAsia" w:hAnsi="Calibri" w:cs="Times New Roman"/>
      <w:color w:val="FF0000"/>
      <w:sz w:val="24"/>
      <w:szCs w:val="24"/>
    </w:rPr>
  </w:style>
  <w:style w:type="paragraph" w:customStyle="1" w:styleId="xl64">
    <w:name w:val="xl64"/>
    <w:basedOn w:val="a"/>
    <w:rsid w:val="00FF008A"/>
    <w:pPr>
      <w:spacing w:before="100" w:beforeAutospacing="1" w:after="100" w:afterAutospacing="1" w:line="240" w:lineRule="auto"/>
      <w:jc w:val="right"/>
      <w:textAlignment w:val="center"/>
    </w:pPr>
    <w:rPr>
      <w:rFonts w:ascii="Times New Roman" w:eastAsiaTheme="minorEastAsia" w:hAnsi="Times New Roman" w:cs="Times New Roman"/>
      <w:color w:val="000000"/>
    </w:rPr>
  </w:style>
  <w:style w:type="paragraph" w:customStyle="1" w:styleId="xl71">
    <w:name w:val="xl71"/>
    <w:basedOn w:val="a"/>
    <w:rsid w:val="00FF008A"/>
    <w:pPr>
      <w:spacing w:before="100" w:beforeAutospacing="1" w:after="100" w:afterAutospacing="1" w:line="240" w:lineRule="auto"/>
      <w:textAlignment w:val="center"/>
    </w:pPr>
    <w:rPr>
      <w:rFonts w:ascii="Times New Roman" w:eastAsiaTheme="minorEastAsia" w:hAnsi="Times New Roman" w:cs="Times New Roman"/>
      <w:sz w:val="16"/>
      <w:szCs w:val="16"/>
    </w:rPr>
  </w:style>
  <w:style w:type="paragraph" w:customStyle="1" w:styleId="xl72">
    <w:name w:val="xl72"/>
    <w:basedOn w:val="a"/>
    <w:rsid w:val="00FF008A"/>
    <w:pPr>
      <w:pBdr>
        <w:top w:val="single" w:sz="8" w:space="0" w:color="auto"/>
      </w:pBd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xl73">
    <w:name w:val="xl73"/>
    <w:basedOn w:val="a"/>
    <w:rsid w:val="00FF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8"/>
      <w:szCs w:val="28"/>
    </w:rPr>
  </w:style>
  <w:style w:type="paragraph" w:customStyle="1" w:styleId="xl74">
    <w:name w:val="xl74"/>
    <w:basedOn w:val="a"/>
    <w:rsid w:val="00FF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75">
    <w:name w:val="xl75"/>
    <w:basedOn w:val="a"/>
    <w:rsid w:val="00FF008A"/>
    <w:pPr>
      <w:pBdr>
        <w:left w:val="single" w:sz="4" w:space="0" w:color="auto"/>
      </w:pBd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xl77">
    <w:name w:val="xl77"/>
    <w:basedOn w:val="a"/>
    <w:rsid w:val="00FF008A"/>
    <w:pPr>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78">
    <w:name w:val="xl78"/>
    <w:basedOn w:val="a"/>
    <w:rsid w:val="00FF00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79">
    <w:name w:val="xl79"/>
    <w:basedOn w:val="a"/>
    <w:rsid w:val="00FF008A"/>
    <w:pPr>
      <w:pBdr>
        <w:right w:val="single" w:sz="4" w:space="0" w:color="auto"/>
      </w:pBdr>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80">
    <w:name w:val="xl80"/>
    <w:basedOn w:val="a"/>
    <w:rsid w:val="00FF008A"/>
    <w:pPr>
      <w:shd w:val="clear" w:color="000000" w:fill="FF0000"/>
      <w:spacing w:before="100" w:beforeAutospacing="1" w:after="100" w:afterAutospacing="1" w:line="240" w:lineRule="auto"/>
      <w:textAlignment w:val="center"/>
    </w:pPr>
    <w:rPr>
      <w:rFonts w:ascii="Times New Roman" w:eastAsiaTheme="minorEastAsia" w:hAnsi="Times New Roman" w:cs="Times New Roman"/>
      <w:color w:val="000000"/>
    </w:rPr>
  </w:style>
  <w:style w:type="paragraph" w:customStyle="1" w:styleId="xl81">
    <w:name w:val="xl81"/>
    <w:basedOn w:val="a"/>
    <w:rsid w:val="00FF008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b/>
      <w:bCs/>
      <w:color w:val="000000"/>
    </w:rPr>
  </w:style>
  <w:style w:type="paragraph" w:customStyle="1" w:styleId="xl82">
    <w:name w:val="xl82"/>
    <w:basedOn w:val="a"/>
    <w:rsid w:val="00FF008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heme="minorEastAsia" w:hAnsi="Times New Roman" w:cs="Times New Roman"/>
      <w:b/>
      <w:bCs/>
      <w:color w:val="000000"/>
    </w:rPr>
  </w:style>
  <w:style w:type="paragraph" w:customStyle="1" w:styleId="xl83">
    <w:name w:val="xl83"/>
    <w:basedOn w:val="a"/>
    <w:rsid w:val="00FF008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heme="minorEastAsia" w:hAnsi="Times New Roman" w:cs="Times New Roman"/>
      <w:b/>
      <w:bCs/>
      <w:color w:val="000000"/>
    </w:rPr>
  </w:style>
  <w:style w:type="paragraph" w:customStyle="1" w:styleId="xl84">
    <w:name w:val="xl84"/>
    <w:basedOn w:val="a"/>
    <w:rsid w:val="00FF008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color w:val="000000"/>
    </w:rPr>
  </w:style>
  <w:style w:type="paragraph" w:customStyle="1" w:styleId="xl85">
    <w:name w:val="xl85"/>
    <w:basedOn w:val="a"/>
    <w:rsid w:val="00FF008A"/>
    <w:pPr>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86">
    <w:name w:val="xl86"/>
    <w:basedOn w:val="a"/>
    <w:rsid w:val="00FF008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color w:val="000000"/>
    </w:rPr>
  </w:style>
  <w:style w:type="paragraph" w:customStyle="1" w:styleId="xl87">
    <w:name w:val="xl87"/>
    <w:basedOn w:val="a"/>
    <w:rsid w:val="00FF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88">
    <w:name w:val="xl88"/>
    <w:basedOn w:val="a"/>
    <w:rsid w:val="00FF008A"/>
    <w:pPr>
      <w:pBdr>
        <w:left w:val="single" w:sz="4" w:space="0" w:color="auto"/>
      </w:pBdr>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89">
    <w:name w:val="xl89"/>
    <w:basedOn w:val="a"/>
    <w:rsid w:val="00FF008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color w:val="000000"/>
    </w:rPr>
  </w:style>
  <w:style w:type="paragraph" w:customStyle="1" w:styleId="xl90">
    <w:name w:val="xl90"/>
    <w:basedOn w:val="a"/>
    <w:rsid w:val="00FF008A"/>
    <w:pPr>
      <w:pBdr>
        <w:lef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color w:val="000000"/>
      <w:sz w:val="20"/>
      <w:szCs w:val="20"/>
    </w:rPr>
  </w:style>
  <w:style w:type="paragraph" w:customStyle="1" w:styleId="xl91">
    <w:name w:val="xl91"/>
    <w:basedOn w:val="a"/>
    <w:rsid w:val="00FF008A"/>
    <w:pPr>
      <w:pBdr>
        <w:left w:val="single" w:sz="8"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color w:val="000000"/>
    </w:rPr>
  </w:style>
  <w:style w:type="paragraph" w:customStyle="1" w:styleId="xl92">
    <w:name w:val="xl92"/>
    <w:basedOn w:val="a"/>
    <w:rsid w:val="00FF00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color w:val="000000"/>
    </w:rPr>
  </w:style>
  <w:style w:type="paragraph" w:customStyle="1" w:styleId="xl93">
    <w:name w:val="xl93"/>
    <w:basedOn w:val="a"/>
    <w:rsid w:val="00FF00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b/>
      <w:bCs/>
    </w:rPr>
  </w:style>
  <w:style w:type="paragraph" w:customStyle="1" w:styleId="xl94">
    <w:name w:val="xl94"/>
    <w:basedOn w:val="a"/>
    <w:rsid w:val="00FF00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rPr>
  </w:style>
  <w:style w:type="paragraph" w:customStyle="1" w:styleId="xl95">
    <w:name w:val="xl95"/>
    <w:basedOn w:val="a"/>
    <w:rsid w:val="00FF00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rPr>
  </w:style>
  <w:style w:type="paragraph" w:customStyle="1" w:styleId="xl96">
    <w:name w:val="xl96"/>
    <w:basedOn w:val="a"/>
    <w:rsid w:val="00FF008A"/>
    <w:pPr>
      <w:pBdr>
        <w:right w:val="single" w:sz="4" w:space="0" w:color="auto"/>
      </w:pBdr>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97">
    <w:name w:val="xl97"/>
    <w:basedOn w:val="a"/>
    <w:rsid w:val="00FF00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98">
    <w:name w:val="xl98"/>
    <w:basedOn w:val="a"/>
    <w:rsid w:val="00FF00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b/>
      <w:bCs/>
    </w:rPr>
  </w:style>
  <w:style w:type="paragraph" w:customStyle="1" w:styleId="xl99">
    <w:name w:val="xl99"/>
    <w:basedOn w:val="a"/>
    <w:rsid w:val="00FF00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rPr>
  </w:style>
  <w:style w:type="paragraph" w:customStyle="1" w:styleId="xl100">
    <w:name w:val="xl100"/>
    <w:basedOn w:val="a"/>
    <w:rsid w:val="00FF008A"/>
    <w:pPr>
      <w:pBdr>
        <w:right w:val="single" w:sz="4" w:space="0" w:color="auto"/>
      </w:pBd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xl101">
    <w:name w:val="xl101"/>
    <w:basedOn w:val="a"/>
    <w:rsid w:val="00FF008A"/>
    <w:pPr>
      <w:pBdr>
        <w:left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b/>
      <w:bCs/>
      <w:sz w:val="20"/>
      <w:szCs w:val="20"/>
    </w:rPr>
  </w:style>
  <w:style w:type="paragraph" w:customStyle="1" w:styleId="xl102">
    <w:name w:val="xl102"/>
    <w:basedOn w:val="a"/>
    <w:rsid w:val="00FF008A"/>
    <w:pPr>
      <w:pBdr>
        <w:top w:val="single" w:sz="8"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heme="minorEastAsia" w:hAnsi="Times New Roman" w:cs="Times New Roman"/>
      <w:b/>
      <w:bCs/>
      <w:color w:val="000000"/>
    </w:rPr>
  </w:style>
  <w:style w:type="paragraph" w:customStyle="1" w:styleId="xl103">
    <w:name w:val="xl103"/>
    <w:basedOn w:val="a"/>
    <w:rsid w:val="00FF008A"/>
    <w:pPr>
      <w:pBdr>
        <w:top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104">
    <w:name w:val="xl104"/>
    <w:basedOn w:val="a"/>
    <w:rsid w:val="00FF008A"/>
    <w:pPr>
      <w:pBdr>
        <w:top w:val="single" w:sz="8" w:space="0" w:color="auto"/>
        <w:left w:val="single" w:sz="4" w:space="0" w:color="auto"/>
      </w:pBdr>
      <w:shd w:val="clear" w:color="000000" w:fill="D9D9D9"/>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105">
    <w:name w:val="xl105"/>
    <w:basedOn w:val="a"/>
    <w:rsid w:val="00FF008A"/>
    <w:pPr>
      <w:pBdr>
        <w:left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106">
    <w:name w:val="xl106"/>
    <w:basedOn w:val="a"/>
    <w:rsid w:val="00FF008A"/>
    <w:pPr>
      <w:pBdr>
        <w:top w:val="single" w:sz="8" w:space="0" w:color="auto"/>
      </w:pBdr>
      <w:shd w:val="clear" w:color="000000" w:fill="D9D9D9"/>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107">
    <w:name w:val="xl107"/>
    <w:basedOn w:val="a"/>
    <w:rsid w:val="00FF008A"/>
    <w:pPr>
      <w:pBdr>
        <w:left w:val="single" w:sz="4"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heme="minorEastAsia" w:hAnsi="Times New Roman" w:cs="Times New Roman"/>
      <w:b/>
      <w:bCs/>
      <w:color w:val="000000"/>
    </w:rPr>
  </w:style>
  <w:style w:type="paragraph" w:customStyle="1" w:styleId="xl108">
    <w:name w:val="xl108"/>
    <w:basedOn w:val="a"/>
    <w:rsid w:val="00FF008A"/>
    <w:pPr>
      <w:pBdr>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109">
    <w:name w:val="xl109"/>
    <w:basedOn w:val="a"/>
    <w:rsid w:val="00FF008A"/>
    <w:pPr>
      <w:pBdr>
        <w:left w:val="single" w:sz="4" w:space="0" w:color="auto"/>
        <w:bottom w:val="single" w:sz="8" w:space="0" w:color="auto"/>
      </w:pBdr>
      <w:shd w:val="clear" w:color="000000" w:fill="D9D9D9"/>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110">
    <w:name w:val="xl110"/>
    <w:basedOn w:val="a"/>
    <w:rsid w:val="00FF008A"/>
    <w:pPr>
      <w:pBdr>
        <w:bottom w:val="single" w:sz="8" w:space="0" w:color="auto"/>
      </w:pBdr>
      <w:shd w:val="clear" w:color="000000" w:fill="D9D9D9"/>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111">
    <w:name w:val="xl111"/>
    <w:basedOn w:val="a"/>
    <w:rsid w:val="00FF008A"/>
    <w:pPr>
      <w:pBdr>
        <w:lef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color w:val="000000"/>
    </w:rPr>
  </w:style>
  <w:style w:type="paragraph" w:customStyle="1" w:styleId="xl112">
    <w:name w:val="xl112"/>
    <w:basedOn w:val="a"/>
    <w:rsid w:val="00FF008A"/>
    <w:pPr>
      <w:shd w:val="clear" w:color="000000" w:fill="FF0000"/>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113">
    <w:name w:val="xl113"/>
    <w:basedOn w:val="a"/>
    <w:rsid w:val="00FF008A"/>
    <w:pPr>
      <w:shd w:val="clear" w:color="000000" w:fill="FF0000"/>
      <w:spacing w:before="100" w:beforeAutospacing="1" w:after="100" w:afterAutospacing="1" w:line="240" w:lineRule="auto"/>
      <w:jc w:val="center"/>
    </w:pPr>
    <w:rPr>
      <w:rFonts w:ascii="Calibri" w:eastAsiaTheme="minorEastAsia" w:hAnsi="Calibri" w:cs="Times New Roman"/>
      <w:color w:val="FFFFFF"/>
    </w:rPr>
  </w:style>
  <w:style w:type="paragraph" w:customStyle="1" w:styleId="xl114">
    <w:name w:val="xl114"/>
    <w:basedOn w:val="a"/>
    <w:rsid w:val="00FF008A"/>
    <w:pPr>
      <w:pBdr>
        <w:lef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color w:val="000000"/>
    </w:rPr>
  </w:style>
  <w:style w:type="paragraph" w:customStyle="1" w:styleId="xl115">
    <w:name w:val="xl115"/>
    <w:basedOn w:val="a"/>
    <w:rsid w:val="00FF008A"/>
    <w:pPr>
      <w:spacing w:before="100" w:beforeAutospacing="1" w:after="100" w:afterAutospacing="1" w:line="240" w:lineRule="auto"/>
      <w:ind w:firstLineChars="100" w:firstLine="100"/>
      <w:textAlignment w:val="center"/>
    </w:pPr>
    <w:rPr>
      <w:rFonts w:ascii="Times New Roman" w:eastAsiaTheme="minorEastAsia" w:hAnsi="Times New Roman" w:cs="Times New Roman"/>
      <w:sz w:val="20"/>
      <w:szCs w:val="20"/>
    </w:rPr>
  </w:style>
  <w:style w:type="paragraph" w:customStyle="1" w:styleId="xl116">
    <w:name w:val="xl116"/>
    <w:basedOn w:val="a"/>
    <w:rsid w:val="00FF008A"/>
    <w:pPr>
      <w:spacing w:before="100" w:beforeAutospacing="1" w:after="100" w:afterAutospacing="1" w:line="240" w:lineRule="auto"/>
      <w:ind w:firstLineChars="100" w:firstLine="100"/>
      <w:textAlignment w:val="center"/>
    </w:pPr>
    <w:rPr>
      <w:rFonts w:ascii="Times New Roman" w:eastAsiaTheme="minorEastAsia" w:hAnsi="Times New Roman" w:cs="Times New Roman"/>
      <w:i/>
      <w:iCs/>
      <w:sz w:val="20"/>
      <w:szCs w:val="20"/>
    </w:rPr>
  </w:style>
  <w:style w:type="paragraph" w:customStyle="1" w:styleId="xl117">
    <w:name w:val="xl117"/>
    <w:basedOn w:val="a"/>
    <w:rsid w:val="00FF008A"/>
    <w:pPr>
      <w:pBdr>
        <w:left w:val="single" w:sz="8"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rPr>
  </w:style>
  <w:style w:type="paragraph" w:customStyle="1" w:styleId="xl118">
    <w:name w:val="xl118"/>
    <w:basedOn w:val="a"/>
    <w:rsid w:val="00FF008A"/>
    <w:pPr>
      <w:shd w:val="clear" w:color="000000" w:fill="FFFF00"/>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119">
    <w:name w:val="xl119"/>
    <w:basedOn w:val="a"/>
    <w:rsid w:val="00FF008A"/>
    <w:pPr>
      <w:shd w:val="clear" w:color="000000" w:fill="FFFF00"/>
      <w:spacing w:before="100" w:beforeAutospacing="1" w:after="100" w:afterAutospacing="1" w:line="240" w:lineRule="auto"/>
      <w:textAlignment w:val="center"/>
    </w:pPr>
    <w:rPr>
      <w:rFonts w:ascii="Times New Roman" w:eastAsiaTheme="minorEastAsia" w:hAnsi="Times New Roman" w:cs="Times New Roman"/>
      <w:color w:val="000000"/>
    </w:rPr>
  </w:style>
  <w:style w:type="paragraph" w:customStyle="1" w:styleId="xl120">
    <w:name w:val="xl120"/>
    <w:basedOn w:val="a"/>
    <w:rsid w:val="00FF008A"/>
    <w:pPr>
      <w:pBdr>
        <w:top w:val="single" w:sz="8" w:space="0" w:color="auto"/>
      </w:pBdr>
      <w:shd w:val="clear" w:color="000000" w:fill="FFFF00"/>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xl121">
    <w:name w:val="xl121"/>
    <w:basedOn w:val="a"/>
    <w:rsid w:val="00FF008A"/>
    <w:pPr>
      <w:spacing w:before="100" w:beforeAutospacing="1" w:after="100" w:afterAutospacing="1" w:line="240" w:lineRule="auto"/>
      <w:jc w:val="center"/>
    </w:pPr>
    <w:rPr>
      <w:rFonts w:ascii="Times New Roman" w:eastAsiaTheme="minorEastAsia" w:hAnsi="Times New Roman" w:cs="Times New Roman"/>
      <w:b/>
      <w:bCs/>
      <w:sz w:val="20"/>
      <w:szCs w:val="20"/>
    </w:rPr>
  </w:style>
  <w:style w:type="paragraph" w:customStyle="1" w:styleId="xl122">
    <w:name w:val="xl122"/>
    <w:basedOn w:val="a"/>
    <w:rsid w:val="00FF008A"/>
    <w:pPr>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123">
    <w:name w:val="xl123"/>
    <w:basedOn w:val="a"/>
    <w:rsid w:val="00FF008A"/>
    <w:pPr>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124">
    <w:name w:val="xl124"/>
    <w:basedOn w:val="a"/>
    <w:rsid w:val="00FF008A"/>
    <w:pPr>
      <w:pBdr>
        <w:left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125">
    <w:name w:val="xl125"/>
    <w:basedOn w:val="a"/>
    <w:rsid w:val="00FF008A"/>
    <w:pPr>
      <w:pBdr>
        <w:left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126">
    <w:name w:val="xl126"/>
    <w:basedOn w:val="a"/>
    <w:rsid w:val="00FF008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127">
    <w:name w:val="xl127"/>
    <w:basedOn w:val="a"/>
    <w:rsid w:val="00FF008A"/>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128">
    <w:name w:val="xl128"/>
    <w:basedOn w:val="a"/>
    <w:rsid w:val="00FF008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color w:val="000000"/>
      <w:sz w:val="20"/>
      <w:szCs w:val="20"/>
    </w:rPr>
  </w:style>
  <w:style w:type="paragraph" w:customStyle="1" w:styleId="xl129">
    <w:name w:val="xl129"/>
    <w:basedOn w:val="a"/>
    <w:rsid w:val="00FF008A"/>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color w:val="000000"/>
      <w:sz w:val="20"/>
      <w:szCs w:val="20"/>
    </w:rPr>
  </w:style>
  <w:style w:type="paragraph" w:customStyle="1" w:styleId="xl130">
    <w:name w:val="xl130"/>
    <w:basedOn w:val="a"/>
    <w:rsid w:val="00FF008A"/>
    <w:pPr>
      <w:pBdr>
        <w:left w:val="single" w:sz="8" w:space="0" w:color="auto"/>
      </w:pBdr>
      <w:spacing w:before="100" w:beforeAutospacing="1" w:after="100" w:afterAutospacing="1" w:line="240" w:lineRule="auto"/>
      <w:jc w:val="center"/>
    </w:pPr>
    <w:rPr>
      <w:rFonts w:ascii="Times New Roman" w:eastAsiaTheme="minorEastAsia" w:hAnsi="Times New Roman" w:cs="Times New Roman"/>
      <w:b/>
      <w:bCs/>
      <w:sz w:val="20"/>
      <w:szCs w:val="20"/>
    </w:rPr>
  </w:style>
  <w:style w:type="paragraph" w:customStyle="1" w:styleId="xl131">
    <w:name w:val="xl131"/>
    <w:basedOn w:val="a"/>
    <w:rsid w:val="00FF008A"/>
    <w:pPr>
      <w:pBdr>
        <w:right w:val="single" w:sz="4" w:space="0" w:color="auto"/>
      </w:pBdr>
      <w:spacing w:before="100" w:beforeAutospacing="1" w:after="100" w:afterAutospacing="1" w:line="240" w:lineRule="auto"/>
      <w:jc w:val="center"/>
    </w:pPr>
    <w:rPr>
      <w:rFonts w:ascii="Times New Roman" w:eastAsiaTheme="minorEastAsia" w:hAnsi="Times New Roman" w:cs="Times New Roman"/>
      <w:b/>
      <w:bCs/>
      <w:sz w:val="20"/>
      <w:szCs w:val="20"/>
    </w:rPr>
  </w:style>
  <w:style w:type="paragraph" w:customStyle="1" w:styleId="xl132">
    <w:name w:val="xl132"/>
    <w:basedOn w:val="a"/>
    <w:rsid w:val="00FF008A"/>
    <w:pPr>
      <w:pBdr>
        <w:left w:val="single" w:sz="4" w:space="0" w:color="auto"/>
      </w:pBdr>
      <w:spacing w:before="100" w:beforeAutospacing="1" w:after="100" w:afterAutospacing="1" w:line="240" w:lineRule="auto"/>
      <w:jc w:val="center"/>
    </w:pPr>
    <w:rPr>
      <w:rFonts w:ascii="Times New Roman" w:eastAsiaTheme="minorEastAsia" w:hAnsi="Times New Roman" w:cs="Times New Roman"/>
      <w:b/>
      <w:bCs/>
      <w:sz w:val="20"/>
      <w:szCs w:val="20"/>
    </w:rPr>
  </w:style>
  <w:style w:type="paragraph" w:styleId="af8">
    <w:name w:val="footnote text"/>
    <w:basedOn w:val="a"/>
    <w:link w:val="af9"/>
    <w:uiPriority w:val="99"/>
    <w:unhideWhenUsed/>
    <w:rsid w:val="00FF008A"/>
    <w:pPr>
      <w:spacing w:after="0" w:line="240" w:lineRule="auto"/>
    </w:pPr>
    <w:rPr>
      <w:rFonts w:ascii="Times New Roman" w:hAnsi="Times New Roman" w:cs="Times New Roman"/>
      <w:sz w:val="24"/>
      <w:szCs w:val="24"/>
      <w:lang w:bidi="he-IL"/>
    </w:rPr>
  </w:style>
  <w:style w:type="character" w:customStyle="1" w:styleId="af9">
    <w:name w:val="טקסט הערת שוליים תו"/>
    <w:basedOn w:val="a0"/>
    <w:link w:val="af8"/>
    <w:uiPriority w:val="99"/>
    <w:rsid w:val="00FF008A"/>
    <w:rPr>
      <w:rFonts w:ascii="Times New Roman" w:hAnsi="Times New Roman" w:cs="Times New Roman"/>
      <w:sz w:val="24"/>
      <w:szCs w:val="24"/>
      <w:lang w:bidi="he-IL"/>
    </w:rPr>
  </w:style>
  <w:style w:type="character" w:styleId="afa">
    <w:name w:val="footnote reference"/>
    <w:basedOn w:val="a0"/>
    <w:uiPriority w:val="99"/>
    <w:unhideWhenUsed/>
    <w:rsid w:val="00FF008A"/>
    <w:rPr>
      <w:vertAlign w:val="superscript"/>
    </w:rPr>
  </w:style>
  <w:style w:type="paragraph" w:styleId="afb">
    <w:name w:val="endnote text"/>
    <w:basedOn w:val="a"/>
    <w:link w:val="afc"/>
    <w:uiPriority w:val="99"/>
    <w:unhideWhenUsed/>
    <w:rsid w:val="00FF008A"/>
    <w:pPr>
      <w:spacing w:after="0" w:line="240" w:lineRule="auto"/>
    </w:pPr>
    <w:rPr>
      <w:rFonts w:ascii="Times New Roman" w:hAnsi="Times New Roman" w:cs="Times New Roman"/>
      <w:sz w:val="24"/>
      <w:szCs w:val="24"/>
      <w:lang w:bidi="he-IL"/>
    </w:rPr>
  </w:style>
  <w:style w:type="character" w:customStyle="1" w:styleId="afc">
    <w:name w:val="טקסט הערת סיום תו"/>
    <w:basedOn w:val="a0"/>
    <w:link w:val="afb"/>
    <w:uiPriority w:val="99"/>
    <w:rsid w:val="00FF008A"/>
    <w:rPr>
      <w:rFonts w:ascii="Times New Roman" w:hAnsi="Times New Roman" w:cs="Times New Roman"/>
      <w:sz w:val="24"/>
      <w:szCs w:val="24"/>
      <w:lang w:bidi="he-IL"/>
    </w:rPr>
  </w:style>
  <w:style w:type="character" w:styleId="afd">
    <w:name w:val="endnote reference"/>
    <w:basedOn w:val="a0"/>
    <w:uiPriority w:val="99"/>
    <w:unhideWhenUsed/>
    <w:rsid w:val="00FF00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0708">
      <w:bodyDiv w:val="1"/>
      <w:marLeft w:val="0"/>
      <w:marRight w:val="0"/>
      <w:marTop w:val="0"/>
      <w:marBottom w:val="0"/>
      <w:divBdr>
        <w:top w:val="none" w:sz="0" w:space="0" w:color="auto"/>
        <w:left w:val="none" w:sz="0" w:space="0" w:color="auto"/>
        <w:bottom w:val="none" w:sz="0" w:space="0" w:color="auto"/>
        <w:right w:val="none" w:sz="0" w:space="0" w:color="auto"/>
      </w:divBdr>
    </w:div>
    <w:div w:id="679890344">
      <w:bodyDiv w:val="1"/>
      <w:marLeft w:val="0"/>
      <w:marRight w:val="0"/>
      <w:marTop w:val="0"/>
      <w:marBottom w:val="0"/>
      <w:divBdr>
        <w:top w:val="none" w:sz="0" w:space="0" w:color="auto"/>
        <w:left w:val="none" w:sz="0" w:space="0" w:color="auto"/>
        <w:bottom w:val="none" w:sz="0" w:space="0" w:color="auto"/>
        <w:right w:val="none" w:sz="0" w:space="0" w:color="auto"/>
      </w:divBdr>
    </w:div>
    <w:div w:id="1147017050">
      <w:bodyDiv w:val="1"/>
      <w:marLeft w:val="0"/>
      <w:marRight w:val="0"/>
      <w:marTop w:val="0"/>
      <w:marBottom w:val="0"/>
      <w:divBdr>
        <w:top w:val="none" w:sz="0" w:space="0" w:color="auto"/>
        <w:left w:val="none" w:sz="0" w:space="0" w:color="auto"/>
        <w:bottom w:val="none" w:sz="0" w:space="0" w:color="auto"/>
        <w:right w:val="none" w:sz="0" w:space="0" w:color="auto"/>
      </w:divBdr>
    </w:div>
    <w:div w:id="133511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vitalhi\AppData\Local\Microsoft\Windows\Temporary%20Internet%20Files\Content.Outlook\O9HTX1CP\HCP%20Israel_Methods%20Paper_Statistical%20Considerations_vs1_072417.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3F1C0-EE07-45C3-A1F3-568BB9E7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12901</Words>
  <Characters>64506</Characters>
  <Application>Microsoft Office Word</Application>
  <DocSecurity>0</DocSecurity>
  <Lines>537</Lines>
  <Paragraphs>154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Abt Associates Inc.</Company>
  <LinksUpToDate>false</LinksUpToDate>
  <CharactersWithSpaces>77253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Wendlandt</dc:creator>
  <cp:lastModifiedBy>‏‏משתמש Windows</cp:lastModifiedBy>
  <cp:revision>7</cp:revision>
  <dcterms:created xsi:type="dcterms:W3CDTF">2018-05-17T13:03:00Z</dcterms:created>
  <dcterms:modified xsi:type="dcterms:W3CDTF">2018-06-02T07:54:00Z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7c8d22ea-6577-38db-b47f-04fa9e707776</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http://www.zotero.org/styles/vaccine</vt:lpwstr>
  </property>
  <property fmtid="{D5CDD505-2E9C-101B-9397-08002B2CF9AE}" pid="22" name="Mendeley Recent Style Name 8_1">
    <vt:lpwstr>Vaccine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