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DFA" w:rsidRDefault="00F30DFA" w:rsidP="00F30DFA">
      <w:pPr>
        <w:rPr>
          <w:rFonts w:cs="Times New Roman"/>
          <w:sz w:val="20"/>
          <w:szCs w:val="20"/>
        </w:rPr>
      </w:pPr>
      <w:r w:rsidRPr="00F2106F">
        <w:rPr>
          <w:rFonts w:cs="Times New Roman"/>
          <w:b/>
          <w:sz w:val="20"/>
          <w:szCs w:val="20"/>
        </w:rPr>
        <w:t xml:space="preserve">Title: </w:t>
      </w:r>
      <w:r w:rsidRPr="00F2106F">
        <w:rPr>
          <w:rFonts w:cs="Times New Roman"/>
          <w:sz w:val="20"/>
          <w:szCs w:val="20"/>
        </w:rPr>
        <w:t xml:space="preserve">Impact of </w:t>
      </w:r>
      <w:r w:rsidR="00DA1CA9">
        <w:rPr>
          <w:rFonts w:cs="Times New Roman"/>
          <w:sz w:val="20"/>
          <w:szCs w:val="20"/>
        </w:rPr>
        <w:t>c</w:t>
      </w:r>
      <w:r w:rsidRPr="00F2106F">
        <w:rPr>
          <w:rFonts w:cs="Times New Roman"/>
          <w:sz w:val="20"/>
          <w:szCs w:val="20"/>
        </w:rPr>
        <w:t xml:space="preserve">hemotherapy </w:t>
      </w:r>
      <w:r w:rsidR="00DA1CA9">
        <w:rPr>
          <w:rFonts w:cs="Times New Roman"/>
          <w:sz w:val="20"/>
          <w:szCs w:val="20"/>
        </w:rPr>
        <w:t>r</w:t>
      </w:r>
      <w:r w:rsidRPr="00F2106F">
        <w:rPr>
          <w:rFonts w:cs="Times New Roman"/>
          <w:sz w:val="20"/>
          <w:szCs w:val="20"/>
        </w:rPr>
        <w:t xml:space="preserve">elative </w:t>
      </w:r>
      <w:r w:rsidR="00DA1CA9">
        <w:rPr>
          <w:rFonts w:cs="Times New Roman"/>
          <w:sz w:val="20"/>
          <w:szCs w:val="20"/>
        </w:rPr>
        <w:t>d</w:t>
      </w:r>
      <w:r w:rsidRPr="00F2106F">
        <w:rPr>
          <w:rFonts w:cs="Times New Roman"/>
          <w:sz w:val="20"/>
          <w:szCs w:val="20"/>
        </w:rPr>
        <w:t xml:space="preserve">ose </w:t>
      </w:r>
      <w:r w:rsidR="00DA1CA9">
        <w:rPr>
          <w:rFonts w:cs="Times New Roman"/>
          <w:sz w:val="20"/>
          <w:szCs w:val="20"/>
        </w:rPr>
        <w:t>i</w:t>
      </w:r>
      <w:r w:rsidRPr="00F2106F">
        <w:rPr>
          <w:rFonts w:cs="Times New Roman"/>
          <w:sz w:val="20"/>
          <w:szCs w:val="20"/>
        </w:rPr>
        <w:t xml:space="preserve">ntensity on </w:t>
      </w:r>
      <w:r w:rsidR="00DA1CA9">
        <w:rPr>
          <w:rFonts w:cs="Times New Roman"/>
          <w:sz w:val="20"/>
          <w:szCs w:val="20"/>
        </w:rPr>
        <w:t>c</w:t>
      </w:r>
      <w:r w:rsidRPr="00F2106F">
        <w:rPr>
          <w:rFonts w:cs="Times New Roman"/>
          <w:sz w:val="20"/>
          <w:szCs w:val="20"/>
        </w:rPr>
        <w:t>ause-</w:t>
      </w:r>
      <w:r w:rsidR="00DA1CA9">
        <w:rPr>
          <w:rFonts w:cs="Times New Roman"/>
          <w:sz w:val="20"/>
          <w:szCs w:val="20"/>
        </w:rPr>
        <w:t>s</w:t>
      </w:r>
      <w:r w:rsidRPr="00F2106F">
        <w:rPr>
          <w:rFonts w:cs="Times New Roman"/>
          <w:sz w:val="20"/>
          <w:szCs w:val="20"/>
        </w:rPr>
        <w:t xml:space="preserve">pecific and </w:t>
      </w:r>
      <w:r w:rsidR="00DA1CA9">
        <w:rPr>
          <w:rFonts w:cs="Times New Roman"/>
          <w:sz w:val="20"/>
          <w:szCs w:val="20"/>
        </w:rPr>
        <w:t>o</w:t>
      </w:r>
      <w:r w:rsidRPr="00F2106F">
        <w:rPr>
          <w:rFonts w:cs="Times New Roman"/>
          <w:sz w:val="20"/>
          <w:szCs w:val="20"/>
        </w:rPr>
        <w:t xml:space="preserve">verall </w:t>
      </w:r>
      <w:r w:rsidR="00DA1CA9">
        <w:rPr>
          <w:rFonts w:cs="Times New Roman"/>
          <w:sz w:val="20"/>
          <w:szCs w:val="20"/>
        </w:rPr>
        <w:t>s</w:t>
      </w:r>
      <w:r w:rsidRPr="00F2106F">
        <w:rPr>
          <w:rFonts w:cs="Times New Roman"/>
          <w:sz w:val="20"/>
          <w:szCs w:val="20"/>
        </w:rPr>
        <w:t xml:space="preserve">urvival for </w:t>
      </w:r>
      <w:r w:rsidR="00DA1CA9">
        <w:rPr>
          <w:rFonts w:cs="Times New Roman"/>
          <w:sz w:val="20"/>
          <w:szCs w:val="20"/>
        </w:rPr>
        <w:t>s</w:t>
      </w:r>
      <w:r w:rsidRPr="00F2106F">
        <w:rPr>
          <w:rFonts w:cs="Times New Roman"/>
          <w:sz w:val="20"/>
          <w:szCs w:val="20"/>
        </w:rPr>
        <w:t xml:space="preserve">tage I-III </w:t>
      </w:r>
      <w:r w:rsidR="00DA1CA9">
        <w:rPr>
          <w:rFonts w:cs="Times New Roman"/>
          <w:sz w:val="20"/>
          <w:szCs w:val="20"/>
        </w:rPr>
        <w:t>breast cancer: ER+/PR+, HER2-</w:t>
      </w:r>
      <w:r w:rsidRPr="00F2106F">
        <w:rPr>
          <w:rFonts w:cs="Times New Roman"/>
          <w:sz w:val="20"/>
          <w:szCs w:val="20"/>
        </w:rPr>
        <w:t xml:space="preserve"> vs</w:t>
      </w:r>
      <w:r w:rsidR="00DA1CA9">
        <w:rPr>
          <w:rFonts w:cs="Times New Roman"/>
          <w:sz w:val="20"/>
          <w:szCs w:val="20"/>
        </w:rPr>
        <w:t>.</w:t>
      </w:r>
      <w:r w:rsidRPr="00F2106F">
        <w:rPr>
          <w:rFonts w:cs="Times New Roman"/>
          <w:sz w:val="20"/>
          <w:szCs w:val="20"/>
        </w:rPr>
        <w:t xml:space="preserve"> </w:t>
      </w:r>
      <w:r w:rsidR="00DA1CA9">
        <w:rPr>
          <w:rFonts w:cs="Times New Roman"/>
          <w:sz w:val="20"/>
          <w:szCs w:val="20"/>
        </w:rPr>
        <w:t>t</w:t>
      </w:r>
      <w:r w:rsidRPr="00F2106F">
        <w:rPr>
          <w:rFonts w:cs="Times New Roman"/>
          <w:sz w:val="20"/>
          <w:szCs w:val="20"/>
        </w:rPr>
        <w:t>riple-</w:t>
      </w:r>
      <w:r w:rsidR="00DA1CA9">
        <w:rPr>
          <w:rFonts w:cs="Times New Roman"/>
          <w:sz w:val="20"/>
          <w:szCs w:val="20"/>
        </w:rPr>
        <w:t>negative</w:t>
      </w:r>
    </w:p>
    <w:p w:rsidR="00F30DFA" w:rsidRDefault="00F30DFA" w:rsidP="00F30DFA">
      <w:pPr>
        <w:rPr>
          <w:rFonts w:cs="Times New Roman"/>
          <w:b/>
          <w:sz w:val="20"/>
          <w:szCs w:val="20"/>
        </w:rPr>
      </w:pPr>
    </w:p>
    <w:p w:rsidR="00F30DFA" w:rsidRPr="00F2106F" w:rsidRDefault="00F30DFA" w:rsidP="00F30DFA">
      <w:pPr>
        <w:rPr>
          <w:rFonts w:cs="Times New Roman"/>
          <w:sz w:val="20"/>
          <w:szCs w:val="20"/>
        </w:rPr>
      </w:pPr>
      <w:r w:rsidRPr="00F2106F">
        <w:rPr>
          <w:rFonts w:cs="Times New Roman"/>
          <w:b/>
          <w:sz w:val="20"/>
          <w:szCs w:val="20"/>
        </w:rPr>
        <w:t>Running head:</w:t>
      </w:r>
      <w:r w:rsidRPr="00F2106F">
        <w:rPr>
          <w:rFonts w:cs="Times New Roman"/>
          <w:sz w:val="20"/>
          <w:szCs w:val="20"/>
        </w:rPr>
        <w:t xml:space="preserve"> Chemotherapy relative dose int</w:t>
      </w:r>
      <w:r>
        <w:rPr>
          <w:rFonts w:cs="Times New Roman"/>
          <w:sz w:val="20"/>
          <w:szCs w:val="20"/>
        </w:rPr>
        <w:t>ensity by breast cancer subtype</w:t>
      </w:r>
    </w:p>
    <w:p w:rsidR="00F30DFA" w:rsidRDefault="00F30DFA" w:rsidP="00F30DFA">
      <w:pPr>
        <w:rPr>
          <w:rFonts w:cs="Times New Roman"/>
          <w:b/>
          <w:sz w:val="20"/>
          <w:szCs w:val="20"/>
        </w:rPr>
      </w:pPr>
    </w:p>
    <w:p w:rsidR="00F30DFA" w:rsidRDefault="00F30DFA" w:rsidP="00F30DFA">
      <w:pPr>
        <w:rPr>
          <w:rFonts w:cs="Times New Roman"/>
          <w:sz w:val="20"/>
          <w:szCs w:val="20"/>
        </w:rPr>
      </w:pPr>
      <w:r w:rsidRPr="00F2106F">
        <w:rPr>
          <w:rFonts w:cs="Times New Roman"/>
          <w:b/>
          <w:sz w:val="20"/>
          <w:szCs w:val="20"/>
        </w:rPr>
        <w:t>Authors</w:t>
      </w:r>
      <w:r w:rsidRPr="00F2106F">
        <w:rPr>
          <w:rFonts w:cs="Times New Roman"/>
          <w:sz w:val="20"/>
          <w:szCs w:val="20"/>
        </w:rPr>
        <w:t xml:space="preserve">: </w:t>
      </w:r>
      <w:r w:rsidRPr="00F2106F">
        <w:rPr>
          <w:rFonts w:cs="Times New Roman"/>
          <w:sz w:val="20"/>
          <w:szCs w:val="20"/>
          <w:vertAlign w:val="superscript"/>
        </w:rPr>
        <w:t>1</w:t>
      </w:r>
      <w:r w:rsidRPr="00F2106F">
        <w:rPr>
          <w:rFonts w:cs="Times New Roman"/>
          <w:sz w:val="20"/>
          <w:szCs w:val="20"/>
        </w:rPr>
        <w:t xml:space="preserve">Lu Zhang, PhD; </w:t>
      </w:r>
      <w:r w:rsidRPr="00F2106F">
        <w:rPr>
          <w:rFonts w:cs="Times New Roman"/>
          <w:sz w:val="20"/>
          <w:szCs w:val="20"/>
          <w:vertAlign w:val="superscript"/>
        </w:rPr>
        <w:t>2</w:t>
      </w:r>
      <w:r w:rsidRPr="00F2106F">
        <w:rPr>
          <w:rFonts w:cs="Times New Roman"/>
          <w:sz w:val="20"/>
          <w:szCs w:val="20"/>
        </w:rPr>
        <w:t xml:space="preserve">Qingzhao Yu, PhD; </w:t>
      </w:r>
      <w:r w:rsidRPr="00F2106F">
        <w:rPr>
          <w:rFonts w:cs="Times New Roman"/>
          <w:sz w:val="20"/>
          <w:szCs w:val="20"/>
          <w:vertAlign w:val="superscript"/>
        </w:rPr>
        <w:t>1</w:t>
      </w:r>
      <w:r w:rsidRPr="00F2106F">
        <w:rPr>
          <w:rFonts w:cs="Times New Roman"/>
          <w:sz w:val="20"/>
          <w:szCs w:val="20"/>
        </w:rPr>
        <w:t xml:space="preserve">Xiao-Cheng Wu, MPH, MD; </w:t>
      </w:r>
      <w:r w:rsidRPr="00F2106F">
        <w:rPr>
          <w:rFonts w:cs="Times New Roman"/>
          <w:sz w:val="20"/>
          <w:szCs w:val="20"/>
          <w:vertAlign w:val="superscript"/>
        </w:rPr>
        <w:t>1</w:t>
      </w:r>
      <w:r w:rsidRPr="00F2106F">
        <w:rPr>
          <w:rFonts w:cs="Times New Roman"/>
          <w:sz w:val="20"/>
          <w:szCs w:val="20"/>
        </w:rPr>
        <w:t xml:space="preserve">Mei-Chin Hsieh, MSPH, PhD; </w:t>
      </w:r>
      <w:r w:rsidRPr="00F2106F">
        <w:rPr>
          <w:rFonts w:cs="Times New Roman"/>
          <w:sz w:val="20"/>
          <w:szCs w:val="20"/>
          <w:vertAlign w:val="superscript"/>
        </w:rPr>
        <w:t>3</w:t>
      </w:r>
      <w:r w:rsidRPr="00F2106F">
        <w:rPr>
          <w:rFonts w:cs="Times New Roman"/>
          <w:sz w:val="20"/>
          <w:szCs w:val="20"/>
        </w:rPr>
        <w:t xml:space="preserve">Michelle Loch, MD; </w:t>
      </w:r>
      <w:r w:rsidRPr="00F2106F">
        <w:rPr>
          <w:rFonts w:cs="Times New Roman"/>
          <w:sz w:val="20"/>
          <w:szCs w:val="20"/>
          <w:vertAlign w:val="superscript"/>
        </w:rPr>
        <w:t>1</w:t>
      </w:r>
      <w:r w:rsidRPr="00F2106F">
        <w:rPr>
          <w:rFonts w:cs="Times New Roman"/>
          <w:sz w:val="20"/>
          <w:szCs w:val="20"/>
        </w:rPr>
        <w:t xml:space="preserve">Vivien W. Chen, MPH, PhD; </w:t>
      </w:r>
      <w:r w:rsidRPr="00F2106F">
        <w:rPr>
          <w:rFonts w:cs="Times New Roman"/>
          <w:sz w:val="20"/>
          <w:szCs w:val="20"/>
          <w:vertAlign w:val="superscript"/>
        </w:rPr>
        <w:t>1</w:t>
      </w:r>
      <w:r w:rsidRPr="00F2106F">
        <w:rPr>
          <w:rFonts w:cs="Times New Roman"/>
          <w:sz w:val="20"/>
          <w:szCs w:val="20"/>
        </w:rPr>
        <w:t xml:space="preserve">Elizabeth Fontham, MPH, </w:t>
      </w:r>
      <w:proofErr w:type="spellStart"/>
      <w:r w:rsidRPr="00F2106F">
        <w:rPr>
          <w:rFonts w:cs="Times New Roman"/>
          <w:sz w:val="20"/>
          <w:szCs w:val="20"/>
        </w:rPr>
        <w:t>DrPH</w:t>
      </w:r>
      <w:proofErr w:type="spellEnd"/>
      <w:r w:rsidRPr="00F2106F">
        <w:rPr>
          <w:rFonts w:cs="Times New Roman"/>
          <w:sz w:val="20"/>
          <w:szCs w:val="20"/>
        </w:rPr>
        <w:t xml:space="preserve">; </w:t>
      </w:r>
      <w:r w:rsidRPr="00F2106F">
        <w:rPr>
          <w:rFonts w:cs="Times New Roman"/>
          <w:sz w:val="20"/>
          <w:szCs w:val="20"/>
          <w:vertAlign w:val="superscript"/>
        </w:rPr>
        <w:t>1</w:t>
      </w:r>
      <w:r w:rsidRPr="00F2106F">
        <w:rPr>
          <w:rFonts w:cs="Times New Roman"/>
          <w:sz w:val="20"/>
          <w:szCs w:val="20"/>
        </w:rPr>
        <w:t>Tekeda Ferguson, MPH, MSPH, CHES, PhD</w:t>
      </w:r>
    </w:p>
    <w:p w:rsidR="008C3FF3" w:rsidRPr="00F2106F" w:rsidRDefault="008C3FF3" w:rsidP="00F30DFA">
      <w:pPr>
        <w:rPr>
          <w:rFonts w:cs="Times New Roman"/>
          <w:sz w:val="20"/>
          <w:szCs w:val="20"/>
        </w:rPr>
      </w:pPr>
    </w:p>
    <w:p w:rsidR="00F30DFA" w:rsidRDefault="00F30DFA" w:rsidP="00F30DFA">
      <w:pPr>
        <w:rPr>
          <w:rFonts w:cs="Times New Roman"/>
          <w:sz w:val="20"/>
          <w:szCs w:val="20"/>
        </w:rPr>
      </w:pPr>
      <w:r w:rsidRPr="00F2106F">
        <w:rPr>
          <w:rFonts w:cs="Times New Roman"/>
          <w:sz w:val="20"/>
          <w:szCs w:val="20"/>
          <w:vertAlign w:val="superscript"/>
        </w:rPr>
        <w:t>1</w:t>
      </w:r>
      <w:r w:rsidRPr="00F2106F">
        <w:rPr>
          <w:rFonts w:cs="Times New Roman"/>
          <w:sz w:val="20"/>
          <w:szCs w:val="20"/>
        </w:rPr>
        <w:t>Epidemiology program, School of Public Health and Louisiana Tumor Registry, Louisiana State University Health Sciences Center, New Orleans, Louisiana 70112</w:t>
      </w:r>
    </w:p>
    <w:p w:rsidR="008C3FF3" w:rsidRPr="00F2106F" w:rsidRDefault="008C3FF3" w:rsidP="00F30DFA">
      <w:pPr>
        <w:rPr>
          <w:rFonts w:cs="Times New Roman"/>
          <w:sz w:val="20"/>
          <w:szCs w:val="20"/>
        </w:rPr>
      </w:pPr>
    </w:p>
    <w:p w:rsidR="00F30DFA" w:rsidRDefault="00F30DFA" w:rsidP="00F30DFA">
      <w:pPr>
        <w:rPr>
          <w:rFonts w:cs="Times New Roman"/>
          <w:sz w:val="20"/>
          <w:szCs w:val="20"/>
        </w:rPr>
      </w:pPr>
      <w:r w:rsidRPr="00F2106F">
        <w:rPr>
          <w:rFonts w:cs="Times New Roman"/>
          <w:sz w:val="20"/>
          <w:szCs w:val="20"/>
          <w:vertAlign w:val="superscript"/>
        </w:rPr>
        <w:t>2</w:t>
      </w:r>
      <w:r w:rsidRPr="00F2106F">
        <w:rPr>
          <w:rFonts w:cs="Times New Roman"/>
          <w:sz w:val="20"/>
          <w:szCs w:val="20"/>
        </w:rPr>
        <w:t>Biostatistics program, School of Public Health and Louisiana Tumor Registry, Louisiana State University Health Sciences Center, New Orleans, Louisiana 70112</w:t>
      </w:r>
    </w:p>
    <w:p w:rsidR="008C3FF3" w:rsidRPr="00F2106F" w:rsidRDefault="008C3FF3" w:rsidP="00F30DFA">
      <w:pPr>
        <w:rPr>
          <w:rFonts w:cs="Times New Roman"/>
          <w:sz w:val="20"/>
          <w:szCs w:val="20"/>
        </w:rPr>
      </w:pPr>
    </w:p>
    <w:p w:rsidR="00F30DFA" w:rsidRPr="00F2106F" w:rsidRDefault="00F30DFA" w:rsidP="00F30DFA">
      <w:pPr>
        <w:rPr>
          <w:rFonts w:cs="Times New Roman"/>
          <w:sz w:val="20"/>
          <w:szCs w:val="20"/>
        </w:rPr>
      </w:pPr>
      <w:r w:rsidRPr="00F2106F">
        <w:rPr>
          <w:rFonts w:cs="Times New Roman"/>
          <w:sz w:val="20"/>
          <w:szCs w:val="20"/>
          <w:vertAlign w:val="superscript"/>
        </w:rPr>
        <w:t>3</w:t>
      </w:r>
      <w:r w:rsidRPr="00F2106F">
        <w:rPr>
          <w:rFonts w:cs="Times New Roman"/>
          <w:sz w:val="20"/>
          <w:szCs w:val="20"/>
        </w:rPr>
        <w:t>School of Medicine, Louisiana State University Health Sciences Center, New Orleans, Louisiana 7011</w:t>
      </w:r>
      <w:r>
        <w:rPr>
          <w:rFonts w:cs="Times New Roman"/>
          <w:sz w:val="20"/>
          <w:szCs w:val="20"/>
        </w:rPr>
        <w:t>2</w:t>
      </w:r>
    </w:p>
    <w:p w:rsidR="00F30DFA" w:rsidRDefault="00F30DFA" w:rsidP="00F30DFA">
      <w:pPr>
        <w:rPr>
          <w:rFonts w:cs="Times New Roman"/>
          <w:b/>
          <w:sz w:val="20"/>
          <w:szCs w:val="20"/>
        </w:rPr>
      </w:pPr>
    </w:p>
    <w:p w:rsidR="00F30DFA" w:rsidRPr="00F2106F" w:rsidRDefault="00F30DFA" w:rsidP="00F30DFA">
      <w:pPr>
        <w:rPr>
          <w:rFonts w:cs="Times New Roman"/>
          <w:sz w:val="20"/>
          <w:szCs w:val="20"/>
        </w:rPr>
      </w:pPr>
      <w:r w:rsidRPr="00F2106F">
        <w:rPr>
          <w:rFonts w:cs="Times New Roman"/>
          <w:b/>
          <w:sz w:val="20"/>
          <w:szCs w:val="20"/>
        </w:rPr>
        <w:t>Corresponding author:</w:t>
      </w:r>
      <w:r w:rsidRPr="00F2106F">
        <w:rPr>
          <w:rFonts w:cs="Times New Roman"/>
          <w:sz w:val="20"/>
          <w:szCs w:val="20"/>
        </w:rPr>
        <w:t xml:space="preserve"> </w:t>
      </w:r>
    </w:p>
    <w:p w:rsidR="00F30DFA" w:rsidRPr="00F2106F" w:rsidRDefault="00F30DFA" w:rsidP="00F30DFA">
      <w:pPr>
        <w:rPr>
          <w:rFonts w:cs="Times New Roman"/>
          <w:sz w:val="20"/>
          <w:szCs w:val="20"/>
        </w:rPr>
      </w:pPr>
      <w:r w:rsidRPr="00F2106F">
        <w:rPr>
          <w:rFonts w:cs="Times New Roman"/>
          <w:sz w:val="20"/>
          <w:szCs w:val="20"/>
        </w:rPr>
        <w:t>Tekeda Ferguson, PhD</w:t>
      </w:r>
    </w:p>
    <w:p w:rsidR="00F30DFA" w:rsidRPr="00F2106F" w:rsidRDefault="00F30DFA" w:rsidP="00F30DFA">
      <w:pPr>
        <w:rPr>
          <w:rFonts w:cs="Times New Roman"/>
          <w:sz w:val="20"/>
          <w:szCs w:val="20"/>
        </w:rPr>
      </w:pPr>
      <w:r w:rsidRPr="00F2106F">
        <w:rPr>
          <w:rFonts w:cs="Times New Roman"/>
          <w:sz w:val="20"/>
          <w:szCs w:val="20"/>
        </w:rPr>
        <w:t>Louisiana State University Health Sciences Center</w:t>
      </w:r>
      <w:r w:rsidRPr="00F2106F" w:rsidDel="00796AE1">
        <w:rPr>
          <w:rFonts w:cs="Times New Roman"/>
          <w:sz w:val="20"/>
          <w:szCs w:val="20"/>
        </w:rPr>
        <w:t xml:space="preserve"> </w:t>
      </w:r>
    </w:p>
    <w:p w:rsidR="00F30DFA" w:rsidRPr="00F2106F" w:rsidRDefault="00F30DFA" w:rsidP="00F30DFA">
      <w:pPr>
        <w:rPr>
          <w:rFonts w:cs="Times New Roman"/>
          <w:sz w:val="20"/>
          <w:szCs w:val="20"/>
        </w:rPr>
      </w:pPr>
      <w:r w:rsidRPr="00F2106F">
        <w:rPr>
          <w:rFonts w:cs="Times New Roman"/>
          <w:sz w:val="20"/>
          <w:szCs w:val="20"/>
        </w:rPr>
        <w:t>School of Public Health, LEC 3</w:t>
      </w:r>
      <w:r w:rsidRPr="00F2106F">
        <w:rPr>
          <w:rFonts w:cs="Times New Roman"/>
          <w:sz w:val="20"/>
          <w:szCs w:val="20"/>
          <w:vertAlign w:val="superscript"/>
        </w:rPr>
        <w:t>rd</w:t>
      </w:r>
      <w:r w:rsidRPr="00F2106F">
        <w:rPr>
          <w:rFonts w:cs="Times New Roman"/>
          <w:sz w:val="20"/>
          <w:szCs w:val="20"/>
        </w:rPr>
        <w:t xml:space="preserve"> Floor</w:t>
      </w:r>
    </w:p>
    <w:p w:rsidR="00F30DFA" w:rsidRPr="00F2106F" w:rsidRDefault="00F30DFA" w:rsidP="00F30DFA">
      <w:pPr>
        <w:rPr>
          <w:rFonts w:cs="Times New Roman"/>
          <w:sz w:val="20"/>
          <w:szCs w:val="20"/>
        </w:rPr>
      </w:pPr>
      <w:r w:rsidRPr="00F2106F">
        <w:rPr>
          <w:rFonts w:cs="Times New Roman"/>
          <w:sz w:val="20"/>
          <w:szCs w:val="20"/>
        </w:rPr>
        <w:t>New Orleans, Louisiana 70112</w:t>
      </w:r>
    </w:p>
    <w:p w:rsidR="00F30DFA" w:rsidRPr="00F2106F" w:rsidRDefault="00F30DFA" w:rsidP="00F30DFA">
      <w:pPr>
        <w:rPr>
          <w:rFonts w:cs="Times New Roman"/>
          <w:sz w:val="20"/>
          <w:szCs w:val="20"/>
        </w:rPr>
      </w:pPr>
      <w:r w:rsidRPr="00F2106F">
        <w:rPr>
          <w:rFonts w:cs="Times New Roman"/>
          <w:sz w:val="20"/>
          <w:szCs w:val="20"/>
        </w:rPr>
        <w:t xml:space="preserve">Email: </w:t>
      </w:r>
      <w:hyperlink r:id="rId4" w:history="1">
        <w:r w:rsidRPr="00F2106F">
          <w:rPr>
            <w:rStyle w:val="Hyperlink"/>
            <w:rFonts w:cs="Times New Roman"/>
            <w:sz w:val="20"/>
            <w:szCs w:val="20"/>
          </w:rPr>
          <w:t>Tferg4@lsuhsc.edu</w:t>
        </w:r>
      </w:hyperlink>
    </w:p>
    <w:p w:rsidR="00F30DFA" w:rsidRPr="00F2106F" w:rsidRDefault="00F30DFA" w:rsidP="00F30DFA">
      <w:pPr>
        <w:rPr>
          <w:rFonts w:cs="Times New Roman"/>
          <w:sz w:val="20"/>
          <w:szCs w:val="20"/>
        </w:rPr>
      </w:pPr>
      <w:r w:rsidRPr="00F2106F">
        <w:rPr>
          <w:rFonts w:cs="Times New Roman"/>
          <w:sz w:val="20"/>
          <w:szCs w:val="20"/>
        </w:rPr>
        <w:t>Telephone: 504-568-6036</w:t>
      </w:r>
    </w:p>
    <w:p w:rsidR="00F30DFA" w:rsidRPr="00F2106F" w:rsidRDefault="00F30DFA" w:rsidP="00F30DFA">
      <w:pPr>
        <w:rPr>
          <w:rFonts w:cs="Times New Roman"/>
          <w:sz w:val="20"/>
          <w:szCs w:val="20"/>
        </w:rPr>
      </w:pPr>
      <w:r w:rsidRPr="00F2106F">
        <w:rPr>
          <w:rFonts w:cs="Times New Roman"/>
          <w:sz w:val="20"/>
          <w:szCs w:val="20"/>
        </w:rPr>
        <w:t>Fax: 504-568-5701</w:t>
      </w:r>
    </w:p>
    <w:p w:rsidR="00F30DFA" w:rsidRDefault="00F30DFA" w:rsidP="00F30DFA">
      <w:pPr>
        <w:rPr>
          <w:rFonts w:cs="Times New Roman"/>
          <w:b/>
          <w:sz w:val="20"/>
          <w:szCs w:val="20"/>
        </w:rPr>
      </w:pPr>
    </w:p>
    <w:p w:rsidR="00807722" w:rsidRDefault="00807722" w:rsidP="00E32CC3">
      <w:pPr>
        <w:spacing w:after="160" w:line="259" w:lineRule="auto"/>
        <w:rPr>
          <w:b/>
          <w:sz w:val="20"/>
          <w:szCs w:val="20"/>
        </w:rPr>
      </w:pPr>
    </w:p>
    <w:p w:rsidR="00807722" w:rsidRDefault="00807722" w:rsidP="00E32CC3">
      <w:pPr>
        <w:spacing w:after="160" w:line="259" w:lineRule="auto"/>
        <w:rPr>
          <w:b/>
          <w:sz w:val="20"/>
          <w:szCs w:val="20"/>
        </w:rPr>
      </w:pPr>
    </w:p>
    <w:p w:rsidR="00912D03" w:rsidRDefault="00912D03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E32CC3" w:rsidRPr="008C3FF3" w:rsidRDefault="008C3FF3" w:rsidP="00E32CC3">
      <w:pPr>
        <w:spacing w:after="160" w:line="259" w:lineRule="auto"/>
        <w:rPr>
          <w:rFonts w:cs="Times New Roman"/>
          <w:sz w:val="20"/>
          <w:szCs w:val="20"/>
        </w:rPr>
      </w:pPr>
      <w:r w:rsidRPr="008C3FF3">
        <w:rPr>
          <w:rFonts w:cs="Times New Roman"/>
          <w:b/>
          <w:sz w:val="20"/>
          <w:szCs w:val="20"/>
        </w:rPr>
        <w:lastRenderedPageBreak/>
        <w:t>Online Resource</w:t>
      </w:r>
      <w:r w:rsidR="00E32CC3" w:rsidRPr="008C3FF3">
        <w:rPr>
          <w:rFonts w:cs="Times New Roman"/>
          <w:b/>
          <w:sz w:val="20"/>
          <w:szCs w:val="20"/>
        </w:rPr>
        <w:t xml:space="preserve"> 1</w:t>
      </w:r>
      <w:r w:rsidR="00E32CC3" w:rsidRPr="008C3FF3">
        <w:rPr>
          <w:rFonts w:cs="Times New Roman"/>
          <w:sz w:val="20"/>
          <w:szCs w:val="20"/>
        </w:rPr>
        <w:t xml:space="preserve">. </w:t>
      </w:r>
      <w:r w:rsidR="00F66441" w:rsidRPr="008C3FF3">
        <w:rPr>
          <w:rFonts w:cs="Times New Roman"/>
          <w:sz w:val="20"/>
          <w:szCs w:val="20"/>
        </w:rPr>
        <w:t>Formula used for c</w:t>
      </w:r>
      <w:r w:rsidR="00E32CC3" w:rsidRPr="008C3FF3">
        <w:rPr>
          <w:rFonts w:cs="Times New Roman"/>
          <w:sz w:val="20"/>
          <w:szCs w:val="20"/>
        </w:rPr>
        <w:t>alculation of chemotherapy relative dose intensity.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</w:tblGrid>
      <w:tr w:rsidR="00F66441" w:rsidRPr="008C3FF3" w:rsidTr="00DF2D88">
        <w:tc>
          <w:tcPr>
            <w:tcW w:w="3865" w:type="dxa"/>
          </w:tcPr>
          <w:p w:rsidR="00F66441" w:rsidRPr="008C3FF3" w:rsidRDefault="00F66441" w:rsidP="00F66441">
            <w:pPr>
              <w:spacing w:line="480" w:lineRule="auto"/>
              <w:ind w:firstLine="720"/>
              <w:jc w:val="both"/>
              <w:rPr>
                <w:rFonts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RDI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ADI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SDI</m:t>
                    </m:r>
                  </m:den>
                </m:f>
              </m:oMath>
            </m:oMathPara>
          </w:p>
        </w:tc>
      </w:tr>
      <w:tr w:rsidR="00F66441" w:rsidRPr="008C3FF3" w:rsidTr="00DF2D88">
        <w:tc>
          <w:tcPr>
            <w:tcW w:w="3865" w:type="dxa"/>
          </w:tcPr>
          <w:p w:rsidR="00F66441" w:rsidRPr="008C3FF3" w:rsidRDefault="00F66441" w:rsidP="00F66441">
            <w:pPr>
              <w:spacing w:line="480" w:lineRule="auto"/>
              <w:ind w:firstLine="720"/>
              <w:jc w:val="both"/>
              <w:rPr>
                <w:rFonts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ADI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Dose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Actual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Time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Actual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×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BSA</m:t>
                    </m:r>
                  </m:den>
                </m:f>
              </m:oMath>
            </m:oMathPara>
          </w:p>
        </w:tc>
      </w:tr>
      <w:tr w:rsidR="00F66441" w:rsidRPr="008C3FF3" w:rsidTr="00DF2D88">
        <w:tc>
          <w:tcPr>
            <w:tcW w:w="3865" w:type="dxa"/>
          </w:tcPr>
          <w:p w:rsidR="00F66441" w:rsidRPr="008C3FF3" w:rsidRDefault="00F66441" w:rsidP="00F66441">
            <w:pPr>
              <w:spacing w:line="480" w:lineRule="auto"/>
              <w:ind w:firstLine="720"/>
              <w:jc w:val="both"/>
              <w:rPr>
                <w:rFonts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SDI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Dose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Standard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Time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Standard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×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BSA</m:t>
                    </m:r>
                  </m:den>
                </m:f>
              </m:oMath>
            </m:oMathPara>
          </w:p>
        </w:tc>
      </w:tr>
      <w:tr w:rsidR="00F66441" w:rsidRPr="008C3FF3" w:rsidTr="00DF2D88">
        <w:tc>
          <w:tcPr>
            <w:tcW w:w="3865" w:type="dxa"/>
          </w:tcPr>
          <w:p w:rsidR="00F66441" w:rsidRPr="008C3FF3" w:rsidRDefault="00F66441" w:rsidP="00F66441">
            <w:pPr>
              <w:spacing w:line="480" w:lineRule="auto"/>
              <w:ind w:firstLine="720"/>
              <w:jc w:val="both"/>
              <w:rPr>
                <w:rFonts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BSA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Height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 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cm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×</m:t>
                        </m:r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Weight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 (</m:t>
                        </m:r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kg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)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3600</m:t>
                        </m:r>
                      </m:den>
                    </m:f>
                  </m:e>
                </m:rad>
              </m:oMath>
            </m:oMathPara>
          </w:p>
        </w:tc>
      </w:tr>
    </w:tbl>
    <w:p w:rsidR="00F66441" w:rsidRPr="008C3FF3" w:rsidRDefault="00F66441" w:rsidP="00F66441">
      <w:pPr>
        <w:spacing w:after="160" w:line="259" w:lineRule="auto"/>
        <w:rPr>
          <w:rFonts w:cs="Times New Roman"/>
          <w:sz w:val="20"/>
          <w:szCs w:val="20"/>
        </w:rPr>
      </w:pPr>
      <w:r w:rsidRPr="008C3FF3">
        <w:rPr>
          <w:rFonts w:cs="Times New Roman"/>
          <w:sz w:val="20"/>
          <w:szCs w:val="20"/>
        </w:rPr>
        <w:t>Abbreviations: RDI</w:t>
      </w:r>
      <w:r w:rsidR="008B5291" w:rsidRPr="008C3FF3">
        <w:rPr>
          <w:rFonts w:cs="Times New Roman"/>
          <w:sz w:val="20"/>
          <w:szCs w:val="20"/>
        </w:rPr>
        <w:t>:</w:t>
      </w:r>
      <w:r w:rsidRPr="008C3FF3">
        <w:rPr>
          <w:rFonts w:cs="Times New Roman"/>
          <w:sz w:val="20"/>
          <w:szCs w:val="20"/>
        </w:rPr>
        <w:t xml:space="preserve"> relative dose intensity; ADI</w:t>
      </w:r>
      <w:r w:rsidR="008B5291" w:rsidRPr="008C3FF3">
        <w:rPr>
          <w:rFonts w:cs="Times New Roman"/>
          <w:sz w:val="20"/>
          <w:szCs w:val="20"/>
        </w:rPr>
        <w:t>:</w:t>
      </w:r>
      <w:r w:rsidRPr="008C3FF3">
        <w:rPr>
          <w:rFonts w:cs="Times New Roman"/>
          <w:sz w:val="20"/>
          <w:szCs w:val="20"/>
        </w:rPr>
        <w:t xml:space="preserve"> actually received dose intensity; SDI</w:t>
      </w:r>
      <w:r w:rsidR="008B5291" w:rsidRPr="008C3FF3">
        <w:rPr>
          <w:rFonts w:cs="Times New Roman"/>
          <w:sz w:val="20"/>
          <w:szCs w:val="20"/>
        </w:rPr>
        <w:t>:</w:t>
      </w:r>
      <w:r w:rsidRPr="008C3FF3">
        <w:rPr>
          <w:rFonts w:cs="Times New Roman"/>
          <w:sz w:val="20"/>
          <w:szCs w:val="20"/>
        </w:rPr>
        <w:t xml:space="preserve"> standard dose intensity; BSA</w:t>
      </w:r>
      <w:r w:rsidR="008B5291" w:rsidRPr="008C3FF3">
        <w:rPr>
          <w:rFonts w:cs="Times New Roman"/>
          <w:sz w:val="20"/>
          <w:szCs w:val="20"/>
        </w:rPr>
        <w:t>:</w:t>
      </w:r>
      <w:r w:rsidRPr="008C3FF3">
        <w:rPr>
          <w:rFonts w:cs="Times New Roman"/>
          <w:sz w:val="20"/>
          <w:szCs w:val="20"/>
        </w:rPr>
        <w:t xml:space="preserve"> body surface area.</w:t>
      </w:r>
    </w:p>
    <w:p w:rsidR="00E32CC3" w:rsidRPr="008C3FF3" w:rsidRDefault="00F66441" w:rsidP="00F66441">
      <w:pPr>
        <w:spacing w:after="160" w:line="259" w:lineRule="auto"/>
        <w:rPr>
          <w:rFonts w:cs="Times New Roman"/>
          <w:b/>
          <w:sz w:val="20"/>
          <w:szCs w:val="20"/>
        </w:rPr>
      </w:pPr>
      <w:r w:rsidRPr="008C3FF3">
        <w:rPr>
          <w:rFonts w:cs="Times New Roman"/>
          <w:sz w:val="20"/>
          <w:szCs w:val="20"/>
        </w:rPr>
        <w:t xml:space="preserve">Notes: </w:t>
      </w:r>
      <w:proofErr w:type="spellStart"/>
      <w:r w:rsidR="00E32CC3" w:rsidRPr="008C3FF3">
        <w:rPr>
          <w:rFonts w:cs="Times New Roman"/>
          <w:sz w:val="20"/>
          <w:szCs w:val="20"/>
        </w:rPr>
        <w:t>Dose</w:t>
      </w:r>
      <w:r w:rsidR="00E32CC3" w:rsidRPr="008C3FF3">
        <w:rPr>
          <w:rFonts w:cs="Times New Roman"/>
          <w:sz w:val="20"/>
          <w:szCs w:val="20"/>
          <w:vertAlign w:val="subscript"/>
        </w:rPr>
        <w:t>actual</w:t>
      </w:r>
      <w:proofErr w:type="spellEnd"/>
      <w:r w:rsidR="00E32CC3" w:rsidRPr="008C3FF3">
        <w:rPr>
          <w:rFonts w:cs="Times New Roman"/>
          <w:sz w:val="20"/>
          <w:szCs w:val="20"/>
        </w:rPr>
        <w:t xml:space="preserve"> represents the total dosage patients actually received and </w:t>
      </w:r>
      <w:proofErr w:type="spellStart"/>
      <w:r w:rsidR="00E32CC3" w:rsidRPr="008C3FF3">
        <w:rPr>
          <w:rFonts w:cs="Times New Roman"/>
          <w:sz w:val="20"/>
          <w:szCs w:val="20"/>
        </w:rPr>
        <w:t>Dose</w:t>
      </w:r>
      <w:r w:rsidR="00E32CC3" w:rsidRPr="008C3FF3">
        <w:rPr>
          <w:rFonts w:cs="Times New Roman"/>
          <w:sz w:val="20"/>
          <w:szCs w:val="20"/>
          <w:vertAlign w:val="subscript"/>
        </w:rPr>
        <w:t>standard</w:t>
      </w:r>
      <w:proofErr w:type="spellEnd"/>
      <w:r w:rsidR="00E32CC3" w:rsidRPr="008C3FF3">
        <w:rPr>
          <w:rFonts w:cs="Times New Roman"/>
          <w:sz w:val="20"/>
          <w:szCs w:val="20"/>
        </w:rPr>
        <w:t xml:space="preserve"> represents the total dosage required by standard regimens. </w:t>
      </w:r>
      <w:proofErr w:type="spellStart"/>
      <w:r w:rsidR="00E32CC3" w:rsidRPr="008C3FF3">
        <w:rPr>
          <w:rFonts w:cs="Times New Roman"/>
          <w:sz w:val="20"/>
          <w:szCs w:val="20"/>
        </w:rPr>
        <w:t>Time</w:t>
      </w:r>
      <w:r w:rsidR="00E32CC3" w:rsidRPr="008C3FF3">
        <w:rPr>
          <w:rFonts w:cs="Times New Roman"/>
          <w:sz w:val="20"/>
          <w:szCs w:val="20"/>
          <w:vertAlign w:val="subscript"/>
        </w:rPr>
        <w:t>actual</w:t>
      </w:r>
      <w:proofErr w:type="spellEnd"/>
      <w:r w:rsidR="00E32CC3" w:rsidRPr="008C3FF3">
        <w:rPr>
          <w:rFonts w:cs="Times New Roman"/>
          <w:sz w:val="20"/>
          <w:szCs w:val="20"/>
        </w:rPr>
        <w:t xml:space="preserve"> </w:t>
      </w:r>
      <w:proofErr w:type="gramStart"/>
      <w:r w:rsidR="00E32CC3" w:rsidRPr="008C3FF3">
        <w:rPr>
          <w:rFonts w:cs="Times New Roman"/>
          <w:sz w:val="20"/>
          <w:szCs w:val="20"/>
        </w:rPr>
        <w:t>is the total time in week patients used</w:t>
      </w:r>
      <w:proofErr w:type="gramEnd"/>
      <w:r w:rsidR="00E32CC3" w:rsidRPr="008C3FF3">
        <w:rPr>
          <w:rFonts w:cs="Times New Roman"/>
          <w:sz w:val="20"/>
          <w:szCs w:val="20"/>
        </w:rPr>
        <w:t xml:space="preserve"> to receive the therapy and </w:t>
      </w:r>
      <w:proofErr w:type="spellStart"/>
      <w:r w:rsidR="00E32CC3" w:rsidRPr="008C3FF3">
        <w:rPr>
          <w:rFonts w:cs="Times New Roman"/>
          <w:sz w:val="20"/>
          <w:szCs w:val="20"/>
        </w:rPr>
        <w:t>Time</w:t>
      </w:r>
      <w:r w:rsidR="00E32CC3" w:rsidRPr="008C3FF3">
        <w:rPr>
          <w:rFonts w:cs="Times New Roman"/>
          <w:sz w:val="20"/>
          <w:szCs w:val="20"/>
          <w:vertAlign w:val="subscript"/>
        </w:rPr>
        <w:t>standard</w:t>
      </w:r>
      <w:proofErr w:type="spellEnd"/>
      <w:r w:rsidR="00E32CC3" w:rsidRPr="008C3FF3">
        <w:rPr>
          <w:rFonts w:cs="Times New Roman"/>
          <w:sz w:val="20"/>
          <w:szCs w:val="20"/>
        </w:rPr>
        <w:t xml:space="preserve"> is the total time including all planned cycles recommended by standard regimens. If a patient received fewer cycles than recommended standard cycles, for the missed cycles, the dose </w:t>
      </w:r>
      <w:proofErr w:type="gramStart"/>
      <w:r w:rsidR="00E32CC3" w:rsidRPr="008C3FF3">
        <w:rPr>
          <w:rFonts w:cs="Times New Roman"/>
          <w:sz w:val="20"/>
          <w:szCs w:val="20"/>
        </w:rPr>
        <w:t>was counted</w:t>
      </w:r>
      <w:proofErr w:type="gramEnd"/>
      <w:r w:rsidR="00E32CC3" w:rsidRPr="008C3FF3">
        <w:rPr>
          <w:rFonts w:cs="Times New Roman"/>
          <w:sz w:val="20"/>
          <w:szCs w:val="20"/>
        </w:rPr>
        <w:t xml:space="preserve"> as zero and time was counted as time required by standard regimen. RDI </w:t>
      </w:r>
      <w:proofErr w:type="gramStart"/>
      <w:r w:rsidR="00E32CC3" w:rsidRPr="008C3FF3">
        <w:rPr>
          <w:rFonts w:cs="Times New Roman"/>
          <w:sz w:val="20"/>
          <w:szCs w:val="20"/>
        </w:rPr>
        <w:t>was calculated for each drug and then averaged across all the chemotherapeutic agents in the regimen</w:t>
      </w:r>
      <w:proofErr w:type="gramEnd"/>
      <w:r w:rsidR="00E32CC3" w:rsidRPr="008C3FF3">
        <w:rPr>
          <w:rFonts w:cs="Times New Roman"/>
          <w:sz w:val="20"/>
          <w:szCs w:val="20"/>
        </w:rPr>
        <w:t>. If the RDI is higher than 100</w:t>
      </w:r>
      <w:proofErr w:type="gramStart"/>
      <w:r w:rsidR="00E32CC3" w:rsidRPr="008C3FF3">
        <w:rPr>
          <w:rFonts w:cs="Times New Roman"/>
          <w:sz w:val="20"/>
          <w:szCs w:val="20"/>
        </w:rPr>
        <w:t>% for certain</w:t>
      </w:r>
      <w:proofErr w:type="gramEnd"/>
      <w:r w:rsidR="00E32CC3" w:rsidRPr="008C3FF3">
        <w:rPr>
          <w:rFonts w:cs="Times New Roman"/>
          <w:sz w:val="20"/>
          <w:szCs w:val="20"/>
        </w:rPr>
        <w:t xml:space="preserve"> drug, the RDI for this agent was counted as 100%.</w:t>
      </w:r>
    </w:p>
    <w:p w:rsidR="00E32CC3" w:rsidRDefault="00E32CC3" w:rsidP="00E32CC3">
      <w:pPr>
        <w:rPr>
          <w:rFonts w:cs="Times New Roman"/>
          <w:sz w:val="20"/>
          <w:szCs w:val="20"/>
        </w:rPr>
      </w:pPr>
    </w:p>
    <w:p w:rsidR="00912D03" w:rsidRDefault="00912D03">
      <w:pPr>
        <w:spacing w:after="160" w:line="259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br w:type="page"/>
      </w:r>
    </w:p>
    <w:p w:rsidR="00912D03" w:rsidRDefault="008C3FF3" w:rsidP="00912D03">
      <w:pPr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lastRenderedPageBreak/>
        <w:t>Online Resource 2</w:t>
      </w:r>
      <w:r w:rsidR="00912D03">
        <w:rPr>
          <w:rFonts w:cs="Times New Roman"/>
          <w:sz w:val="20"/>
          <w:szCs w:val="20"/>
        </w:rPr>
        <w:t xml:space="preserve">. </w:t>
      </w:r>
      <w:proofErr w:type="gramStart"/>
      <w:r w:rsidR="00912D03" w:rsidRPr="0099390D">
        <w:rPr>
          <w:rFonts w:cs="Times New Roman"/>
          <w:sz w:val="20"/>
          <w:szCs w:val="20"/>
        </w:rPr>
        <w:t xml:space="preserve">Sensitivity analysis - </w:t>
      </w:r>
      <w:r w:rsidR="00912D03">
        <w:rPr>
          <w:rFonts w:cs="Times New Roman"/>
          <w:sz w:val="20"/>
          <w:szCs w:val="20"/>
        </w:rPr>
        <w:t>I</w:t>
      </w:r>
      <w:r w:rsidR="00912D03" w:rsidRPr="008F1FCC">
        <w:rPr>
          <w:rFonts w:cs="Times New Roman"/>
          <w:sz w:val="20"/>
          <w:szCs w:val="20"/>
        </w:rPr>
        <w:t xml:space="preserve">nverse probability treatment weighted (IPTW) </w:t>
      </w:r>
      <w:proofErr w:type="spellStart"/>
      <w:r w:rsidR="00912D03" w:rsidRPr="008F1FCC">
        <w:rPr>
          <w:rFonts w:cs="Times New Roman"/>
          <w:sz w:val="20"/>
          <w:szCs w:val="20"/>
        </w:rPr>
        <w:t>adjusted</w:t>
      </w:r>
      <w:r w:rsidR="00912D03" w:rsidRPr="008F1FCC">
        <w:rPr>
          <w:rFonts w:cs="Times New Roman"/>
          <w:sz w:val="20"/>
          <w:szCs w:val="20"/>
          <w:vertAlign w:val="superscript"/>
        </w:rPr>
        <w:t>a</w:t>
      </w:r>
      <w:proofErr w:type="spellEnd"/>
      <w:r w:rsidR="00912D03" w:rsidRPr="008F1FCC">
        <w:rPr>
          <w:rFonts w:cs="Times New Roman"/>
          <w:sz w:val="20"/>
          <w:szCs w:val="20"/>
        </w:rPr>
        <w:t xml:space="preserve"> hazard ratios</w:t>
      </w:r>
      <w:r w:rsidR="00912D03">
        <w:rPr>
          <w:rFonts w:cs="Times New Roman"/>
          <w:sz w:val="20"/>
          <w:szCs w:val="20"/>
        </w:rPr>
        <w:t xml:space="preserve"> (HR)</w:t>
      </w:r>
      <w:r w:rsidR="00912D03" w:rsidRPr="008F1FCC">
        <w:rPr>
          <w:rFonts w:cs="Times New Roman"/>
          <w:sz w:val="20"/>
          <w:szCs w:val="20"/>
        </w:rPr>
        <w:t xml:space="preserve"> for time to </w:t>
      </w:r>
      <w:r w:rsidR="00BD5B79">
        <w:rPr>
          <w:rFonts w:cs="Times New Roman"/>
          <w:sz w:val="20"/>
          <w:szCs w:val="20"/>
        </w:rPr>
        <w:t>cause</w:t>
      </w:r>
      <w:r w:rsidR="00912D03" w:rsidRPr="008F1FCC">
        <w:rPr>
          <w:rFonts w:cs="Times New Roman"/>
          <w:sz w:val="20"/>
          <w:szCs w:val="20"/>
        </w:rPr>
        <w:t xml:space="preserve">-specific and overall survival for different cutoff points of relative dose intensity (RDI) among stage I-III </w:t>
      </w:r>
      <w:r w:rsidR="001E41E8">
        <w:rPr>
          <w:rFonts w:cs="Times New Roman"/>
          <w:sz w:val="20"/>
          <w:szCs w:val="20"/>
        </w:rPr>
        <w:t xml:space="preserve">estrogen receptor or progesterone receptor positive and human epidermal growth factor 2 receptor negative (ER+/PR+, HER2-) </w:t>
      </w:r>
      <w:bookmarkStart w:id="0" w:name="_GoBack"/>
      <w:bookmarkEnd w:id="0"/>
      <w:r w:rsidR="00912D03" w:rsidRPr="008F1FCC">
        <w:rPr>
          <w:rFonts w:cs="Times New Roman"/>
          <w:sz w:val="20"/>
          <w:szCs w:val="20"/>
        </w:rPr>
        <w:t>and triple</w:t>
      </w:r>
      <w:r w:rsidR="001E41E8">
        <w:rPr>
          <w:rFonts w:cs="Times New Roman"/>
          <w:sz w:val="20"/>
          <w:szCs w:val="20"/>
        </w:rPr>
        <w:t>-</w:t>
      </w:r>
      <w:r w:rsidR="00912D03" w:rsidRPr="008F1FCC">
        <w:rPr>
          <w:rFonts w:cs="Times New Roman"/>
          <w:sz w:val="20"/>
          <w:szCs w:val="20"/>
        </w:rPr>
        <w:t xml:space="preserve">negative breast cancer </w:t>
      </w:r>
      <w:r w:rsidR="00912D03">
        <w:rPr>
          <w:rFonts w:cs="Times New Roman"/>
          <w:sz w:val="20"/>
          <w:szCs w:val="20"/>
        </w:rPr>
        <w:t xml:space="preserve">patients whose breast cancer was diagnosed as </w:t>
      </w:r>
      <w:r w:rsidR="00B40B8C">
        <w:rPr>
          <w:rFonts w:cs="Times New Roman"/>
          <w:sz w:val="20"/>
          <w:szCs w:val="20"/>
        </w:rPr>
        <w:t xml:space="preserve">the only or the first </w:t>
      </w:r>
      <w:r w:rsidR="00912D03">
        <w:rPr>
          <w:rFonts w:cs="Times New Roman"/>
          <w:sz w:val="20"/>
          <w:szCs w:val="20"/>
        </w:rPr>
        <w:t>primary tumor.</w:t>
      </w:r>
      <w:proofErr w:type="gramEnd"/>
    </w:p>
    <w:p w:rsidR="00912D03" w:rsidRDefault="00912D03" w:rsidP="00912D03">
      <w:pPr>
        <w:rPr>
          <w:rFonts w:cs="Times New Roman"/>
          <w:sz w:val="20"/>
          <w:szCs w:val="20"/>
        </w:rPr>
      </w:pPr>
    </w:p>
    <w:tbl>
      <w:tblPr>
        <w:tblStyle w:val="TableGrid"/>
        <w:tblW w:w="9180" w:type="dxa"/>
        <w:tblInd w:w="-1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630"/>
        <w:gridCol w:w="900"/>
        <w:gridCol w:w="1980"/>
        <w:gridCol w:w="900"/>
        <w:gridCol w:w="1800"/>
        <w:gridCol w:w="900"/>
      </w:tblGrid>
      <w:tr w:rsidR="00912D03" w:rsidRPr="0099390D" w:rsidTr="003B7BE5">
        <w:tc>
          <w:tcPr>
            <w:tcW w:w="2070" w:type="dxa"/>
            <w:vMerge w:val="restart"/>
          </w:tcPr>
          <w:p w:rsidR="00912D03" w:rsidRPr="0099390D" w:rsidRDefault="00912D03" w:rsidP="003B7B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390D">
              <w:rPr>
                <w:rFonts w:cs="Times New Roman"/>
                <w:sz w:val="20"/>
                <w:szCs w:val="20"/>
              </w:rPr>
              <w:t>RDI</w:t>
            </w:r>
          </w:p>
        </w:tc>
        <w:tc>
          <w:tcPr>
            <w:tcW w:w="630" w:type="dxa"/>
            <w:vMerge w:val="restart"/>
          </w:tcPr>
          <w:p w:rsidR="00912D03" w:rsidRPr="0099390D" w:rsidRDefault="00912D03" w:rsidP="003B7BE5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99390D">
              <w:rPr>
                <w:rFonts w:cs="Times New Roman"/>
                <w:sz w:val="20"/>
                <w:szCs w:val="20"/>
              </w:rPr>
              <w:t>n</w:t>
            </w:r>
            <w:r w:rsidRPr="0099390D">
              <w:rPr>
                <w:rFonts w:cs="Times New Roman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900" w:type="dxa"/>
            <w:vMerge w:val="restart"/>
          </w:tcPr>
          <w:p w:rsidR="00912D03" w:rsidRPr="0099390D" w:rsidRDefault="00912D03" w:rsidP="003B7B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390D">
              <w:rPr>
                <w:rFonts w:cs="Times New Roman"/>
                <w:sz w:val="20"/>
                <w:szCs w:val="20"/>
              </w:rPr>
              <w:t>% of reduced RDI</w:t>
            </w:r>
          </w:p>
        </w:tc>
        <w:tc>
          <w:tcPr>
            <w:tcW w:w="2880" w:type="dxa"/>
            <w:gridSpan w:val="2"/>
          </w:tcPr>
          <w:p w:rsidR="00912D03" w:rsidRPr="0099390D" w:rsidRDefault="00310FC1" w:rsidP="00310FC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Cause-</w:t>
            </w:r>
            <w:r w:rsidR="00912D03" w:rsidRPr="0099390D">
              <w:rPr>
                <w:rFonts w:cs="Times New Roman"/>
                <w:b/>
                <w:sz w:val="20"/>
                <w:szCs w:val="20"/>
              </w:rPr>
              <w:t>specific survival</w:t>
            </w:r>
          </w:p>
        </w:tc>
        <w:tc>
          <w:tcPr>
            <w:tcW w:w="2700" w:type="dxa"/>
            <w:gridSpan w:val="2"/>
          </w:tcPr>
          <w:p w:rsidR="00912D03" w:rsidRPr="0099390D" w:rsidRDefault="00912D03" w:rsidP="003B7BE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9390D">
              <w:rPr>
                <w:rFonts w:cs="Times New Roman"/>
                <w:b/>
                <w:sz w:val="20"/>
                <w:szCs w:val="20"/>
              </w:rPr>
              <w:t>Overall survival</w:t>
            </w:r>
          </w:p>
        </w:tc>
      </w:tr>
      <w:tr w:rsidR="00912D03" w:rsidRPr="0099390D" w:rsidTr="003B7BE5">
        <w:tc>
          <w:tcPr>
            <w:tcW w:w="2070" w:type="dxa"/>
            <w:vMerge/>
          </w:tcPr>
          <w:p w:rsidR="00912D03" w:rsidRPr="0099390D" w:rsidRDefault="00912D03" w:rsidP="003B7B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912D03" w:rsidRPr="0099390D" w:rsidRDefault="00912D03" w:rsidP="003B7BE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912D03" w:rsidRPr="0099390D" w:rsidRDefault="00912D03" w:rsidP="003B7BE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12D03" w:rsidRPr="0099390D" w:rsidRDefault="00912D03" w:rsidP="003B7B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390D">
              <w:rPr>
                <w:rFonts w:cs="Times New Roman"/>
                <w:sz w:val="20"/>
                <w:szCs w:val="20"/>
              </w:rPr>
              <w:t>Adjusted HR</w:t>
            </w:r>
          </w:p>
        </w:tc>
        <w:tc>
          <w:tcPr>
            <w:tcW w:w="900" w:type="dxa"/>
          </w:tcPr>
          <w:p w:rsidR="00912D03" w:rsidRPr="0099390D" w:rsidRDefault="00912D03" w:rsidP="003B7BE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</w:t>
            </w:r>
          </w:p>
        </w:tc>
        <w:tc>
          <w:tcPr>
            <w:tcW w:w="1800" w:type="dxa"/>
          </w:tcPr>
          <w:p w:rsidR="00912D03" w:rsidRPr="0099390D" w:rsidRDefault="00912D03" w:rsidP="003B7B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390D">
              <w:rPr>
                <w:rFonts w:cs="Times New Roman"/>
                <w:sz w:val="20"/>
                <w:szCs w:val="20"/>
              </w:rPr>
              <w:t>Adjusted HR</w:t>
            </w:r>
          </w:p>
        </w:tc>
        <w:tc>
          <w:tcPr>
            <w:tcW w:w="900" w:type="dxa"/>
          </w:tcPr>
          <w:p w:rsidR="00912D03" w:rsidRPr="0099390D" w:rsidRDefault="00912D03" w:rsidP="003B7BE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</w:t>
            </w:r>
          </w:p>
        </w:tc>
      </w:tr>
      <w:tr w:rsidR="00912D03" w:rsidRPr="0099390D" w:rsidTr="003B7BE5">
        <w:tc>
          <w:tcPr>
            <w:tcW w:w="9180" w:type="dxa"/>
            <w:gridSpan w:val="7"/>
            <w:tcBorders>
              <w:bottom w:val="single" w:sz="4" w:space="0" w:color="auto"/>
            </w:tcBorders>
          </w:tcPr>
          <w:p w:rsidR="00912D03" w:rsidRPr="0099390D" w:rsidRDefault="00A66F7D" w:rsidP="003B7BE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ER+/PR+, HER2-</w:t>
            </w:r>
            <w:r w:rsidR="00912D03">
              <w:rPr>
                <w:rFonts w:cs="Times New Roman"/>
                <w:b/>
                <w:sz w:val="20"/>
                <w:szCs w:val="20"/>
              </w:rPr>
              <w:t xml:space="preserve"> (N=453)</w:t>
            </w:r>
          </w:p>
        </w:tc>
      </w:tr>
      <w:tr w:rsidR="00912D03" w:rsidRPr="0099390D" w:rsidTr="003B7BE5">
        <w:tc>
          <w:tcPr>
            <w:tcW w:w="2070" w:type="dxa"/>
            <w:tcBorders>
              <w:bottom w:val="nil"/>
            </w:tcBorders>
          </w:tcPr>
          <w:p w:rsidR="00912D03" w:rsidRPr="0099390D" w:rsidRDefault="00912D03" w:rsidP="003B7BE5">
            <w:pPr>
              <w:rPr>
                <w:rFonts w:cs="Times New Roman"/>
                <w:sz w:val="20"/>
                <w:szCs w:val="20"/>
              </w:rPr>
            </w:pPr>
            <w:r w:rsidRPr="0099390D">
              <w:rPr>
                <w:rFonts w:cs="Times New Roman"/>
                <w:sz w:val="20"/>
                <w:szCs w:val="20"/>
              </w:rPr>
              <w:t>RDI&lt;95% vs. ≥95%</w:t>
            </w:r>
          </w:p>
        </w:tc>
        <w:tc>
          <w:tcPr>
            <w:tcW w:w="630" w:type="dxa"/>
            <w:tcBorders>
              <w:bottom w:val="nil"/>
            </w:tcBorders>
          </w:tcPr>
          <w:p w:rsidR="00912D03" w:rsidRPr="0099390D" w:rsidRDefault="00912D03" w:rsidP="004C1F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390D">
              <w:rPr>
                <w:rFonts w:cs="Times New Roman"/>
                <w:sz w:val="20"/>
                <w:szCs w:val="20"/>
              </w:rPr>
              <w:t>42</w:t>
            </w:r>
            <w:r w:rsidR="004C1F75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bottom w:val="nil"/>
            </w:tcBorders>
          </w:tcPr>
          <w:p w:rsidR="00912D03" w:rsidRPr="0099390D" w:rsidRDefault="00912D03" w:rsidP="00E415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390D">
              <w:rPr>
                <w:rFonts w:cs="Times New Roman"/>
                <w:sz w:val="20"/>
                <w:szCs w:val="20"/>
              </w:rPr>
              <w:t>56.</w:t>
            </w:r>
            <w:r w:rsidR="00E41575">
              <w:rPr>
                <w:rFonts w:cs="Times New Roman"/>
                <w:sz w:val="20"/>
                <w:szCs w:val="20"/>
              </w:rPr>
              <w:t>67</w:t>
            </w:r>
          </w:p>
        </w:tc>
        <w:tc>
          <w:tcPr>
            <w:tcW w:w="1980" w:type="dxa"/>
            <w:tcBorders>
              <w:bottom w:val="nil"/>
            </w:tcBorders>
          </w:tcPr>
          <w:p w:rsidR="00912D03" w:rsidRPr="0099390D" w:rsidRDefault="00912D03" w:rsidP="00E415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390D">
              <w:rPr>
                <w:rFonts w:cs="Times New Roman"/>
                <w:sz w:val="20"/>
                <w:szCs w:val="20"/>
              </w:rPr>
              <w:t>0.7</w:t>
            </w:r>
            <w:r w:rsidR="00E41575">
              <w:rPr>
                <w:rFonts w:cs="Times New Roman"/>
                <w:sz w:val="20"/>
                <w:szCs w:val="20"/>
              </w:rPr>
              <w:t>5</w:t>
            </w:r>
            <w:r w:rsidRPr="0099390D">
              <w:rPr>
                <w:rFonts w:cs="Times New Roman"/>
                <w:sz w:val="20"/>
                <w:szCs w:val="20"/>
              </w:rPr>
              <w:t xml:space="preserve"> (0.</w:t>
            </w:r>
            <w:r w:rsidR="00E41575">
              <w:rPr>
                <w:rFonts w:cs="Times New Roman"/>
                <w:sz w:val="20"/>
                <w:szCs w:val="20"/>
              </w:rPr>
              <w:t>37</w:t>
            </w:r>
            <w:r w:rsidRPr="0099390D">
              <w:rPr>
                <w:rFonts w:cs="Times New Roman"/>
                <w:sz w:val="20"/>
                <w:szCs w:val="20"/>
              </w:rPr>
              <w:t>, 1.</w:t>
            </w:r>
            <w:r w:rsidR="00E41575">
              <w:rPr>
                <w:rFonts w:cs="Times New Roman"/>
                <w:sz w:val="20"/>
                <w:szCs w:val="20"/>
              </w:rPr>
              <w:t>54</w:t>
            </w:r>
            <w:r w:rsidRPr="0099390D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bottom w:val="nil"/>
            </w:tcBorders>
          </w:tcPr>
          <w:p w:rsidR="00912D03" w:rsidRPr="0099390D" w:rsidRDefault="00912D03" w:rsidP="00E415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390D">
              <w:rPr>
                <w:rFonts w:cs="Times New Roman"/>
                <w:sz w:val="20"/>
                <w:szCs w:val="20"/>
              </w:rPr>
              <w:t>0.</w:t>
            </w:r>
            <w:r w:rsidR="00E41575">
              <w:rPr>
                <w:rFonts w:cs="Times New Roman"/>
                <w:sz w:val="20"/>
                <w:szCs w:val="20"/>
              </w:rPr>
              <w:t>43</w:t>
            </w:r>
          </w:p>
        </w:tc>
        <w:tc>
          <w:tcPr>
            <w:tcW w:w="1800" w:type="dxa"/>
            <w:tcBorders>
              <w:bottom w:val="nil"/>
            </w:tcBorders>
          </w:tcPr>
          <w:p w:rsidR="00912D03" w:rsidRPr="0099390D" w:rsidRDefault="005B0EB9" w:rsidP="005B0E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0.99</w:t>
            </w:r>
            <w:r w:rsidR="00912D03" w:rsidRPr="0099390D">
              <w:rPr>
                <w:rFonts w:cs="Times New Roman"/>
                <w:sz w:val="20"/>
                <w:szCs w:val="20"/>
              </w:rPr>
              <w:t xml:space="preserve"> (0.5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="00912D03" w:rsidRPr="0099390D">
              <w:rPr>
                <w:rFonts w:cs="Times New Roman"/>
                <w:sz w:val="20"/>
                <w:szCs w:val="20"/>
              </w:rPr>
              <w:t>, 1.</w:t>
            </w:r>
            <w:r>
              <w:rPr>
                <w:rFonts w:cs="Times New Roman"/>
                <w:sz w:val="20"/>
                <w:szCs w:val="20"/>
              </w:rPr>
              <w:t>85</w:t>
            </w:r>
            <w:r w:rsidR="00912D03" w:rsidRPr="0099390D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bottom w:val="nil"/>
            </w:tcBorders>
          </w:tcPr>
          <w:p w:rsidR="00912D03" w:rsidRPr="0099390D" w:rsidRDefault="00912D03" w:rsidP="005B0EB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390D">
              <w:rPr>
                <w:rFonts w:cs="Times New Roman"/>
                <w:sz w:val="20"/>
                <w:szCs w:val="20"/>
              </w:rPr>
              <w:t>0.</w:t>
            </w:r>
            <w:r w:rsidR="005B0EB9">
              <w:rPr>
                <w:rFonts w:cs="Times New Roman"/>
                <w:sz w:val="20"/>
                <w:szCs w:val="20"/>
              </w:rPr>
              <w:t>98</w:t>
            </w:r>
          </w:p>
        </w:tc>
      </w:tr>
      <w:tr w:rsidR="00912D03" w:rsidRPr="0099390D" w:rsidTr="003B7BE5">
        <w:tc>
          <w:tcPr>
            <w:tcW w:w="2070" w:type="dxa"/>
            <w:tcBorders>
              <w:top w:val="nil"/>
              <w:bottom w:val="nil"/>
            </w:tcBorders>
          </w:tcPr>
          <w:p w:rsidR="00912D03" w:rsidRPr="0099390D" w:rsidRDefault="00912D03" w:rsidP="003B7BE5">
            <w:pPr>
              <w:rPr>
                <w:rFonts w:cs="Times New Roman"/>
                <w:sz w:val="20"/>
                <w:szCs w:val="20"/>
              </w:rPr>
            </w:pPr>
            <w:r w:rsidRPr="0099390D">
              <w:rPr>
                <w:rFonts w:cs="Times New Roman"/>
                <w:sz w:val="20"/>
                <w:szCs w:val="20"/>
              </w:rPr>
              <w:t>RDI&lt;90% vs. ≥90%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912D03" w:rsidRPr="0099390D" w:rsidRDefault="00912D03" w:rsidP="003B7B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390D">
              <w:rPr>
                <w:rFonts w:cs="Times New Roman"/>
                <w:sz w:val="20"/>
                <w:szCs w:val="20"/>
              </w:rPr>
              <w:t>444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12D03" w:rsidRPr="0099390D" w:rsidRDefault="0031283A" w:rsidP="003B7BE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42.12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12D03" w:rsidRPr="0099390D" w:rsidRDefault="0031283A" w:rsidP="0031283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1.34</w:t>
            </w:r>
            <w:r w:rsidR="00912D03" w:rsidRPr="0099390D">
              <w:rPr>
                <w:rFonts w:cs="Times New Roman"/>
                <w:sz w:val="20"/>
                <w:szCs w:val="20"/>
              </w:rPr>
              <w:t xml:space="preserve"> (0.</w:t>
            </w:r>
            <w:r>
              <w:rPr>
                <w:rFonts w:cs="Times New Roman"/>
                <w:sz w:val="20"/>
                <w:szCs w:val="20"/>
              </w:rPr>
              <w:t>64</w:t>
            </w:r>
            <w:r w:rsidR="00912D03" w:rsidRPr="0099390D">
              <w:rPr>
                <w:rFonts w:cs="Times New Roman"/>
                <w:sz w:val="20"/>
                <w:szCs w:val="20"/>
              </w:rPr>
              <w:t>, 2.</w:t>
            </w:r>
            <w:r>
              <w:rPr>
                <w:rFonts w:cs="Times New Roman"/>
                <w:sz w:val="20"/>
                <w:szCs w:val="20"/>
              </w:rPr>
              <w:t>79</w:t>
            </w:r>
            <w:r w:rsidR="00912D03" w:rsidRPr="0099390D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12D03" w:rsidRPr="0099390D" w:rsidRDefault="00912D03" w:rsidP="0031283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390D">
              <w:rPr>
                <w:rFonts w:cs="Times New Roman"/>
                <w:sz w:val="20"/>
                <w:szCs w:val="20"/>
              </w:rPr>
              <w:t>0.</w:t>
            </w:r>
            <w:r w:rsidR="0031283A">
              <w:rPr>
                <w:rFonts w:cs="Times New Roman"/>
                <w:sz w:val="20"/>
                <w:szCs w:val="20"/>
              </w:rPr>
              <w:t>44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912D03" w:rsidRPr="0099390D" w:rsidRDefault="00912D03" w:rsidP="009667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390D">
              <w:rPr>
                <w:rFonts w:cs="Times New Roman"/>
                <w:sz w:val="20"/>
                <w:szCs w:val="20"/>
              </w:rPr>
              <w:t>1.</w:t>
            </w:r>
            <w:r w:rsidR="0096674C">
              <w:rPr>
                <w:rFonts w:cs="Times New Roman"/>
                <w:sz w:val="20"/>
                <w:szCs w:val="20"/>
              </w:rPr>
              <w:t>49</w:t>
            </w:r>
            <w:r w:rsidRPr="0099390D">
              <w:rPr>
                <w:rFonts w:cs="Times New Roman"/>
                <w:sz w:val="20"/>
                <w:szCs w:val="20"/>
              </w:rPr>
              <w:t xml:space="preserve"> (0.8</w:t>
            </w:r>
            <w:r w:rsidR="0096674C">
              <w:rPr>
                <w:rFonts w:cs="Times New Roman"/>
                <w:sz w:val="20"/>
                <w:szCs w:val="20"/>
              </w:rPr>
              <w:t>0</w:t>
            </w:r>
            <w:r w:rsidRPr="0099390D">
              <w:rPr>
                <w:rFonts w:cs="Times New Roman"/>
                <w:sz w:val="20"/>
                <w:szCs w:val="20"/>
              </w:rPr>
              <w:t>, 2.</w:t>
            </w:r>
            <w:r w:rsidR="0096674C">
              <w:rPr>
                <w:rFonts w:cs="Times New Roman"/>
                <w:sz w:val="20"/>
                <w:szCs w:val="20"/>
              </w:rPr>
              <w:t>79</w:t>
            </w:r>
            <w:r w:rsidRPr="0099390D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12D03" w:rsidRPr="0099390D" w:rsidRDefault="00912D03" w:rsidP="009667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390D">
              <w:rPr>
                <w:rFonts w:cs="Times New Roman"/>
                <w:sz w:val="20"/>
                <w:szCs w:val="20"/>
              </w:rPr>
              <w:t>0.</w:t>
            </w:r>
            <w:r w:rsidR="0096674C">
              <w:rPr>
                <w:rFonts w:cs="Times New Roman"/>
                <w:sz w:val="20"/>
                <w:szCs w:val="20"/>
              </w:rPr>
              <w:t>21</w:t>
            </w:r>
          </w:p>
        </w:tc>
      </w:tr>
      <w:tr w:rsidR="00912D03" w:rsidRPr="0099390D" w:rsidTr="003B7BE5">
        <w:tc>
          <w:tcPr>
            <w:tcW w:w="2070" w:type="dxa"/>
            <w:tcBorders>
              <w:top w:val="nil"/>
              <w:bottom w:val="nil"/>
            </w:tcBorders>
          </w:tcPr>
          <w:p w:rsidR="00912D03" w:rsidRPr="0099390D" w:rsidRDefault="00912D03" w:rsidP="003B7BE5">
            <w:pPr>
              <w:rPr>
                <w:rFonts w:cs="Times New Roman"/>
                <w:sz w:val="20"/>
                <w:szCs w:val="20"/>
              </w:rPr>
            </w:pPr>
            <w:r w:rsidRPr="0099390D">
              <w:rPr>
                <w:rFonts w:cs="Times New Roman"/>
                <w:sz w:val="20"/>
                <w:szCs w:val="20"/>
              </w:rPr>
              <w:t>RDI&lt;85% vs. ≥85%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912D03" w:rsidRPr="0099390D" w:rsidRDefault="00912D03" w:rsidP="00CA33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390D">
              <w:rPr>
                <w:rFonts w:cs="Times New Roman"/>
                <w:sz w:val="20"/>
                <w:szCs w:val="20"/>
              </w:rPr>
              <w:t>4</w:t>
            </w:r>
            <w:r w:rsidR="00CA33E5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12D03" w:rsidRPr="0099390D" w:rsidRDefault="00912D03" w:rsidP="00CA33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390D">
              <w:rPr>
                <w:rFonts w:cs="Times New Roman"/>
                <w:sz w:val="20"/>
                <w:szCs w:val="20"/>
              </w:rPr>
              <w:t>32.</w:t>
            </w:r>
            <w:r w:rsidR="00CA33E5">
              <w:rPr>
                <w:rFonts w:cs="Times New Roman"/>
                <w:sz w:val="20"/>
                <w:szCs w:val="20"/>
              </w:rPr>
              <w:t>08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12D03" w:rsidRPr="0099390D" w:rsidRDefault="00912D03" w:rsidP="00CA33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390D">
              <w:rPr>
                <w:rFonts w:cs="Times New Roman"/>
                <w:sz w:val="20"/>
                <w:szCs w:val="20"/>
              </w:rPr>
              <w:t>1.</w:t>
            </w:r>
            <w:r w:rsidR="00CA33E5">
              <w:rPr>
                <w:rFonts w:cs="Times New Roman"/>
                <w:sz w:val="20"/>
                <w:szCs w:val="20"/>
              </w:rPr>
              <w:t>93</w:t>
            </w:r>
            <w:r w:rsidRPr="0099390D">
              <w:rPr>
                <w:rFonts w:cs="Times New Roman"/>
                <w:sz w:val="20"/>
                <w:szCs w:val="20"/>
              </w:rPr>
              <w:t xml:space="preserve"> (0.</w:t>
            </w:r>
            <w:r w:rsidR="00CA33E5">
              <w:rPr>
                <w:rFonts w:cs="Times New Roman"/>
                <w:sz w:val="20"/>
                <w:szCs w:val="20"/>
              </w:rPr>
              <w:t>93</w:t>
            </w:r>
            <w:r w:rsidRPr="0099390D">
              <w:rPr>
                <w:rFonts w:cs="Times New Roman"/>
                <w:sz w:val="20"/>
                <w:szCs w:val="20"/>
              </w:rPr>
              <w:t>, 4.</w:t>
            </w:r>
            <w:r w:rsidR="00CA33E5">
              <w:rPr>
                <w:rFonts w:cs="Times New Roman"/>
                <w:sz w:val="20"/>
                <w:szCs w:val="20"/>
              </w:rPr>
              <w:t>00</w:t>
            </w:r>
            <w:r w:rsidRPr="0099390D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12D03" w:rsidRPr="0099390D" w:rsidRDefault="00912D03" w:rsidP="00CA33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390D">
              <w:rPr>
                <w:rFonts w:cs="Times New Roman"/>
                <w:sz w:val="20"/>
                <w:szCs w:val="20"/>
              </w:rPr>
              <w:t>0.</w:t>
            </w:r>
            <w:r w:rsidR="00CA33E5">
              <w:rPr>
                <w:rFonts w:cs="Times New Roman"/>
                <w:sz w:val="20"/>
                <w:szCs w:val="20"/>
              </w:rPr>
              <w:t>08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912D03" w:rsidRPr="0099390D" w:rsidRDefault="00912D03" w:rsidP="00303A7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9390D">
              <w:rPr>
                <w:rFonts w:cs="Times New Roman"/>
                <w:b/>
                <w:sz w:val="20"/>
                <w:szCs w:val="20"/>
              </w:rPr>
              <w:t>2.</w:t>
            </w:r>
            <w:r w:rsidR="00303A7D">
              <w:rPr>
                <w:rFonts w:cs="Times New Roman"/>
                <w:b/>
                <w:sz w:val="20"/>
                <w:szCs w:val="20"/>
              </w:rPr>
              <w:t>36</w:t>
            </w:r>
            <w:r w:rsidRPr="0099390D">
              <w:rPr>
                <w:rFonts w:cs="Times New Roman"/>
                <w:b/>
                <w:sz w:val="20"/>
                <w:szCs w:val="20"/>
              </w:rPr>
              <w:t xml:space="preserve"> (1.</w:t>
            </w:r>
            <w:r w:rsidR="00303A7D">
              <w:rPr>
                <w:rFonts w:cs="Times New Roman"/>
                <w:b/>
                <w:sz w:val="20"/>
                <w:szCs w:val="20"/>
              </w:rPr>
              <w:t>28, 4.38</w:t>
            </w:r>
            <w:r w:rsidRPr="0099390D">
              <w:rPr>
                <w:rFonts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12D03" w:rsidRPr="0099390D" w:rsidRDefault="00912D03" w:rsidP="00303A7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9390D">
              <w:rPr>
                <w:rFonts w:cs="Times New Roman"/>
                <w:b/>
                <w:sz w:val="20"/>
                <w:szCs w:val="20"/>
              </w:rPr>
              <w:t>0.00</w:t>
            </w:r>
            <w:r w:rsidR="00303A7D">
              <w:rPr>
                <w:rFonts w:cs="Times New Roman"/>
                <w:b/>
                <w:sz w:val="20"/>
                <w:szCs w:val="20"/>
              </w:rPr>
              <w:t>6</w:t>
            </w:r>
          </w:p>
        </w:tc>
      </w:tr>
      <w:tr w:rsidR="00912D03" w:rsidRPr="0099390D" w:rsidTr="003B7BE5">
        <w:tc>
          <w:tcPr>
            <w:tcW w:w="2070" w:type="dxa"/>
            <w:tcBorders>
              <w:top w:val="nil"/>
              <w:bottom w:val="nil"/>
            </w:tcBorders>
          </w:tcPr>
          <w:p w:rsidR="00912D03" w:rsidRPr="0099390D" w:rsidRDefault="00912D03" w:rsidP="003B7BE5">
            <w:pPr>
              <w:rPr>
                <w:rFonts w:cs="Times New Roman"/>
                <w:sz w:val="20"/>
                <w:szCs w:val="20"/>
              </w:rPr>
            </w:pPr>
            <w:r w:rsidRPr="0099390D">
              <w:rPr>
                <w:rFonts w:cs="Times New Roman"/>
                <w:sz w:val="20"/>
                <w:szCs w:val="20"/>
              </w:rPr>
              <w:t>RDI&lt;80% vs. ≥80%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912D03" w:rsidRPr="0099390D" w:rsidRDefault="00912D03" w:rsidP="002F51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390D">
              <w:rPr>
                <w:rFonts w:cs="Times New Roman"/>
                <w:sz w:val="20"/>
                <w:szCs w:val="20"/>
              </w:rPr>
              <w:t>33</w:t>
            </w:r>
            <w:r w:rsidR="002F5128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12D03" w:rsidRPr="0099390D" w:rsidRDefault="002F5128" w:rsidP="003B7BE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26.33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12D03" w:rsidRPr="0099390D" w:rsidRDefault="00551CC8" w:rsidP="00551CC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1.37</w:t>
            </w:r>
            <w:r w:rsidR="00912D03" w:rsidRPr="0099390D">
              <w:rPr>
                <w:rFonts w:cs="Times New Roman"/>
                <w:sz w:val="20"/>
                <w:szCs w:val="20"/>
              </w:rPr>
              <w:t xml:space="preserve"> (0.</w:t>
            </w:r>
            <w:r>
              <w:rPr>
                <w:rFonts w:cs="Times New Roman"/>
                <w:sz w:val="20"/>
                <w:szCs w:val="20"/>
              </w:rPr>
              <w:t>59</w:t>
            </w:r>
            <w:r w:rsidR="00912D03" w:rsidRPr="0099390D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3.16</w:t>
            </w:r>
            <w:r w:rsidR="00912D03" w:rsidRPr="0099390D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12D03" w:rsidRPr="0099390D" w:rsidRDefault="00912D03" w:rsidP="00551C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390D">
              <w:rPr>
                <w:rFonts w:cs="Times New Roman"/>
                <w:sz w:val="20"/>
                <w:szCs w:val="20"/>
              </w:rPr>
              <w:t>0.</w:t>
            </w:r>
            <w:r w:rsidR="00551CC8">
              <w:rPr>
                <w:rFonts w:cs="Times New Roman"/>
                <w:sz w:val="20"/>
                <w:szCs w:val="20"/>
              </w:rPr>
              <w:t>46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912D03" w:rsidRPr="0099390D" w:rsidRDefault="00912D03" w:rsidP="0041297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390D">
              <w:rPr>
                <w:rFonts w:cs="Times New Roman"/>
                <w:sz w:val="20"/>
                <w:szCs w:val="20"/>
              </w:rPr>
              <w:t>1.</w:t>
            </w:r>
            <w:r w:rsidR="0041297C">
              <w:rPr>
                <w:rFonts w:cs="Times New Roman"/>
                <w:sz w:val="20"/>
                <w:szCs w:val="20"/>
              </w:rPr>
              <w:t>92</w:t>
            </w:r>
            <w:r w:rsidRPr="0099390D">
              <w:rPr>
                <w:rFonts w:cs="Times New Roman"/>
                <w:sz w:val="20"/>
                <w:szCs w:val="20"/>
              </w:rPr>
              <w:t xml:space="preserve"> (0.</w:t>
            </w:r>
            <w:r w:rsidR="0041297C">
              <w:rPr>
                <w:rFonts w:cs="Times New Roman"/>
                <w:sz w:val="20"/>
                <w:szCs w:val="20"/>
              </w:rPr>
              <w:t>97</w:t>
            </w:r>
            <w:r w:rsidRPr="0099390D">
              <w:rPr>
                <w:rFonts w:cs="Times New Roman"/>
                <w:sz w:val="20"/>
                <w:szCs w:val="20"/>
              </w:rPr>
              <w:t>, 3.</w:t>
            </w:r>
            <w:r w:rsidR="0041297C">
              <w:rPr>
                <w:rFonts w:cs="Times New Roman"/>
                <w:sz w:val="20"/>
                <w:szCs w:val="20"/>
              </w:rPr>
              <w:t>79</w:t>
            </w:r>
            <w:r w:rsidRPr="0099390D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12D03" w:rsidRPr="0099390D" w:rsidRDefault="00912D03" w:rsidP="0041297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390D">
              <w:rPr>
                <w:rFonts w:cs="Times New Roman"/>
                <w:sz w:val="20"/>
                <w:szCs w:val="20"/>
              </w:rPr>
              <w:t>0.</w:t>
            </w:r>
            <w:r w:rsidR="0041297C">
              <w:rPr>
                <w:rFonts w:cs="Times New Roman"/>
                <w:sz w:val="20"/>
                <w:szCs w:val="20"/>
              </w:rPr>
              <w:t>06</w:t>
            </w:r>
          </w:p>
        </w:tc>
      </w:tr>
      <w:tr w:rsidR="00912D03" w:rsidRPr="0099390D" w:rsidTr="003B7BE5">
        <w:tc>
          <w:tcPr>
            <w:tcW w:w="2070" w:type="dxa"/>
            <w:tcBorders>
              <w:top w:val="nil"/>
            </w:tcBorders>
          </w:tcPr>
          <w:p w:rsidR="00912D03" w:rsidRPr="0099390D" w:rsidRDefault="00912D03" w:rsidP="003B7BE5">
            <w:pPr>
              <w:rPr>
                <w:rFonts w:cs="Times New Roman"/>
                <w:sz w:val="20"/>
                <w:szCs w:val="20"/>
              </w:rPr>
            </w:pPr>
            <w:r w:rsidRPr="0099390D">
              <w:rPr>
                <w:rFonts w:cs="Times New Roman"/>
                <w:sz w:val="20"/>
                <w:szCs w:val="20"/>
              </w:rPr>
              <w:t>RDI&lt;75% vs. ≥75%</w:t>
            </w:r>
          </w:p>
        </w:tc>
        <w:tc>
          <w:tcPr>
            <w:tcW w:w="630" w:type="dxa"/>
            <w:tcBorders>
              <w:top w:val="nil"/>
            </w:tcBorders>
          </w:tcPr>
          <w:p w:rsidR="00912D03" w:rsidRPr="0099390D" w:rsidRDefault="00912D03" w:rsidP="00DF2D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390D">
              <w:rPr>
                <w:rFonts w:cs="Times New Roman"/>
                <w:sz w:val="20"/>
                <w:szCs w:val="20"/>
              </w:rPr>
              <w:t>24</w:t>
            </w:r>
            <w:r w:rsidR="00DF2D88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</w:tcBorders>
          </w:tcPr>
          <w:p w:rsidR="00912D03" w:rsidRPr="0099390D" w:rsidRDefault="00912D03" w:rsidP="00DF2D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390D">
              <w:rPr>
                <w:rFonts w:cs="Times New Roman"/>
                <w:sz w:val="20"/>
                <w:szCs w:val="20"/>
              </w:rPr>
              <w:t>25</w:t>
            </w:r>
            <w:r w:rsidR="00DF2D88">
              <w:rPr>
                <w:rFonts w:cs="Times New Roman"/>
                <w:sz w:val="20"/>
                <w:szCs w:val="20"/>
              </w:rPr>
              <w:t>.00</w:t>
            </w:r>
          </w:p>
        </w:tc>
        <w:tc>
          <w:tcPr>
            <w:tcW w:w="1980" w:type="dxa"/>
            <w:tcBorders>
              <w:top w:val="nil"/>
            </w:tcBorders>
          </w:tcPr>
          <w:p w:rsidR="00912D03" w:rsidRPr="0099390D" w:rsidRDefault="00272BC2" w:rsidP="00272B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1.13</w:t>
            </w:r>
            <w:r w:rsidR="00912D03" w:rsidRPr="0099390D">
              <w:rPr>
                <w:rFonts w:cs="Times New Roman"/>
                <w:sz w:val="20"/>
                <w:szCs w:val="20"/>
              </w:rPr>
              <w:t xml:space="preserve"> (0.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="00912D03" w:rsidRPr="0099390D">
              <w:rPr>
                <w:rFonts w:cs="Times New Roman"/>
                <w:sz w:val="20"/>
                <w:szCs w:val="20"/>
              </w:rPr>
              <w:t xml:space="preserve">5, </w:t>
            </w:r>
            <w:r>
              <w:rPr>
                <w:rFonts w:cs="Times New Roman"/>
                <w:sz w:val="20"/>
                <w:szCs w:val="20"/>
              </w:rPr>
              <w:t>2.85</w:t>
            </w:r>
            <w:r w:rsidR="00912D03" w:rsidRPr="0099390D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nil"/>
            </w:tcBorders>
          </w:tcPr>
          <w:p w:rsidR="00912D03" w:rsidRPr="0099390D" w:rsidRDefault="00912D03" w:rsidP="00272B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390D">
              <w:rPr>
                <w:rFonts w:cs="Times New Roman"/>
                <w:sz w:val="20"/>
                <w:szCs w:val="20"/>
              </w:rPr>
              <w:t>0</w:t>
            </w:r>
            <w:r w:rsidR="00272BC2">
              <w:rPr>
                <w:rFonts w:cs="Times New Roman"/>
                <w:sz w:val="20"/>
                <w:szCs w:val="20"/>
              </w:rPr>
              <w:t>.80</w:t>
            </w:r>
          </w:p>
        </w:tc>
        <w:tc>
          <w:tcPr>
            <w:tcW w:w="1800" w:type="dxa"/>
            <w:tcBorders>
              <w:top w:val="nil"/>
            </w:tcBorders>
          </w:tcPr>
          <w:p w:rsidR="00912D03" w:rsidRPr="0099390D" w:rsidRDefault="00912D03" w:rsidP="0041297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390D">
              <w:rPr>
                <w:rFonts w:cs="Times New Roman"/>
                <w:sz w:val="20"/>
                <w:szCs w:val="20"/>
              </w:rPr>
              <w:t>1.6</w:t>
            </w:r>
            <w:r w:rsidR="0041297C">
              <w:rPr>
                <w:rFonts w:cs="Times New Roman"/>
                <w:sz w:val="20"/>
                <w:szCs w:val="20"/>
              </w:rPr>
              <w:t>3</w:t>
            </w:r>
            <w:r w:rsidRPr="0099390D">
              <w:rPr>
                <w:rFonts w:cs="Times New Roman"/>
                <w:sz w:val="20"/>
                <w:szCs w:val="20"/>
              </w:rPr>
              <w:t xml:space="preserve"> (0.8</w:t>
            </w:r>
            <w:r w:rsidR="0041297C">
              <w:rPr>
                <w:rFonts w:cs="Times New Roman"/>
                <w:sz w:val="20"/>
                <w:szCs w:val="20"/>
              </w:rPr>
              <w:t>3</w:t>
            </w:r>
            <w:r w:rsidRPr="0099390D">
              <w:rPr>
                <w:rFonts w:cs="Times New Roman"/>
                <w:sz w:val="20"/>
                <w:szCs w:val="20"/>
              </w:rPr>
              <w:t>, 3.</w:t>
            </w:r>
            <w:r w:rsidR="0041297C">
              <w:rPr>
                <w:rFonts w:cs="Times New Roman"/>
                <w:sz w:val="20"/>
                <w:szCs w:val="20"/>
              </w:rPr>
              <w:t>19</w:t>
            </w:r>
            <w:r w:rsidRPr="0099390D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nil"/>
            </w:tcBorders>
          </w:tcPr>
          <w:p w:rsidR="00912D03" w:rsidRPr="0099390D" w:rsidRDefault="00912D03" w:rsidP="0041297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390D">
              <w:rPr>
                <w:rFonts w:cs="Times New Roman"/>
                <w:sz w:val="20"/>
                <w:szCs w:val="20"/>
              </w:rPr>
              <w:t>0.1</w:t>
            </w:r>
            <w:r w:rsidR="0041297C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912D03" w:rsidRPr="0099390D" w:rsidTr="003B7BE5">
        <w:tc>
          <w:tcPr>
            <w:tcW w:w="9180" w:type="dxa"/>
            <w:gridSpan w:val="7"/>
            <w:tcBorders>
              <w:bottom w:val="single" w:sz="4" w:space="0" w:color="auto"/>
            </w:tcBorders>
          </w:tcPr>
          <w:p w:rsidR="00912D03" w:rsidRPr="0099390D" w:rsidRDefault="00912D03" w:rsidP="00A66F7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9390D">
              <w:rPr>
                <w:rFonts w:cs="Times New Roman"/>
                <w:b/>
                <w:sz w:val="20"/>
                <w:szCs w:val="20"/>
              </w:rPr>
              <w:t>Triple</w:t>
            </w:r>
            <w:r w:rsidR="00A66F7D">
              <w:rPr>
                <w:rFonts w:cs="Times New Roman"/>
                <w:b/>
                <w:sz w:val="20"/>
                <w:szCs w:val="20"/>
              </w:rPr>
              <w:t>-</w:t>
            </w:r>
            <w:r w:rsidRPr="0099390D">
              <w:rPr>
                <w:rFonts w:cs="Times New Roman"/>
                <w:b/>
                <w:sz w:val="20"/>
                <w:szCs w:val="20"/>
              </w:rPr>
              <w:t>negative</w:t>
            </w:r>
            <w:r>
              <w:rPr>
                <w:rFonts w:cs="Times New Roman"/>
                <w:b/>
                <w:sz w:val="20"/>
                <w:szCs w:val="20"/>
              </w:rPr>
              <w:t xml:space="preserve"> (N=161)</w:t>
            </w:r>
          </w:p>
        </w:tc>
      </w:tr>
      <w:tr w:rsidR="00912D03" w:rsidRPr="0099390D" w:rsidTr="003B7BE5">
        <w:tc>
          <w:tcPr>
            <w:tcW w:w="2070" w:type="dxa"/>
            <w:tcBorders>
              <w:bottom w:val="nil"/>
            </w:tcBorders>
          </w:tcPr>
          <w:p w:rsidR="00912D03" w:rsidRPr="0099390D" w:rsidRDefault="00912D03" w:rsidP="003B7BE5">
            <w:pPr>
              <w:rPr>
                <w:rFonts w:cs="Times New Roman"/>
                <w:sz w:val="20"/>
                <w:szCs w:val="20"/>
              </w:rPr>
            </w:pPr>
            <w:r w:rsidRPr="0099390D">
              <w:rPr>
                <w:rFonts w:cs="Times New Roman"/>
                <w:sz w:val="20"/>
                <w:szCs w:val="20"/>
              </w:rPr>
              <w:t>RDI&lt;95% vs. ≥95%</w:t>
            </w:r>
          </w:p>
        </w:tc>
        <w:tc>
          <w:tcPr>
            <w:tcW w:w="630" w:type="dxa"/>
            <w:tcBorders>
              <w:bottom w:val="nil"/>
            </w:tcBorders>
          </w:tcPr>
          <w:p w:rsidR="00912D03" w:rsidRPr="0099390D" w:rsidRDefault="00D476BB" w:rsidP="00D476B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151</w:t>
            </w:r>
          </w:p>
        </w:tc>
        <w:tc>
          <w:tcPr>
            <w:tcW w:w="900" w:type="dxa"/>
            <w:tcBorders>
              <w:bottom w:val="nil"/>
            </w:tcBorders>
          </w:tcPr>
          <w:p w:rsidR="00912D03" w:rsidRPr="0099390D" w:rsidRDefault="00D476BB" w:rsidP="003B7BE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57.62</w:t>
            </w:r>
          </w:p>
        </w:tc>
        <w:tc>
          <w:tcPr>
            <w:tcW w:w="1980" w:type="dxa"/>
            <w:tcBorders>
              <w:bottom w:val="nil"/>
            </w:tcBorders>
          </w:tcPr>
          <w:p w:rsidR="00912D03" w:rsidRPr="0099390D" w:rsidRDefault="00912D03" w:rsidP="00D476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390D">
              <w:rPr>
                <w:rFonts w:cs="Times New Roman"/>
                <w:sz w:val="20"/>
                <w:szCs w:val="20"/>
              </w:rPr>
              <w:t>0.</w:t>
            </w:r>
            <w:r w:rsidR="00D476BB">
              <w:rPr>
                <w:rFonts w:cs="Times New Roman"/>
                <w:sz w:val="20"/>
                <w:szCs w:val="20"/>
              </w:rPr>
              <w:t>85</w:t>
            </w:r>
            <w:r w:rsidRPr="0099390D">
              <w:rPr>
                <w:rFonts w:cs="Times New Roman"/>
                <w:sz w:val="20"/>
                <w:szCs w:val="20"/>
              </w:rPr>
              <w:t xml:space="preserve"> (0.</w:t>
            </w:r>
            <w:r w:rsidR="00D476BB">
              <w:rPr>
                <w:rFonts w:cs="Times New Roman"/>
                <w:sz w:val="20"/>
                <w:szCs w:val="20"/>
              </w:rPr>
              <w:t>4</w:t>
            </w:r>
            <w:r w:rsidRPr="0099390D">
              <w:rPr>
                <w:rFonts w:cs="Times New Roman"/>
                <w:sz w:val="20"/>
                <w:szCs w:val="20"/>
              </w:rPr>
              <w:t xml:space="preserve">0, </w:t>
            </w:r>
            <w:r w:rsidR="00D476BB">
              <w:rPr>
                <w:rFonts w:cs="Times New Roman"/>
                <w:sz w:val="20"/>
                <w:szCs w:val="20"/>
              </w:rPr>
              <w:t>1.79</w:t>
            </w:r>
            <w:r w:rsidRPr="0099390D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bottom w:val="nil"/>
            </w:tcBorders>
          </w:tcPr>
          <w:p w:rsidR="00912D03" w:rsidRPr="0099390D" w:rsidRDefault="00912D03" w:rsidP="00D476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390D">
              <w:rPr>
                <w:rFonts w:cs="Times New Roman"/>
                <w:sz w:val="20"/>
                <w:szCs w:val="20"/>
              </w:rPr>
              <w:t>0.6</w:t>
            </w:r>
            <w:r w:rsidR="00D476BB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bottom w:val="nil"/>
            </w:tcBorders>
          </w:tcPr>
          <w:p w:rsidR="00912D03" w:rsidRPr="0099390D" w:rsidRDefault="00912D03" w:rsidP="005156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390D">
              <w:rPr>
                <w:rFonts w:cs="Times New Roman"/>
                <w:sz w:val="20"/>
                <w:szCs w:val="20"/>
              </w:rPr>
              <w:t>0.</w:t>
            </w:r>
            <w:r w:rsidR="005156DA">
              <w:rPr>
                <w:rFonts w:cs="Times New Roman"/>
                <w:sz w:val="20"/>
                <w:szCs w:val="20"/>
              </w:rPr>
              <w:t>93</w:t>
            </w:r>
            <w:r w:rsidRPr="0099390D">
              <w:rPr>
                <w:rFonts w:cs="Times New Roman"/>
                <w:sz w:val="20"/>
                <w:szCs w:val="20"/>
              </w:rPr>
              <w:t xml:space="preserve"> (0.4</w:t>
            </w:r>
            <w:r w:rsidR="005156DA">
              <w:rPr>
                <w:rFonts w:cs="Times New Roman"/>
                <w:sz w:val="20"/>
                <w:szCs w:val="20"/>
              </w:rPr>
              <w:t>6</w:t>
            </w:r>
            <w:r w:rsidRPr="0099390D">
              <w:rPr>
                <w:rFonts w:cs="Times New Roman"/>
                <w:sz w:val="20"/>
                <w:szCs w:val="20"/>
              </w:rPr>
              <w:t>, 1.8</w:t>
            </w:r>
            <w:r w:rsidR="005156DA">
              <w:rPr>
                <w:rFonts w:cs="Times New Roman"/>
                <w:sz w:val="20"/>
                <w:szCs w:val="20"/>
              </w:rPr>
              <w:t>9</w:t>
            </w:r>
            <w:r w:rsidRPr="0099390D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bottom w:val="nil"/>
            </w:tcBorders>
          </w:tcPr>
          <w:p w:rsidR="00912D03" w:rsidRPr="0099390D" w:rsidRDefault="00912D03" w:rsidP="005156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390D">
              <w:rPr>
                <w:rFonts w:cs="Times New Roman"/>
                <w:sz w:val="20"/>
                <w:szCs w:val="20"/>
              </w:rPr>
              <w:t>0.</w:t>
            </w:r>
            <w:r w:rsidR="005156DA">
              <w:rPr>
                <w:rFonts w:cs="Times New Roman"/>
                <w:sz w:val="20"/>
                <w:szCs w:val="20"/>
              </w:rPr>
              <w:t>84</w:t>
            </w:r>
          </w:p>
        </w:tc>
      </w:tr>
      <w:tr w:rsidR="00912D03" w:rsidRPr="0099390D" w:rsidTr="003B7BE5">
        <w:tc>
          <w:tcPr>
            <w:tcW w:w="2070" w:type="dxa"/>
            <w:tcBorders>
              <w:top w:val="nil"/>
              <w:bottom w:val="nil"/>
            </w:tcBorders>
          </w:tcPr>
          <w:p w:rsidR="00912D03" w:rsidRPr="0099390D" w:rsidRDefault="00912D03" w:rsidP="003B7BE5">
            <w:pPr>
              <w:rPr>
                <w:rFonts w:cs="Times New Roman"/>
                <w:sz w:val="20"/>
                <w:szCs w:val="20"/>
              </w:rPr>
            </w:pPr>
            <w:r w:rsidRPr="0099390D">
              <w:rPr>
                <w:rFonts w:cs="Times New Roman"/>
                <w:sz w:val="20"/>
                <w:szCs w:val="20"/>
              </w:rPr>
              <w:t>RDI&lt;90% vs. ≥90%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912D03" w:rsidRPr="0099390D" w:rsidRDefault="00912D03" w:rsidP="00D476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390D">
              <w:rPr>
                <w:rFonts w:cs="Times New Roman"/>
                <w:sz w:val="20"/>
                <w:szCs w:val="20"/>
              </w:rPr>
              <w:t>15</w:t>
            </w:r>
            <w:r w:rsidR="00D476BB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12D03" w:rsidRPr="0099390D" w:rsidRDefault="00D476BB" w:rsidP="003B7BE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41.56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12D03" w:rsidRPr="0099390D" w:rsidRDefault="00912D03" w:rsidP="00EB70A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390D">
              <w:rPr>
                <w:rFonts w:cs="Times New Roman"/>
                <w:sz w:val="20"/>
                <w:szCs w:val="20"/>
              </w:rPr>
              <w:t>0.</w:t>
            </w:r>
            <w:r w:rsidR="00D476BB">
              <w:rPr>
                <w:rFonts w:cs="Times New Roman"/>
                <w:sz w:val="20"/>
                <w:szCs w:val="20"/>
              </w:rPr>
              <w:t>95</w:t>
            </w:r>
            <w:r w:rsidRPr="0099390D">
              <w:rPr>
                <w:rFonts w:cs="Times New Roman"/>
                <w:sz w:val="20"/>
                <w:szCs w:val="20"/>
              </w:rPr>
              <w:t xml:space="preserve"> (0.</w:t>
            </w:r>
            <w:r w:rsidR="00D476BB">
              <w:rPr>
                <w:rFonts w:cs="Times New Roman"/>
                <w:sz w:val="20"/>
                <w:szCs w:val="20"/>
              </w:rPr>
              <w:t>43</w:t>
            </w:r>
            <w:r w:rsidRPr="0099390D">
              <w:rPr>
                <w:rFonts w:cs="Times New Roman"/>
                <w:sz w:val="20"/>
                <w:szCs w:val="20"/>
              </w:rPr>
              <w:t>, 2.</w:t>
            </w:r>
            <w:r w:rsidR="00EB70A8">
              <w:rPr>
                <w:rFonts w:cs="Times New Roman"/>
                <w:sz w:val="20"/>
                <w:szCs w:val="20"/>
              </w:rPr>
              <w:t>09</w:t>
            </w:r>
            <w:r w:rsidRPr="0099390D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12D03" w:rsidRPr="0099390D" w:rsidRDefault="00912D03" w:rsidP="00EB70A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390D">
              <w:rPr>
                <w:rFonts w:cs="Times New Roman"/>
                <w:sz w:val="20"/>
                <w:szCs w:val="20"/>
              </w:rPr>
              <w:t>0.</w:t>
            </w:r>
            <w:r w:rsidR="00EB70A8"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912D03" w:rsidRPr="0099390D" w:rsidRDefault="00912D03" w:rsidP="005156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390D">
              <w:rPr>
                <w:rFonts w:cs="Times New Roman"/>
                <w:sz w:val="20"/>
                <w:szCs w:val="20"/>
              </w:rPr>
              <w:t>1.</w:t>
            </w:r>
            <w:r w:rsidR="005156DA">
              <w:rPr>
                <w:rFonts w:cs="Times New Roman"/>
                <w:sz w:val="20"/>
                <w:szCs w:val="20"/>
              </w:rPr>
              <w:t>25</w:t>
            </w:r>
            <w:r w:rsidRPr="0099390D">
              <w:rPr>
                <w:rFonts w:cs="Times New Roman"/>
                <w:sz w:val="20"/>
                <w:szCs w:val="20"/>
              </w:rPr>
              <w:t xml:space="preserve"> (0.6</w:t>
            </w:r>
            <w:r w:rsidR="005156DA">
              <w:rPr>
                <w:rFonts w:cs="Times New Roman"/>
                <w:sz w:val="20"/>
                <w:szCs w:val="20"/>
              </w:rPr>
              <w:t>1</w:t>
            </w:r>
            <w:r w:rsidRPr="0099390D">
              <w:rPr>
                <w:rFonts w:cs="Times New Roman"/>
                <w:sz w:val="20"/>
                <w:szCs w:val="20"/>
              </w:rPr>
              <w:t>, 2.</w:t>
            </w:r>
            <w:r w:rsidR="005156DA">
              <w:rPr>
                <w:rFonts w:cs="Times New Roman"/>
                <w:sz w:val="20"/>
                <w:szCs w:val="20"/>
              </w:rPr>
              <w:t>53</w:t>
            </w:r>
            <w:r w:rsidRPr="0099390D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12D03" w:rsidRPr="0099390D" w:rsidRDefault="00912D03" w:rsidP="005156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390D">
              <w:rPr>
                <w:rFonts w:cs="Times New Roman"/>
                <w:sz w:val="20"/>
                <w:szCs w:val="20"/>
              </w:rPr>
              <w:t>0</w:t>
            </w:r>
            <w:r w:rsidR="005156DA">
              <w:rPr>
                <w:rFonts w:cs="Times New Roman"/>
                <w:sz w:val="20"/>
                <w:szCs w:val="20"/>
              </w:rPr>
              <w:t>.54</w:t>
            </w:r>
          </w:p>
        </w:tc>
      </w:tr>
      <w:tr w:rsidR="00912D03" w:rsidRPr="0099390D" w:rsidTr="003B7BE5">
        <w:tc>
          <w:tcPr>
            <w:tcW w:w="2070" w:type="dxa"/>
            <w:tcBorders>
              <w:top w:val="nil"/>
              <w:bottom w:val="nil"/>
            </w:tcBorders>
          </w:tcPr>
          <w:p w:rsidR="00912D03" w:rsidRPr="0099390D" w:rsidRDefault="00912D03" w:rsidP="003B7BE5">
            <w:pPr>
              <w:rPr>
                <w:rFonts w:cs="Times New Roman"/>
                <w:sz w:val="20"/>
                <w:szCs w:val="20"/>
              </w:rPr>
            </w:pPr>
            <w:r w:rsidRPr="0099390D">
              <w:rPr>
                <w:rFonts w:cs="Times New Roman"/>
                <w:sz w:val="20"/>
                <w:szCs w:val="20"/>
              </w:rPr>
              <w:t>RDI&lt;85% vs. ≥85%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912D03" w:rsidRPr="0099390D" w:rsidRDefault="00912D03" w:rsidP="003B7B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390D">
              <w:rPr>
                <w:rFonts w:cs="Times New Roman"/>
                <w:sz w:val="20"/>
                <w:szCs w:val="20"/>
              </w:rPr>
              <w:t>130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12D03" w:rsidRPr="0099390D" w:rsidRDefault="00FD623F" w:rsidP="003B7BE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32.31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12D03" w:rsidRPr="0099390D" w:rsidRDefault="00912D03" w:rsidP="002746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390D">
              <w:rPr>
                <w:rFonts w:cs="Times New Roman"/>
                <w:sz w:val="20"/>
                <w:szCs w:val="20"/>
              </w:rPr>
              <w:t>1.</w:t>
            </w:r>
            <w:r w:rsidR="002746FF">
              <w:rPr>
                <w:rFonts w:cs="Times New Roman"/>
                <w:sz w:val="20"/>
                <w:szCs w:val="20"/>
              </w:rPr>
              <w:t>10</w:t>
            </w:r>
            <w:r w:rsidRPr="0099390D">
              <w:rPr>
                <w:rFonts w:cs="Times New Roman"/>
                <w:sz w:val="20"/>
                <w:szCs w:val="20"/>
              </w:rPr>
              <w:t xml:space="preserve"> (0.</w:t>
            </w:r>
            <w:r w:rsidR="002746FF">
              <w:rPr>
                <w:rFonts w:cs="Times New Roman"/>
                <w:sz w:val="20"/>
                <w:szCs w:val="20"/>
              </w:rPr>
              <w:t>49</w:t>
            </w:r>
            <w:r w:rsidRPr="0099390D">
              <w:rPr>
                <w:rFonts w:cs="Times New Roman"/>
                <w:sz w:val="20"/>
                <w:szCs w:val="20"/>
              </w:rPr>
              <w:t>, 2.</w:t>
            </w:r>
            <w:r w:rsidR="002746FF">
              <w:rPr>
                <w:rFonts w:cs="Times New Roman"/>
                <w:sz w:val="20"/>
                <w:szCs w:val="20"/>
              </w:rPr>
              <w:t>45</w:t>
            </w:r>
            <w:r w:rsidRPr="0099390D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12D03" w:rsidRPr="0099390D" w:rsidRDefault="00912D03" w:rsidP="002746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390D">
              <w:rPr>
                <w:rFonts w:cs="Times New Roman"/>
                <w:sz w:val="20"/>
                <w:szCs w:val="20"/>
              </w:rPr>
              <w:t>0.</w:t>
            </w:r>
            <w:r w:rsidR="002746FF">
              <w:rPr>
                <w:rFonts w:cs="Times New Roman"/>
                <w:sz w:val="20"/>
                <w:szCs w:val="20"/>
              </w:rPr>
              <w:t>82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912D03" w:rsidRPr="0099390D" w:rsidRDefault="00912D03" w:rsidP="00620DD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390D">
              <w:rPr>
                <w:rFonts w:cs="Times New Roman"/>
                <w:sz w:val="20"/>
                <w:szCs w:val="20"/>
              </w:rPr>
              <w:t>1.</w:t>
            </w:r>
            <w:r w:rsidR="00620DD7">
              <w:rPr>
                <w:rFonts w:cs="Times New Roman"/>
                <w:sz w:val="20"/>
                <w:szCs w:val="20"/>
              </w:rPr>
              <w:t>32</w:t>
            </w:r>
            <w:r w:rsidRPr="0099390D">
              <w:rPr>
                <w:rFonts w:cs="Times New Roman"/>
                <w:sz w:val="20"/>
                <w:szCs w:val="20"/>
              </w:rPr>
              <w:t xml:space="preserve"> (0.</w:t>
            </w:r>
            <w:r w:rsidR="00620DD7">
              <w:rPr>
                <w:rFonts w:cs="Times New Roman"/>
                <w:sz w:val="20"/>
                <w:szCs w:val="20"/>
              </w:rPr>
              <w:t>64</w:t>
            </w:r>
            <w:r w:rsidRPr="0099390D">
              <w:rPr>
                <w:rFonts w:cs="Times New Roman"/>
                <w:sz w:val="20"/>
                <w:szCs w:val="20"/>
              </w:rPr>
              <w:t xml:space="preserve">, </w:t>
            </w:r>
            <w:r w:rsidR="00620DD7">
              <w:rPr>
                <w:rFonts w:cs="Times New Roman"/>
                <w:sz w:val="20"/>
                <w:szCs w:val="20"/>
              </w:rPr>
              <w:t>2.72</w:t>
            </w:r>
            <w:r w:rsidRPr="0099390D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12D03" w:rsidRPr="0099390D" w:rsidRDefault="00912D03" w:rsidP="00620DD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390D">
              <w:rPr>
                <w:rFonts w:cs="Times New Roman"/>
                <w:sz w:val="20"/>
                <w:szCs w:val="20"/>
              </w:rPr>
              <w:t>0.</w:t>
            </w:r>
            <w:r w:rsidR="00620DD7">
              <w:rPr>
                <w:rFonts w:cs="Times New Roman"/>
                <w:sz w:val="20"/>
                <w:szCs w:val="20"/>
              </w:rPr>
              <w:t>46</w:t>
            </w:r>
          </w:p>
        </w:tc>
      </w:tr>
      <w:tr w:rsidR="00912D03" w:rsidRPr="0099390D" w:rsidTr="003B7BE5">
        <w:tc>
          <w:tcPr>
            <w:tcW w:w="2070" w:type="dxa"/>
            <w:tcBorders>
              <w:top w:val="nil"/>
              <w:bottom w:val="nil"/>
            </w:tcBorders>
          </w:tcPr>
          <w:p w:rsidR="00912D03" w:rsidRPr="0099390D" w:rsidRDefault="00912D03" w:rsidP="003B7BE5">
            <w:pPr>
              <w:rPr>
                <w:rFonts w:cs="Times New Roman"/>
                <w:sz w:val="20"/>
                <w:szCs w:val="20"/>
              </w:rPr>
            </w:pPr>
            <w:r w:rsidRPr="0099390D">
              <w:rPr>
                <w:rFonts w:cs="Times New Roman"/>
                <w:sz w:val="20"/>
                <w:szCs w:val="20"/>
              </w:rPr>
              <w:t>RDI&lt;80% vs. ≥80%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912D03" w:rsidRPr="0099390D" w:rsidRDefault="00912D03" w:rsidP="002746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390D">
              <w:rPr>
                <w:rFonts w:cs="Times New Roman"/>
                <w:sz w:val="20"/>
                <w:szCs w:val="20"/>
              </w:rPr>
              <w:t>9</w:t>
            </w:r>
            <w:r w:rsidR="002746F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12D03" w:rsidRPr="0099390D" w:rsidRDefault="002746FF" w:rsidP="003B7BE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30.53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12D03" w:rsidRPr="0099390D" w:rsidRDefault="002746FF" w:rsidP="002746F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1.45</w:t>
            </w:r>
            <w:r w:rsidR="00912D03" w:rsidRPr="0099390D">
              <w:rPr>
                <w:rFonts w:cs="Times New Roman"/>
                <w:sz w:val="20"/>
                <w:szCs w:val="20"/>
              </w:rPr>
              <w:t xml:space="preserve"> (0.</w:t>
            </w:r>
            <w:r>
              <w:rPr>
                <w:rFonts w:cs="Times New Roman"/>
                <w:sz w:val="20"/>
                <w:szCs w:val="20"/>
              </w:rPr>
              <w:t>58</w:t>
            </w:r>
            <w:r w:rsidR="00912D03" w:rsidRPr="0099390D">
              <w:rPr>
                <w:rFonts w:cs="Times New Roman"/>
                <w:sz w:val="20"/>
                <w:szCs w:val="20"/>
              </w:rPr>
              <w:t>, 3.</w:t>
            </w:r>
            <w:r>
              <w:rPr>
                <w:rFonts w:cs="Times New Roman"/>
                <w:sz w:val="20"/>
                <w:szCs w:val="20"/>
              </w:rPr>
              <w:t>62</w:t>
            </w:r>
            <w:r w:rsidR="00912D03" w:rsidRPr="0099390D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12D03" w:rsidRPr="0099390D" w:rsidRDefault="00912D03" w:rsidP="002746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390D">
              <w:rPr>
                <w:rFonts w:cs="Times New Roman"/>
                <w:sz w:val="20"/>
                <w:szCs w:val="20"/>
              </w:rPr>
              <w:t>0.</w:t>
            </w:r>
            <w:r w:rsidR="002746FF">
              <w:rPr>
                <w:rFonts w:cs="Times New Roman"/>
                <w:sz w:val="20"/>
                <w:szCs w:val="20"/>
              </w:rPr>
              <w:t>43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912D03" w:rsidRPr="0099390D" w:rsidRDefault="00912D03" w:rsidP="003F3D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390D">
              <w:rPr>
                <w:rFonts w:cs="Times New Roman"/>
                <w:sz w:val="20"/>
                <w:szCs w:val="20"/>
              </w:rPr>
              <w:t>1.</w:t>
            </w:r>
            <w:r w:rsidR="003F3DF4">
              <w:rPr>
                <w:rFonts w:cs="Times New Roman"/>
                <w:sz w:val="20"/>
                <w:szCs w:val="20"/>
              </w:rPr>
              <w:t>48</w:t>
            </w:r>
            <w:r w:rsidRPr="0099390D">
              <w:rPr>
                <w:rFonts w:cs="Times New Roman"/>
                <w:sz w:val="20"/>
                <w:szCs w:val="20"/>
              </w:rPr>
              <w:t xml:space="preserve"> (0</w:t>
            </w:r>
            <w:r w:rsidR="003F3DF4">
              <w:rPr>
                <w:rFonts w:cs="Times New Roman"/>
                <w:sz w:val="20"/>
                <w:szCs w:val="20"/>
              </w:rPr>
              <w:t>.66</w:t>
            </w:r>
            <w:r w:rsidRPr="0099390D">
              <w:rPr>
                <w:rFonts w:cs="Times New Roman"/>
                <w:sz w:val="20"/>
                <w:szCs w:val="20"/>
              </w:rPr>
              <w:t>, 3.</w:t>
            </w:r>
            <w:r w:rsidR="003F3DF4">
              <w:rPr>
                <w:rFonts w:cs="Times New Roman"/>
                <w:sz w:val="20"/>
                <w:szCs w:val="20"/>
              </w:rPr>
              <w:t>30</w:t>
            </w:r>
            <w:r w:rsidRPr="0099390D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12D03" w:rsidRPr="0099390D" w:rsidRDefault="00912D03" w:rsidP="003F3D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390D">
              <w:rPr>
                <w:rFonts w:cs="Times New Roman"/>
                <w:sz w:val="20"/>
                <w:szCs w:val="20"/>
              </w:rPr>
              <w:t>0.</w:t>
            </w:r>
            <w:r w:rsidR="003F3DF4">
              <w:rPr>
                <w:rFonts w:cs="Times New Roman"/>
                <w:sz w:val="20"/>
                <w:szCs w:val="20"/>
              </w:rPr>
              <w:t>34</w:t>
            </w:r>
          </w:p>
        </w:tc>
      </w:tr>
      <w:tr w:rsidR="00912D03" w:rsidRPr="0099390D" w:rsidTr="003B7BE5">
        <w:tc>
          <w:tcPr>
            <w:tcW w:w="2070" w:type="dxa"/>
            <w:tcBorders>
              <w:top w:val="nil"/>
            </w:tcBorders>
          </w:tcPr>
          <w:p w:rsidR="00912D03" w:rsidRPr="0099390D" w:rsidRDefault="00912D03" w:rsidP="003B7BE5">
            <w:pPr>
              <w:rPr>
                <w:rFonts w:cs="Times New Roman"/>
                <w:sz w:val="20"/>
                <w:szCs w:val="20"/>
              </w:rPr>
            </w:pPr>
            <w:r w:rsidRPr="0099390D">
              <w:rPr>
                <w:rFonts w:cs="Times New Roman"/>
                <w:sz w:val="20"/>
                <w:szCs w:val="20"/>
              </w:rPr>
              <w:t>RDI&lt;75% vs. ≥75%</w:t>
            </w:r>
          </w:p>
        </w:tc>
        <w:tc>
          <w:tcPr>
            <w:tcW w:w="630" w:type="dxa"/>
            <w:tcBorders>
              <w:top w:val="nil"/>
            </w:tcBorders>
          </w:tcPr>
          <w:p w:rsidR="00912D03" w:rsidRPr="0099390D" w:rsidRDefault="00912D03" w:rsidP="00735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390D">
              <w:rPr>
                <w:rFonts w:cs="Times New Roman"/>
                <w:sz w:val="20"/>
                <w:szCs w:val="20"/>
              </w:rPr>
              <w:t>8</w:t>
            </w:r>
            <w:r w:rsidR="007351F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</w:tcBorders>
          </w:tcPr>
          <w:p w:rsidR="00912D03" w:rsidRPr="0099390D" w:rsidRDefault="00912D03" w:rsidP="00735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390D">
              <w:rPr>
                <w:rFonts w:cs="Times New Roman"/>
                <w:sz w:val="20"/>
                <w:szCs w:val="20"/>
              </w:rPr>
              <w:t>24.</w:t>
            </w:r>
            <w:r w:rsidR="007351F3">
              <w:rPr>
                <w:rFonts w:cs="Times New Roman"/>
                <w:sz w:val="20"/>
                <w:szCs w:val="20"/>
              </w:rPr>
              <w:t>69</w:t>
            </w:r>
          </w:p>
        </w:tc>
        <w:tc>
          <w:tcPr>
            <w:tcW w:w="1980" w:type="dxa"/>
            <w:tcBorders>
              <w:top w:val="nil"/>
            </w:tcBorders>
          </w:tcPr>
          <w:p w:rsidR="00912D03" w:rsidRPr="0099390D" w:rsidRDefault="00912D03" w:rsidP="00735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390D">
              <w:rPr>
                <w:rFonts w:cs="Times New Roman"/>
                <w:sz w:val="20"/>
                <w:szCs w:val="20"/>
              </w:rPr>
              <w:t>2.</w:t>
            </w:r>
            <w:r w:rsidR="007351F3">
              <w:rPr>
                <w:rFonts w:cs="Times New Roman"/>
                <w:sz w:val="20"/>
                <w:szCs w:val="20"/>
              </w:rPr>
              <w:t>34</w:t>
            </w:r>
            <w:r w:rsidRPr="0099390D">
              <w:rPr>
                <w:rFonts w:cs="Times New Roman"/>
                <w:sz w:val="20"/>
                <w:szCs w:val="20"/>
              </w:rPr>
              <w:t xml:space="preserve"> (0.</w:t>
            </w:r>
            <w:r w:rsidR="007351F3">
              <w:rPr>
                <w:rFonts w:cs="Times New Roman"/>
                <w:sz w:val="20"/>
                <w:szCs w:val="20"/>
              </w:rPr>
              <w:t>89</w:t>
            </w:r>
            <w:r w:rsidRPr="0099390D">
              <w:rPr>
                <w:rFonts w:cs="Times New Roman"/>
                <w:sz w:val="20"/>
                <w:szCs w:val="20"/>
              </w:rPr>
              <w:t>, 6.</w:t>
            </w:r>
            <w:r w:rsidR="007351F3">
              <w:rPr>
                <w:rFonts w:cs="Times New Roman"/>
                <w:sz w:val="20"/>
                <w:szCs w:val="20"/>
              </w:rPr>
              <w:t>18</w:t>
            </w:r>
            <w:r w:rsidRPr="0099390D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nil"/>
            </w:tcBorders>
          </w:tcPr>
          <w:p w:rsidR="00912D03" w:rsidRPr="0099390D" w:rsidRDefault="00912D03" w:rsidP="00735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390D">
              <w:rPr>
                <w:rFonts w:cs="Times New Roman"/>
                <w:sz w:val="20"/>
                <w:szCs w:val="20"/>
              </w:rPr>
              <w:t>0.0</w:t>
            </w:r>
            <w:r w:rsidR="007351F3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800" w:type="dxa"/>
            <w:tcBorders>
              <w:top w:val="nil"/>
            </w:tcBorders>
          </w:tcPr>
          <w:p w:rsidR="00912D03" w:rsidRPr="0099390D" w:rsidRDefault="00535D98" w:rsidP="003A2EB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1.80</w:t>
            </w:r>
            <w:r w:rsidR="00912D03" w:rsidRPr="0099390D">
              <w:rPr>
                <w:rFonts w:cs="Times New Roman"/>
                <w:sz w:val="20"/>
                <w:szCs w:val="20"/>
              </w:rPr>
              <w:t xml:space="preserve"> (0.</w:t>
            </w:r>
            <w:r>
              <w:rPr>
                <w:rFonts w:cs="Times New Roman"/>
                <w:sz w:val="20"/>
                <w:szCs w:val="20"/>
              </w:rPr>
              <w:t>73</w:t>
            </w:r>
            <w:r w:rsidR="00912D03" w:rsidRPr="0099390D">
              <w:rPr>
                <w:rFonts w:cs="Times New Roman"/>
                <w:sz w:val="20"/>
                <w:szCs w:val="20"/>
              </w:rPr>
              <w:t>, 4.</w:t>
            </w:r>
            <w:r w:rsidR="003A2EB6">
              <w:rPr>
                <w:rFonts w:cs="Times New Roman"/>
                <w:sz w:val="20"/>
                <w:szCs w:val="20"/>
              </w:rPr>
              <w:t>46</w:t>
            </w:r>
            <w:r w:rsidR="00912D03" w:rsidRPr="0099390D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nil"/>
            </w:tcBorders>
          </w:tcPr>
          <w:p w:rsidR="00912D03" w:rsidRPr="0099390D" w:rsidRDefault="00912D03" w:rsidP="003A2E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390D">
              <w:rPr>
                <w:rFonts w:cs="Times New Roman"/>
                <w:sz w:val="20"/>
                <w:szCs w:val="20"/>
              </w:rPr>
              <w:t>0.</w:t>
            </w:r>
            <w:r w:rsidR="003A2EB6">
              <w:rPr>
                <w:rFonts w:cs="Times New Roman"/>
                <w:sz w:val="20"/>
                <w:szCs w:val="20"/>
              </w:rPr>
              <w:t>20</w:t>
            </w:r>
          </w:p>
        </w:tc>
      </w:tr>
    </w:tbl>
    <w:p w:rsidR="00912D03" w:rsidRPr="000116B1" w:rsidRDefault="00912D03" w:rsidP="00912D03">
      <w:pPr>
        <w:rPr>
          <w:rFonts w:cs="Times New Roman"/>
          <w:sz w:val="20"/>
          <w:szCs w:val="20"/>
        </w:rPr>
      </w:pPr>
      <w:proofErr w:type="spellStart"/>
      <w:r w:rsidRPr="000116B1">
        <w:rPr>
          <w:rFonts w:cs="Times New Roman"/>
          <w:sz w:val="20"/>
          <w:szCs w:val="20"/>
          <w:vertAlign w:val="superscript"/>
        </w:rPr>
        <w:t>a</w:t>
      </w:r>
      <w:r>
        <w:rPr>
          <w:rFonts w:cs="Times New Roman"/>
          <w:sz w:val="20"/>
          <w:szCs w:val="20"/>
        </w:rPr>
        <w:t>For</w:t>
      </w:r>
      <w:proofErr w:type="spellEnd"/>
      <w:r>
        <w:rPr>
          <w:rFonts w:cs="Times New Roman"/>
          <w:sz w:val="20"/>
          <w:szCs w:val="20"/>
        </w:rPr>
        <w:t xml:space="preserve"> </w:t>
      </w:r>
      <w:r w:rsidR="00A66F7D">
        <w:rPr>
          <w:rFonts w:cs="Times New Roman"/>
          <w:sz w:val="20"/>
          <w:szCs w:val="20"/>
        </w:rPr>
        <w:t>ER+/PR+, HER2- breast cancers</w:t>
      </w:r>
      <w:r>
        <w:rPr>
          <w:rFonts w:cs="Times New Roman"/>
          <w:sz w:val="20"/>
          <w:szCs w:val="20"/>
        </w:rPr>
        <w:t xml:space="preserve"> and triple</w:t>
      </w:r>
      <w:r w:rsidR="00A66F7D">
        <w:rPr>
          <w:rFonts w:cs="Times New Roman"/>
          <w:sz w:val="20"/>
          <w:szCs w:val="20"/>
        </w:rPr>
        <w:t>-</w:t>
      </w:r>
      <w:r>
        <w:rPr>
          <w:rFonts w:cs="Times New Roman"/>
          <w:sz w:val="20"/>
          <w:szCs w:val="20"/>
        </w:rPr>
        <w:t>negative breast cancers, c</w:t>
      </w:r>
      <w:r w:rsidRPr="000116B1">
        <w:rPr>
          <w:rFonts w:cs="Times New Roman"/>
          <w:sz w:val="20"/>
          <w:szCs w:val="20"/>
        </w:rPr>
        <w:t xml:space="preserve">ovariates </w:t>
      </w:r>
      <w:r>
        <w:rPr>
          <w:rFonts w:cs="Times New Roman"/>
          <w:sz w:val="20"/>
          <w:szCs w:val="20"/>
        </w:rPr>
        <w:t>adjusted</w:t>
      </w:r>
      <w:r w:rsidRPr="000116B1">
        <w:rPr>
          <w:rFonts w:cs="Times New Roman"/>
          <w:sz w:val="20"/>
          <w:szCs w:val="20"/>
        </w:rPr>
        <w:t xml:space="preserve"> including age at diagnosis, race, insurance status, marital status, census tract poverty level, AJCC stage, Bloom-Richardson grade, tumor size, lymph node involvement, </w:t>
      </w:r>
      <w:proofErr w:type="spellStart"/>
      <w:r w:rsidRPr="000116B1">
        <w:rPr>
          <w:rFonts w:cs="Times New Roman"/>
          <w:sz w:val="20"/>
          <w:szCs w:val="20"/>
        </w:rPr>
        <w:t>Charlson</w:t>
      </w:r>
      <w:proofErr w:type="spellEnd"/>
      <w:r w:rsidRPr="000116B1">
        <w:rPr>
          <w:rFonts w:cs="Times New Roman"/>
          <w:sz w:val="20"/>
          <w:szCs w:val="20"/>
        </w:rPr>
        <w:t xml:space="preserve"> Comorbidity Index, </w:t>
      </w:r>
      <w:r>
        <w:rPr>
          <w:rFonts w:cs="Times New Roman"/>
          <w:sz w:val="20"/>
          <w:szCs w:val="20"/>
        </w:rPr>
        <w:t xml:space="preserve">use of </w:t>
      </w:r>
      <w:r w:rsidRPr="000116B1">
        <w:rPr>
          <w:rFonts w:cs="Times New Roman"/>
          <w:sz w:val="20"/>
          <w:szCs w:val="20"/>
        </w:rPr>
        <w:t>granulocyte-Growth Factors/Cytokines,</w:t>
      </w:r>
      <w:r>
        <w:rPr>
          <w:rFonts w:cs="Times New Roman"/>
          <w:sz w:val="20"/>
          <w:szCs w:val="20"/>
        </w:rPr>
        <w:t xml:space="preserve"> delayed chemotherapy, regimen</w:t>
      </w:r>
      <w:r w:rsidRPr="000116B1">
        <w:rPr>
          <w:rFonts w:cs="Times New Roman"/>
          <w:sz w:val="20"/>
          <w:szCs w:val="20"/>
        </w:rPr>
        <w:t xml:space="preserve">. For </w:t>
      </w:r>
      <w:r w:rsidR="00A66F7D">
        <w:rPr>
          <w:rFonts w:cs="Times New Roman"/>
          <w:sz w:val="20"/>
          <w:szCs w:val="20"/>
        </w:rPr>
        <w:t>ER+/PR+ and HER2-</w:t>
      </w:r>
      <w:r w:rsidRPr="000116B1">
        <w:rPr>
          <w:rFonts w:cs="Times New Roman"/>
          <w:sz w:val="20"/>
          <w:szCs w:val="20"/>
        </w:rPr>
        <w:t xml:space="preserve"> </w:t>
      </w:r>
      <w:r w:rsidR="00A66F7D">
        <w:rPr>
          <w:rFonts w:cs="Times New Roman"/>
          <w:sz w:val="20"/>
          <w:szCs w:val="20"/>
        </w:rPr>
        <w:t>breast cancers</w:t>
      </w:r>
      <w:r w:rsidRPr="000116B1">
        <w:rPr>
          <w:rFonts w:cs="Times New Roman"/>
          <w:sz w:val="20"/>
          <w:szCs w:val="20"/>
        </w:rPr>
        <w:t xml:space="preserve">, use of hormone therapy </w:t>
      </w:r>
      <w:proofErr w:type="gramStart"/>
      <w:r w:rsidRPr="000116B1">
        <w:rPr>
          <w:rFonts w:cs="Times New Roman"/>
          <w:sz w:val="20"/>
          <w:szCs w:val="20"/>
        </w:rPr>
        <w:t xml:space="preserve">was </w:t>
      </w:r>
      <w:r>
        <w:rPr>
          <w:rFonts w:cs="Times New Roman"/>
          <w:sz w:val="20"/>
          <w:szCs w:val="20"/>
        </w:rPr>
        <w:t>additionally adjusted</w:t>
      </w:r>
      <w:proofErr w:type="gramEnd"/>
      <w:r w:rsidRPr="000116B1">
        <w:rPr>
          <w:rFonts w:cs="Times New Roman"/>
          <w:sz w:val="20"/>
          <w:szCs w:val="20"/>
        </w:rPr>
        <w:t>.</w:t>
      </w:r>
    </w:p>
    <w:p w:rsidR="00912D03" w:rsidRDefault="00912D03" w:rsidP="00912D03">
      <w:pPr>
        <w:rPr>
          <w:rFonts w:cs="Times New Roman"/>
          <w:sz w:val="20"/>
          <w:szCs w:val="20"/>
        </w:rPr>
      </w:pPr>
      <w:proofErr w:type="spellStart"/>
      <w:proofErr w:type="gramStart"/>
      <w:r w:rsidRPr="000116B1">
        <w:rPr>
          <w:rFonts w:cs="Times New Roman"/>
          <w:sz w:val="20"/>
          <w:szCs w:val="20"/>
          <w:vertAlign w:val="superscript"/>
        </w:rPr>
        <w:t>b</w:t>
      </w:r>
      <w:r w:rsidRPr="000116B1">
        <w:rPr>
          <w:rFonts w:cs="Times New Roman"/>
          <w:sz w:val="20"/>
          <w:szCs w:val="20"/>
        </w:rPr>
        <w:t>N</w:t>
      </w:r>
      <w:proofErr w:type="spellEnd"/>
      <w:proofErr w:type="gramEnd"/>
      <w:r w:rsidRPr="000116B1">
        <w:rPr>
          <w:rFonts w:cs="Times New Roman"/>
          <w:sz w:val="20"/>
          <w:szCs w:val="20"/>
        </w:rPr>
        <w:t xml:space="preserve"> shows the total number of patients in the analytic dataset (after excluding the patients whose </w:t>
      </w:r>
      <w:r w:rsidR="0018640E">
        <w:rPr>
          <w:rFonts w:cs="Times New Roman"/>
          <w:sz w:val="20"/>
          <w:szCs w:val="20"/>
        </w:rPr>
        <w:t>propensity score</w:t>
      </w:r>
      <w:r w:rsidRPr="000116B1">
        <w:rPr>
          <w:rFonts w:cs="Times New Roman"/>
          <w:sz w:val="20"/>
          <w:szCs w:val="20"/>
        </w:rPr>
        <w:t xml:space="preserve"> is &lt;0.1 or &gt;0.9).</w:t>
      </w:r>
    </w:p>
    <w:p w:rsidR="00912D03" w:rsidRDefault="00912D03" w:rsidP="00912D03">
      <w:pPr>
        <w:rPr>
          <w:rFonts w:cs="Times New Roman"/>
          <w:sz w:val="20"/>
          <w:szCs w:val="20"/>
        </w:rPr>
      </w:pPr>
    </w:p>
    <w:sectPr w:rsidR="00912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2B5"/>
    <w:rsid w:val="00067209"/>
    <w:rsid w:val="000765EC"/>
    <w:rsid w:val="000B167E"/>
    <w:rsid w:val="000B7EF6"/>
    <w:rsid w:val="0018640E"/>
    <w:rsid w:val="001E41E8"/>
    <w:rsid w:val="00217763"/>
    <w:rsid w:val="00254E65"/>
    <w:rsid w:val="00272BC2"/>
    <w:rsid w:val="002746FF"/>
    <w:rsid w:val="002F5128"/>
    <w:rsid w:val="00303A7D"/>
    <w:rsid w:val="00310FC1"/>
    <w:rsid w:val="0031283A"/>
    <w:rsid w:val="003151FB"/>
    <w:rsid w:val="003341DD"/>
    <w:rsid w:val="003536BE"/>
    <w:rsid w:val="00386FF7"/>
    <w:rsid w:val="003A2EB6"/>
    <w:rsid w:val="003B6821"/>
    <w:rsid w:val="003F3DF4"/>
    <w:rsid w:val="0041297C"/>
    <w:rsid w:val="00420EF4"/>
    <w:rsid w:val="004C1AF5"/>
    <w:rsid w:val="004C1F75"/>
    <w:rsid w:val="004E50B3"/>
    <w:rsid w:val="005156DA"/>
    <w:rsid w:val="00535D98"/>
    <w:rsid w:val="00543C81"/>
    <w:rsid w:val="00551CC8"/>
    <w:rsid w:val="005A4AB2"/>
    <w:rsid w:val="005B0EB9"/>
    <w:rsid w:val="005B3C5E"/>
    <w:rsid w:val="005E3E86"/>
    <w:rsid w:val="00620DD7"/>
    <w:rsid w:val="006458E7"/>
    <w:rsid w:val="007351F3"/>
    <w:rsid w:val="00807722"/>
    <w:rsid w:val="008B5291"/>
    <w:rsid w:val="008C3FF3"/>
    <w:rsid w:val="00912D03"/>
    <w:rsid w:val="0096674C"/>
    <w:rsid w:val="0098035C"/>
    <w:rsid w:val="009A02C5"/>
    <w:rsid w:val="00A662B5"/>
    <w:rsid w:val="00A66F7D"/>
    <w:rsid w:val="00AD6055"/>
    <w:rsid w:val="00B40B8C"/>
    <w:rsid w:val="00B546A4"/>
    <w:rsid w:val="00B86FFF"/>
    <w:rsid w:val="00BB18FF"/>
    <w:rsid w:val="00BD5B79"/>
    <w:rsid w:val="00C52E68"/>
    <w:rsid w:val="00CA33E5"/>
    <w:rsid w:val="00D427A1"/>
    <w:rsid w:val="00D476BB"/>
    <w:rsid w:val="00DA1CA9"/>
    <w:rsid w:val="00DD7A68"/>
    <w:rsid w:val="00DF2D88"/>
    <w:rsid w:val="00E32CC3"/>
    <w:rsid w:val="00E41575"/>
    <w:rsid w:val="00EB70A8"/>
    <w:rsid w:val="00F30DFA"/>
    <w:rsid w:val="00F66441"/>
    <w:rsid w:val="00FD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5F183"/>
  <w15:chartTrackingRefBased/>
  <w15:docId w15:val="{78A393F2-0222-423D-84A5-721BBBC7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CC3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E32CC3"/>
    <w:rPr>
      <w:rFonts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32CC3"/>
    <w:rPr>
      <w:rFonts w:ascii="Times New Roman" w:hAnsi="Times New Roman" w:cs="Times New Roman"/>
      <w:noProof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807722"/>
    <w:rPr>
      <w:color w:val="0563C1" w:themeColor="hyperlink"/>
      <w:u w:val="single"/>
    </w:rPr>
  </w:style>
  <w:style w:type="paragraph" w:styleId="Caption">
    <w:name w:val="caption"/>
    <w:basedOn w:val="Normal"/>
    <w:next w:val="Normal"/>
    <w:link w:val="CaptionChar"/>
    <w:autoRedefine/>
    <w:uiPriority w:val="35"/>
    <w:unhideWhenUsed/>
    <w:qFormat/>
    <w:rsid w:val="00912D03"/>
    <w:pPr>
      <w:keepNext/>
      <w:jc w:val="both"/>
    </w:pPr>
    <w:rPr>
      <w:rFonts w:cs="Times New Roman"/>
      <w:iCs/>
    </w:rPr>
  </w:style>
  <w:style w:type="character" w:customStyle="1" w:styleId="CaptionChar">
    <w:name w:val="Caption Char"/>
    <w:basedOn w:val="DefaultParagraphFont"/>
    <w:link w:val="Caption"/>
    <w:uiPriority w:val="35"/>
    <w:rsid w:val="00912D03"/>
    <w:rPr>
      <w:rFonts w:ascii="Times New Roman" w:hAnsi="Times New Roman" w:cs="Times New Roman"/>
      <w:iCs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912D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ferg4@lsuh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Zhang</dc:creator>
  <cp:keywords/>
  <dc:description/>
  <cp:lastModifiedBy>Zhang, Lu</cp:lastModifiedBy>
  <cp:revision>17</cp:revision>
  <cp:lastPrinted>2016-12-13T18:01:00Z</cp:lastPrinted>
  <dcterms:created xsi:type="dcterms:W3CDTF">2017-07-03T22:47:00Z</dcterms:created>
  <dcterms:modified xsi:type="dcterms:W3CDTF">2018-01-23T19:31:00Z</dcterms:modified>
</cp:coreProperties>
</file>