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67382" w14:textId="7C307B4B" w:rsidR="00880D75" w:rsidRPr="00C87BEB" w:rsidRDefault="005416B4" w:rsidP="00D67781">
      <w:pPr>
        <w:pStyle w:val="NormalWeb"/>
        <w:shd w:val="clear" w:color="auto" w:fill="FFFFFF"/>
        <w:spacing w:after="0" w:line="480" w:lineRule="auto"/>
        <w:rPr>
          <w:rFonts w:ascii="Garamond" w:hAnsi="Garamond" w:cstheme="minorHAnsi"/>
          <w:b/>
        </w:rPr>
      </w:pPr>
      <w:r>
        <w:rPr>
          <w:rFonts w:ascii="Garamond" w:hAnsi="Garamond" w:cstheme="minorHAnsi"/>
          <w:b/>
        </w:rPr>
        <w:t>SUPPLEMENTARY TEXT</w:t>
      </w:r>
      <w:r w:rsidR="00F3549F">
        <w:rPr>
          <w:rFonts w:ascii="Garamond" w:hAnsi="Garamond" w:cstheme="minorHAnsi"/>
          <w:b/>
        </w:rPr>
        <w:t xml:space="preserve"> 2</w:t>
      </w:r>
      <w:r w:rsidR="00E90614" w:rsidRPr="00C87BEB">
        <w:rPr>
          <w:rFonts w:ascii="Garamond" w:hAnsi="Garamond" w:cstheme="minorHAnsi"/>
          <w:b/>
          <w:color w:val="000000"/>
        </w:rPr>
        <w:t xml:space="preserve">. </w:t>
      </w:r>
      <w:r>
        <w:rPr>
          <w:rFonts w:ascii="Garamond" w:hAnsi="Garamond" w:cstheme="minorHAnsi"/>
          <w:b/>
        </w:rPr>
        <w:t>Provider Guidance for Pree</w:t>
      </w:r>
      <w:r w:rsidR="00880D75" w:rsidRPr="00C87BEB">
        <w:rPr>
          <w:rFonts w:ascii="Garamond" w:hAnsi="Garamond" w:cstheme="minorHAnsi"/>
          <w:b/>
        </w:rPr>
        <w:t>xposure Pro</w:t>
      </w:r>
      <w:r w:rsidR="008E77DD">
        <w:rPr>
          <w:rFonts w:ascii="Garamond" w:hAnsi="Garamond" w:cstheme="minorHAnsi"/>
          <w:b/>
        </w:rPr>
        <w:t>tection</w:t>
      </w:r>
      <w:r w:rsidR="00880D75" w:rsidRPr="00C87BEB">
        <w:rPr>
          <w:rFonts w:ascii="Garamond" w:hAnsi="Garamond" w:cstheme="minorHAnsi"/>
          <w:b/>
        </w:rPr>
        <w:t xml:space="preserve"> for Travelers</w:t>
      </w:r>
      <w:r w:rsidR="00D67781" w:rsidRPr="00C87BEB">
        <w:rPr>
          <w:rFonts w:ascii="Garamond" w:hAnsi="Garamond" w:cstheme="minorHAnsi"/>
          <w:b/>
        </w:rPr>
        <w:t xml:space="preserve"> aged ≥12 months</w:t>
      </w:r>
    </w:p>
    <w:p w14:paraId="6E9A1F96" w14:textId="0016CF58" w:rsidR="00880D75" w:rsidRPr="00C87BEB" w:rsidRDefault="00880D75" w:rsidP="000D2BB2">
      <w:pPr>
        <w:spacing w:line="480" w:lineRule="auto"/>
        <w:rPr>
          <w:rFonts w:ascii="Garamond" w:hAnsi="Garamond" w:cstheme="minorHAnsi"/>
          <w:sz w:val="24"/>
          <w:szCs w:val="24"/>
        </w:rPr>
      </w:pPr>
      <w:r w:rsidRPr="00C87BEB">
        <w:rPr>
          <w:rFonts w:ascii="Garamond" w:hAnsi="Garamond" w:cstheme="minorHAnsi"/>
          <w:sz w:val="24"/>
          <w:szCs w:val="24"/>
        </w:rPr>
        <w:t xml:space="preserve">Hepatitis A vaccination at the age-appropriate dose is preferred to IG. One dose of single-antigen HepA vaccine administered at any time before departure can provide adequate protection for most healthy persons. However, single-dose long-term protection data are limited and no data are available for other populations or other HepA vaccine formulations (e.g., Twinrix). For unvaccinated persons, the first dose of HepA vaccine should be administered as soon as travel is considered. </w:t>
      </w:r>
      <w:r w:rsidR="00CF0801" w:rsidRPr="00C87BEB">
        <w:rPr>
          <w:rStyle w:val="apple-converted-space"/>
          <w:rFonts w:ascii="Garamond" w:hAnsi="Garamond" w:cstheme="minorHAnsi"/>
          <w:color w:val="000000"/>
          <w:sz w:val="24"/>
          <w:szCs w:val="24"/>
        </w:rPr>
        <w:t xml:space="preserve">The second dose should be administered according to the licensed schedule to complete the series. </w:t>
      </w:r>
      <w:r w:rsidRPr="00C87BEB">
        <w:rPr>
          <w:rStyle w:val="apple-converted-space"/>
          <w:rFonts w:ascii="Garamond" w:hAnsi="Garamond" w:cstheme="minorHAnsi"/>
          <w:color w:val="000000"/>
          <w:sz w:val="24"/>
          <w:szCs w:val="24"/>
        </w:rPr>
        <w:t xml:space="preserve">Travelers who have received a single dose of </w:t>
      </w:r>
      <w:r w:rsidR="00CF0801" w:rsidRPr="00C87BEB">
        <w:rPr>
          <w:rFonts w:ascii="Garamond" w:hAnsi="Garamond" w:cstheme="minorHAnsi"/>
          <w:sz w:val="24"/>
          <w:szCs w:val="24"/>
        </w:rPr>
        <w:t xml:space="preserve">single-antigen </w:t>
      </w:r>
      <w:r w:rsidRPr="00C87BEB">
        <w:rPr>
          <w:rStyle w:val="apple-converted-space"/>
          <w:rFonts w:ascii="Garamond" w:hAnsi="Garamond" w:cstheme="minorHAnsi"/>
          <w:color w:val="000000"/>
          <w:sz w:val="24"/>
          <w:szCs w:val="24"/>
        </w:rPr>
        <w:t xml:space="preserve">HepA vaccine ≥6 months previously can receive a second dose of HepA vaccine to complete the vaccine series. Travelers who have received a </w:t>
      </w:r>
      <w:r w:rsidR="00CF0801" w:rsidRPr="00C87BEB">
        <w:rPr>
          <w:rStyle w:val="apple-converted-space"/>
          <w:rFonts w:ascii="Garamond" w:hAnsi="Garamond" w:cstheme="minorHAnsi"/>
          <w:color w:val="000000"/>
          <w:sz w:val="24"/>
          <w:szCs w:val="24"/>
        </w:rPr>
        <w:t xml:space="preserve">single dose of </w:t>
      </w:r>
      <w:r w:rsidR="00CF0801" w:rsidRPr="00C87BEB">
        <w:rPr>
          <w:rFonts w:ascii="Garamond" w:hAnsi="Garamond" w:cstheme="minorHAnsi"/>
          <w:sz w:val="24"/>
          <w:szCs w:val="24"/>
        </w:rPr>
        <w:t xml:space="preserve">single-antigen </w:t>
      </w:r>
      <w:r w:rsidRPr="00C87BEB">
        <w:rPr>
          <w:rStyle w:val="apple-converted-space"/>
          <w:rFonts w:ascii="Garamond" w:hAnsi="Garamond" w:cstheme="minorHAnsi"/>
          <w:color w:val="000000"/>
          <w:sz w:val="24"/>
          <w:szCs w:val="24"/>
        </w:rPr>
        <w:t xml:space="preserve">HepA vaccine within the previous 6 months do not need an additional dose for travel. </w:t>
      </w:r>
      <w:r w:rsidR="000D2BB2" w:rsidRPr="00C87BEB">
        <w:rPr>
          <w:rFonts w:ascii="Garamond" w:hAnsi="Garamond" w:cstheme="minorHAnsi"/>
          <w:sz w:val="24"/>
          <w:szCs w:val="24"/>
        </w:rPr>
        <w:t xml:space="preserve">An alternate, accelerated 4-dose schedule is available for </w:t>
      </w:r>
      <w:r w:rsidR="00CF0801" w:rsidRPr="00C87BEB">
        <w:rPr>
          <w:rFonts w:ascii="Garamond" w:hAnsi="Garamond" w:cstheme="minorHAnsi"/>
          <w:sz w:val="24"/>
          <w:szCs w:val="24"/>
        </w:rPr>
        <w:t>Twinrix</w:t>
      </w:r>
      <w:r w:rsidR="000D2BB2" w:rsidRPr="00C87BEB">
        <w:rPr>
          <w:rFonts w:ascii="Garamond" w:hAnsi="Garamond" w:cstheme="minorHAnsi"/>
          <w:sz w:val="24"/>
          <w:szCs w:val="24"/>
        </w:rPr>
        <w:t>; doses can be administered at 0, 7, and 21–30 days, followed by a dose at 12 months</w:t>
      </w:r>
      <w:r w:rsidR="00D67781" w:rsidRPr="00C87BEB">
        <w:rPr>
          <w:rFonts w:ascii="Garamond" w:hAnsi="Garamond" w:cstheme="minorHAnsi"/>
          <w:sz w:val="24"/>
          <w:szCs w:val="24"/>
        </w:rPr>
        <w:t>(</w:t>
      </w:r>
      <w:r w:rsidR="00D67781" w:rsidRPr="00C87BEB">
        <w:rPr>
          <w:rFonts w:ascii="Garamond" w:hAnsi="Garamond" w:cstheme="minorHAnsi"/>
          <w:i/>
          <w:sz w:val="24"/>
          <w:szCs w:val="24"/>
        </w:rPr>
        <w:t>1</w:t>
      </w:r>
      <w:r w:rsidR="00D67781" w:rsidRPr="00C87BEB">
        <w:rPr>
          <w:rFonts w:ascii="Garamond" w:hAnsi="Garamond" w:cstheme="minorHAnsi"/>
          <w:sz w:val="24"/>
          <w:szCs w:val="24"/>
        </w:rPr>
        <w:t>)</w:t>
      </w:r>
      <w:r w:rsidR="00051BEE">
        <w:rPr>
          <w:rFonts w:ascii="Garamond" w:hAnsi="Garamond" w:cstheme="minorHAnsi"/>
          <w:sz w:val="24"/>
          <w:szCs w:val="24"/>
        </w:rPr>
        <w:t>.</w:t>
      </w:r>
      <w:bookmarkStart w:id="0" w:name="_GoBack"/>
      <w:bookmarkEnd w:id="0"/>
    </w:p>
    <w:p w14:paraId="29BAA3EC" w14:textId="7FE094A4" w:rsidR="00880D75" w:rsidRPr="00C87BEB" w:rsidRDefault="00D67781" w:rsidP="00107A3B">
      <w:pPr>
        <w:spacing w:line="480" w:lineRule="auto"/>
        <w:rPr>
          <w:rFonts w:ascii="Garamond" w:hAnsi="Garamond" w:cstheme="minorHAnsi"/>
          <w:sz w:val="24"/>
          <w:szCs w:val="24"/>
        </w:rPr>
      </w:pPr>
      <w:r w:rsidRPr="00C87BEB">
        <w:rPr>
          <w:rFonts w:ascii="Garamond" w:hAnsi="Garamond" w:cstheme="minorHAnsi"/>
          <w:sz w:val="24"/>
          <w:szCs w:val="24"/>
        </w:rPr>
        <w:t>Patient characteristics associated with more severe manifestations of hepatitis A infection, the ability of the patient to develop protective level of antibodies after receipt of HepA vaccine, the magnitude of the risk for HAV transmission from the exposure (e.g., endemicity of HepA in the area of travel), and availability of IG and vaccine should be considered in decisions to use IG in addition to vaccine for persons aged &gt;40 years, immunocompromised persons, and persons with chronic liver disease</w:t>
      </w:r>
      <w:r w:rsidR="008E77DD">
        <w:rPr>
          <w:rFonts w:ascii="Garamond" w:hAnsi="Garamond" w:cstheme="minorHAnsi"/>
          <w:sz w:val="24"/>
          <w:szCs w:val="24"/>
        </w:rPr>
        <w:t xml:space="preserve"> </w:t>
      </w:r>
      <w:r w:rsidRPr="00C87BEB">
        <w:rPr>
          <w:rFonts w:ascii="Garamond" w:hAnsi="Garamond" w:cstheme="minorHAnsi"/>
          <w:sz w:val="24"/>
          <w:szCs w:val="24"/>
        </w:rPr>
        <w:t>(</w:t>
      </w:r>
      <w:r w:rsidRPr="00C87BEB">
        <w:rPr>
          <w:rFonts w:ascii="Garamond" w:hAnsi="Garamond" w:cstheme="minorHAnsi"/>
          <w:i/>
          <w:sz w:val="24"/>
          <w:szCs w:val="24"/>
        </w:rPr>
        <w:t>2</w:t>
      </w:r>
      <w:r w:rsidRPr="00C87BEB">
        <w:rPr>
          <w:rFonts w:ascii="Garamond" w:hAnsi="Garamond" w:cstheme="minorHAnsi"/>
          <w:sz w:val="24"/>
          <w:szCs w:val="24"/>
        </w:rPr>
        <w:t xml:space="preserve">). </w:t>
      </w:r>
      <w:r w:rsidR="00823C51" w:rsidRPr="00C87BEB">
        <w:rPr>
          <w:rFonts w:ascii="Garamond" w:hAnsi="Garamond" w:cstheme="minorHAnsi"/>
          <w:sz w:val="24"/>
          <w:szCs w:val="24"/>
        </w:rPr>
        <w:t>Pregnant women who have a specific risk (e.g., international travel) are recommended to receive the HepA vaccine</w:t>
      </w:r>
      <w:r w:rsidR="00CF41A8" w:rsidRPr="00C87BEB">
        <w:rPr>
          <w:rFonts w:ascii="Garamond" w:hAnsi="Garamond" w:cstheme="minorHAnsi"/>
          <w:sz w:val="24"/>
          <w:szCs w:val="24"/>
        </w:rPr>
        <w:t xml:space="preserve"> (</w:t>
      </w:r>
      <w:r w:rsidRPr="00C87BEB">
        <w:rPr>
          <w:rFonts w:ascii="Garamond" w:hAnsi="Garamond" w:cstheme="minorHAnsi"/>
          <w:i/>
          <w:sz w:val="24"/>
          <w:szCs w:val="24"/>
        </w:rPr>
        <w:t>3</w:t>
      </w:r>
      <w:r w:rsidR="00CF41A8" w:rsidRPr="00C87BEB">
        <w:rPr>
          <w:rFonts w:ascii="Garamond" w:hAnsi="Garamond" w:cstheme="minorHAnsi"/>
          <w:sz w:val="24"/>
          <w:szCs w:val="24"/>
        </w:rPr>
        <w:t>).</w:t>
      </w:r>
      <w:r w:rsidR="00880D75" w:rsidRPr="00C87BEB">
        <w:rPr>
          <w:rFonts w:ascii="Garamond" w:hAnsi="Garamond" w:cstheme="minorHAnsi"/>
          <w:sz w:val="24"/>
          <w:szCs w:val="24"/>
        </w:rPr>
        <w:t xml:space="preserve"> </w:t>
      </w:r>
      <w:r w:rsidR="00107A3B" w:rsidRPr="00C87BEB">
        <w:rPr>
          <w:rFonts w:ascii="Garamond" w:hAnsi="Garamond" w:cstheme="minorHAnsi"/>
          <w:sz w:val="24"/>
          <w:szCs w:val="24"/>
        </w:rPr>
        <w:t xml:space="preserve">In addition to HepA vaccine, </w:t>
      </w:r>
      <w:r w:rsidR="00880D75" w:rsidRPr="00C87BEB">
        <w:rPr>
          <w:rFonts w:ascii="Garamond" w:hAnsi="Garamond" w:cstheme="minorHAnsi"/>
          <w:sz w:val="24"/>
          <w:szCs w:val="24"/>
        </w:rPr>
        <w:t>IG can be administered</w:t>
      </w:r>
      <w:r w:rsidR="00CF41A8" w:rsidRPr="00C87BEB">
        <w:rPr>
          <w:rFonts w:ascii="Garamond" w:hAnsi="Garamond" w:cstheme="minorHAnsi"/>
          <w:sz w:val="24"/>
          <w:szCs w:val="24"/>
        </w:rPr>
        <w:t xml:space="preserve"> </w:t>
      </w:r>
      <w:r w:rsidR="00880D75" w:rsidRPr="00C87BEB">
        <w:rPr>
          <w:rFonts w:ascii="Garamond" w:hAnsi="Garamond" w:cstheme="minorHAnsi"/>
          <w:sz w:val="24"/>
          <w:szCs w:val="24"/>
        </w:rPr>
        <w:t>with consideration of the likelihood of HAV exposure during pregnancy</w:t>
      </w:r>
      <w:r w:rsidR="00CF41A8" w:rsidRPr="00C87BEB">
        <w:rPr>
          <w:rFonts w:ascii="Garamond" w:hAnsi="Garamond" w:cstheme="minorHAnsi"/>
          <w:sz w:val="24"/>
          <w:szCs w:val="24"/>
        </w:rPr>
        <w:t xml:space="preserve"> (</w:t>
      </w:r>
      <w:r w:rsidRPr="00C87BEB">
        <w:rPr>
          <w:rFonts w:ascii="Garamond" w:hAnsi="Garamond" w:cstheme="minorHAnsi"/>
          <w:i/>
          <w:sz w:val="24"/>
          <w:szCs w:val="24"/>
        </w:rPr>
        <w:t>4</w:t>
      </w:r>
      <w:r w:rsidR="00CF41A8" w:rsidRPr="00C87BEB">
        <w:rPr>
          <w:rFonts w:ascii="Garamond" w:hAnsi="Garamond" w:cstheme="minorHAnsi"/>
          <w:sz w:val="24"/>
          <w:szCs w:val="24"/>
        </w:rPr>
        <w:t>).</w:t>
      </w:r>
    </w:p>
    <w:p w14:paraId="782F53E5" w14:textId="77777777" w:rsidR="00C928FD" w:rsidRPr="00C87BEB" w:rsidRDefault="00C928FD" w:rsidP="00880D75">
      <w:pPr>
        <w:spacing w:line="480" w:lineRule="auto"/>
        <w:rPr>
          <w:rFonts w:ascii="Garamond" w:hAnsi="Garamond" w:cstheme="minorHAnsi"/>
          <w:b/>
          <w:color w:val="000000"/>
          <w:sz w:val="24"/>
          <w:szCs w:val="24"/>
        </w:rPr>
      </w:pPr>
      <w:r w:rsidRPr="00C87BEB">
        <w:rPr>
          <w:rFonts w:ascii="Garamond" w:hAnsi="Garamond" w:cstheme="minorHAnsi"/>
          <w:b/>
          <w:sz w:val="24"/>
          <w:szCs w:val="24"/>
        </w:rPr>
        <w:t>References</w:t>
      </w:r>
    </w:p>
    <w:p w14:paraId="62EB4E3C" w14:textId="77777777" w:rsidR="00D67781" w:rsidRPr="00C87BEB" w:rsidRDefault="00D67781" w:rsidP="00D67781">
      <w:pPr>
        <w:pStyle w:val="EndnoteText"/>
        <w:numPr>
          <w:ilvl w:val="0"/>
          <w:numId w:val="2"/>
        </w:numPr>
        <w:rPr>
          <w:rFonts w:ascii="Garamond" w:hAnsi="Garamond" w:cstheme="minorHAnsi"/>
          <w:sz w:val="24"/>
          <w:szCs w:val="24"/>
        </w:rPr>
      </w:pPr>
      <w:r w:rsidRPr="00C87BEB">
        <w:rPr>
          <w:rFonts w:ascii="Garamond" w:hAnsi="Garamond" w:cstheme="minorHAnsi"/>
          <w:sz w:val="24"/>
          <w:szCs w:val="24"/>
        </w:rPr>
        <w:t xml:space="preserve">Centers for Disease Control and Prevention (CDC). FDA approval for a combined hepatitis A and B vaccine. MMWR Morb Mortal Wkly Rep. 2001 Sep 21;50(37):806-7. </w:t>
      </w:r>
    </w:p>
    <w:p w14:paraId="3476B717" w14:textId="781ED76D" w:rsidR="00D67781" w:rsidRPr="00C87BEB" w:rsidRDefault="00D67781" w:rsidP="00D67781">
      <w:pPr>
        <w:pStyle w:val="EndnoteText"/>
        <w:numPr>
          <w:ilvl w:val="0"/>
          <w:numId w:val="2"/>
        </w:numPr>
        <w:rPr>
          <w:rFonts w:ascii="Garamond" w:hAnsi="Garamond" w:cstheme="minorHAnsi"/>
          <w:sz w:val="24"/>
          <w:szCs w:val="24"/>
        </w:rPr>
      </w:pPr>
      <w:r w:rsidRPr="00C87BEB">
        <w:rPr>
          <w:rFonts w:ascii="Garamond" w:hAnsi="Garamond" w:cstheme="minorHAnsi"/>
          <w:sz w:val="24"/>
          <w:szCs w:val="24"/>
        </w:rPr>
        <w:lastRenderedPageBreak/>
        <w:t>Link-Gelles R, Hofmeister MG, Nelson NP. Use of hepatitis A vaccine for post-exposure prophylaxis in individuals over 40</w:t>
      </w:r>
      <w:r w:rsidRPr="00C87BEB">
        <w:rPr>
          <w:rFonts w:ascii="Times New Roman" w:hAnsi="Times New Roman" w:cs="Times New Roman"/>
          <w:sz w:val="24"/>
          <w:szCs w:val="24"/>
        </w:rPr>
        <w:t> </w:t>
      </w:r>
      <w:r w:rsidRPr="00C87BEB">
        <w:rPr>
          <w:rFonts w:ascii="Garamond" w:hAnsi="Garamond" w:cstheme="minorHAnsi"/>
          <w:sz w:val="24"/>
          <w:szCs w:val="24"/>
        </w:rPr>
        <w:t>years of age: A systematic review of published studies and recommendations for vaccine use. Vaccine 2018;36:2745</w:t>
      </w:r>
      <w:r w:rsidRPr="00C87BEB">
        <w:rPr>
          <w:rFonts w:ascii="Garamond" w:hAnsi="Garamond" w:cs="Garamond"/>
          <w:sz w:val="24"/>
          <w:szCs w:val="24"/>
        </w:rPr>
        <w:t>–</w:t>
      </w:r>
      <w:r w:rsidRPr="00C87BEB">
        <w:rPr>
          <w:rFonts w:ascii="Garamond" w:hAnsi="Garamond" w:cstheme="minorHAnsi"/>
          <w:sz w:val="24"/>
          <w:szCs w:val="24"/>
        </w:rPr>
        <w:t>50.</w:t>
      </w:r>
    </w:p>
    <w:p w14:paraId="6AB21E6E" w14:textId="6FBB51F3" w:rsidR="00CF28B0" w:rsidRPr="00C87BEB" w:rsidRDefault="00CF28B0" w:rsidP="00D67781">
      <w:pPr>
        <w:pStyle w:val="EndnoteText"/>
        <w:numPr>
          <w:ilvl w:val="0"/>
          <w:numId w:val="2"/>
        </w:numPr>
        <w:rPr>
          <w:rFonts w:ascii="Garamond" w:hAnsi="Garamond" w:cstheme="minorHAnsi"/>
          <w:sz w:val="24"/>
          <w:szCs w:val="24"/>
        </w:rPr>
      </w:pPr>
      <w:r w:rsidRPr="00C87BEB">
        <w:rPr>
          <w:rFonts w:ascii="Garamond" w:hAnsi="Garamond" w:cstheme="minorHAnsi"/>
          <w:sz w:val="24"/>
          <w:szCs w:val="24"/>
        </w:rPr>
        <w:t xml:space="preserve">Recommended Immunization Schedule for Adults Aged 19 Years or Older by Medical Conditions and Other Indications, United States, 2018. </w:t>
      </w:r>
      <w:hyperlink r:id="rId7" w:anchor="f8" w:history="1">
        <w:r w:rsidRPr="00C87BEB">
          <w:rPr>
            <w:rFonts w:ascii="Garamond" w:hAnsi="Garamond" w:cstheme="minorHAnsi"/>
            <w:sz w:val="24"/>
            <w:szCs w:val="24"/>
          </w:rPr>
          <w:t>https://www.cdc.gov/vaccines/schedules/hcp/imz/adult-conditions.html#f8</w:t>
        </w:r>
      </w:hyperlink>
      <w:r w:rsidRPr="00C87BEB">
        <w:rPr>
          <w:rFonts w:ascii="Garamond" w:hAnsi="Garamond" w:cstheme="minorHAnsi"/>
          <w:sz w:val="24"/>
          <w:szCs w:val="24"/>
        </w:rPr>
        <w:t xml:space="preserve">. </w:t>
      </w:r>
    </w:p>
    <w:p w14:paraId="406A4A75" w14:textId="17694628" w:rsidR="00CF41A8" w:rsidRPr="00C87BEB" w:rsidRDefault="00CF41A8" w:rsidP="00D67781">
      <w:pPr>
        <w:pStyle w:val="EndnoteText"/>
        <w:numPr>
          <w:ilvl w:val="0"/>
          <w:numId w:val="2"/>
        </w:numPr>
        <w:rPr>
          <w:rFonts w:ascii="Garamond" w:hAnsi="Garamond" w:cstheme="minorHAnsi"/>
          <w:sz w:val="24"/>
          <w:szCs w:val="24"/>
        </w:rPr>
      </w:pPr>
      <w:r w:rsidRPr="00C87BEB">
        <w:rPr>
          <w:rFonts w:ascii="Garamond" w:hAnsi="Garamond" w:cstheme="minorHAnsi"/>
          <w:sz w:val="24"/>
          <w:szCs w:val="24"/>
        </w:rPr>
        <w:t>Advisory Committee on Immunization Practices (ACIP)., Fiore AE, Wasley A, Bell BP. Prevention of hepatitis A through active or passive immunization: recommendations of the Advisory Committee on Immunization Practices (ACIP). MMWR Recomm Rep. 2006 May 19;55(RR-7):1</w:t>
      </w:r>
      <w:r w:rsidR="00F97D94" w:rsidRPr="00C87BEB">
        <w:rPr>
          <w:rFonts w:ascii="Garamond" w:hAnsi="Garamond" w:cstheme="minorHAnsi"/>
          <w:sz w:val="24"/>
          <w:szCs w:val="24"/>
        </w:rPr>
        <w:t>–</w:t>
      </w:r>
      <w:r w:rsidRPr="00C87BEB">
        <w:rPr>
          <w:rFonts w:ascii="Garamond" w:hAnsi="Garamond" w:cstheme="minorHAnsi"/>
          <w:sz w:val="24"/>
          <w:szCs w:val="24"/>
        </w:rPr>
        <w:t>23.</w:t>
      </w:r>
    </w:p>
    <w:p w14:paraId="6A5E5831" w14:textId="77777777" w:rsidR="00CF41A8" w:rsidRPr="00C87BEB" w:rsidRDefault="00CF41A8" w:rsidP="00CF41A8">
      <w:pPr>
        <w:pStyle w:val="EndnoteText"/>
        <w:rPr>
          <w:rFonts w:ascii="Garamond" w:hAnsi="Garamond" w:cstheme="minorHAnsi"/>
          <w:sz w:val="24"/>
          <w:szCs w:val="24"/>
        </w:rPr>
      </w:pPr>
    </w:p>
    <w:p w14:paraId="0D3F233D" w14:textId="3EE3D8A2" w:rsidR="00D67781" w:rsidRPr="00D67781" w:rsidRDefault="00CF41A8" w:rsidP="00D67781">
      <w:pPr>
        <w:pStyle w:val="EndnoteText"/>
        <w:rPr>
          <w:rFonts w:cstheme="minorHAnsi"/>
          <w:sz w:val="22"/>
          <w:szCs w:val="22"/>
        </w:rPr>
      </w:pPr>
      <w:r w:rsidRPr="00D67781" w:rsidDel="00CF41A8">
        <w:rPr>
          <w:rFonts w:cstheme="minorHAnsi"/>
          <w:sz w:val="22"/>
          <w:szCs w:val="22"/>
        </w:rPr>
        <w:t xml:space="preserve"> </w:t>
      </w:r>
    </w:p>
    <w:sectPr w:rsidR="00D67781" w:rsidRPr="00D67781" w:rsidSect="00D26908">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F186" w14:textId="77777777" w:rsidR="005E243A" w:rsidRDefault="005E243A" w:rsidP="00880D75">
      <w:pPr>
        <w:spacing w:after="0" w:line="240" w:lineRule="auto"/>
      </w:pPr>
      <w:r>
        <w:separator/>
      </w:r>
    </w:p>
  </w:endnote>
  <w:endnote w:type="continuationSeparator" w:id="0">
    <w:p w14:paraId="78262241" w14:textId="77777777" w:rsidR="005E243A" w:rsidRDefault="005E243A" w:rsidP="0088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2918" w14:textId="77777777" w:rsidR="005E243A" w:rsidRDefault="005E243A" w:rsidP="00880D75">
      <w:pPr>
        <w:spacing w:after="0" w:line="240" w:lineRule="auto"/>
      </w:pPr>
      <w:r>
        <w:separator/>
      </w:r>
    </w:p>
  </w:footnote>
  <w:footnote w:type="continuationSeparator" w:id="0">
    <w:p w14:paraId="6022EB3B" w14:textId="77777777" w:rsidR="005E243A" w:rsidRDefault="005E243A" w:rsidP="00880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0F0"/>
    <w:multiLevelType w:val="hybridMultilevel"/>
    <w:tmpl w:val="34A8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71FB7"/>
    <w:multiLevelType w:val="multilevel"/>
    <w:tmpl w:val="C2BAE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5008E6"/>
    <w:multiLevelType w:val="hybridMultilevel"/>
    <w:tmpl w:val="1B922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75"/>
    <w:rsid w:val="000078A0"/>
    <w:rsid w:val="000136DD"/>
    <w:rsid w:val="00051BEE"/>
    <w:rsid w:val="000C6DAF"/>
    <w:rsid w:val="000D2BB2"/>
    <w:rsid w:val="00107A3B"/>
    <w:rsid w:val="00163E61"/>
    <w:rsid w:val="001F1BED"/>
    <w:rsid w:val="00292D49"/>
    <w:rsid w:val="002958F6"/>
    <w:rsid w:val="002A1F58"/>
    <w:rsid w:val="002D20F3"/>
    <w:rsid w:val="002D28C7"/>
    <w:rsid w:val="003005AA"/>
    <w:rsid w:val="003A42C9"/>
    <w:rsid w:val="003D29A1"/>
    <w:rsid w:val="00510B51"/>
    <w:rsid w:val="0054023C"/>
    <w:rsid w:val="005416B4"/>
    <w:rsid w:val="00585C34"/>
    <w:rsid w:val="005B0ED8"/>
    <w:rsid w:val="005C6436"/>
    <w:rsid w:val="005C701A"/>
    <w:rsid w:val="005D3D93"/>
    <w:rsid w:val="005E243A"/>
    <w:rsid w:val="0063198D"/>
    <w:rsid w:val="00652965"/>
    <w:rsid w:val="00680C78"/>
    <w:rsid w:val="00697097"/>
    <w:rsid w:val="006B4BB3"/>
    <w:rsid w:val="006E25C4"/>
    <w:rsid w:val="00803DE6"/>
    <w:rsid w:val="008046F6"/>
    <w:rsid w:val="00823C51"/>
    <w:rsid w:val="0087410B"/>
    <w:rsid w:val="00880D75"/>
    <w:rsid w:val="00894CC7"/>
    <w:rsid w:val="008A0A7A"/>
    <w:rsid w:val="008B4E61"/>
    <w:rsid w:val="008E77DD"/>
    <w:rsid w:val="00933536"/>
    <w:rsid w:val="00953064"/>
    <w:rsid w:val="00997AB0"/>
    <w:rsid w:val="009E0320"/>
    <w:rsid w:val="00A07FF4"/>
    <w:rsid w:val="00A31980"/>
    <w:rsid w:val="00AD1EEB"/>
    <w:rsid w:val="00B20881"/>
    <w:rsid w:val="00B36D55"/>
    <w:rsid w:val="00C264D5"/>
    <w:rsid w:val="00C63687"/>
    <w:rsid w:val="00C87BEB"/>
    <w:rsid w:val="00C928FD"/>
    <w:rsid w:val="00CB1606"/>
    <w:rsid w:val="00CF0801"/>
    <w:rsid w:val="00CF28B0"/>
    <w:rsid w:val="00CF41A8"/>
    <w:rsid w:val="00D15F52"/>
    <w:rsid w:val="00D23AA0"/>
    <w:rsid w:val="00D26908"/>
    <w:rsid w:val="00D427FA"/>
    <w:rsid w:val="00D67781"/>
    <w:rsid w:val="00E2403A"/>
    <w:rsid w:val="00E41994"/>
    <w:rsid w:val="00E7418B"/>
    <w:rsid w:val="00E90614"/>
    <w:rsid w:val="00F31E16"/>
    <w:rsid w:val="00F3549F"/>
    <w:rsid w:val="00F6538D"/>
    <w:rsid w:val="00F91175"/>
    <w:rsid w:val="00F97D9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ACACFB"/>
  <w15:chartTrackingRefBased/>
  <w15:docId w15:val="{3375D604-109A-44ED-862E-26DC8CF5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0D75"/>
  </w:style>
  <w:style w:type="paragraph" w:styleId="NormalWeb">
    <w:name w:val="Normal (Web)"/>
    <w:basedOn w:val="Normal"/>
    <w:link w:val="NormalWebChar"/>
    <w:uiPriority w:val="99"/>
    <w:unhideWhenUsed/>
    <w:rsid w:val="00880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880D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0D75"/>
    <w:rPr>
      <w:color w:val="0000FF"/>
      <w:u w:val="single"/>
    </w:rPr>
  </w:style>
  <w:style w:type="paragraph" w:styleId="EndnoteText">
    <w:name w:val="endnote text"/>
    <w:basedOn w:val="Normal"/>
    <w:link w:val="EndnoteTextChar"/>
    <w:uiPriority w:val="99"/>
    <w:unhideWhenUsed/>
    <w:rsid w:val="00880D75"/>
    <w:pPr>
      <w:spacing w:after="0" w:line="240" w:lineRule="auto"/>
    </w:pPr>
    <w:rPr>
      <w:sz w:val="20"/>
      <w:szCs w:val="20"/>
    </w:rPr>
  </w:style>
  <w:style w:type="character" w:customStyle="1" w:styleId="EndnoteTextChar">
    <w:name w:val="Endnote Text Char"/>
    <w:basedOn w:val="DefaultParagraphFont"/>
    <w:link w:val="EndnoteText"/>
    <w:uiPriority w:val="99"/>
    <w:rsid w:val="00880D75"/>
    <w:rPr>
      <w:sz w:val="20"/>
      <w:szCs w:val="20"/>
    </w:rPr>
  </w:style>
  <w:style w:type="character" w:styleId="EndnoteReference">
    <w:name w:val="endnote reference"/>
    <w:basedOn w:val="DefaultParagraphFont"/>
    <w:uiPriority w:val="99"/>
    <w:semiHidden/>
    <w:unhideWhenUsed/>
    <w:rsid w:val="00880D75"/>
    <w:rPr>
      <w:vertAlign w:val="superscript"/>
    </w:rPr>
  </w:style>
  <w:style w:type="paragraph" w:styleId="BalloonText">
    <w:name w:val="Balloon Text"/>
    <w:basedOn w:val="Normal"/>
    <w:link w:val="BalloonTextChar"/>
    <w:uiPriority w:val="99"/>
    <w:semiHidden/>
    <w:unhideWhenUsed/>
    <w:rsid w:val="008A0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7A"/>
    <w:rPr>
      <w:rFonts w:ascii="Segoe UI" w:hAnsi="Segoe UI" w:cs="Segoe UI"/>
      <w:sz w:val="18"/>
      <w:szCs w:val="18"/>
    </w:rPr>
  </w:style>
  <w:style w:type="character" w:styleId="CommentReference">
    <w:name w:val="annotation reference"/>
    <w:basedOn w:val="DefaultParagraphFont"/>
    <w:uiPriority w:val="99"/>
    <w:semiHidden/>
    <w:unhideWhenUsed/>
    <w:rsid w:val="006E25C4"/>
    <w:rPr>
      <w:sz w:val="16"/>
      <w:szCs w:val="16"/>
    </w:rPr>
  </w:style>
  <w:style w:type="paragraph" w:styleId="CommentText">
    <w:name w:val="annotation text"/>
    <w:basedOn w:val="Normal"/>
    <w:link w:val="CommentTextChar"/>
    <w:uiPriority w:val="99"/>
    <w:semiHidden/>
    <w:unhideWhenUsed/>
    <w:rsid w:val="006E25C4"/>
    <w:pPr>
      <w:spacing w:line="240" w:lineRule="auto"/>
    </w:pPr>
    <w:rPr>
      <w:sz w:val="20"/>
      <w:szCs w:val="20"/>
    </w:rPr>
  </w:style>
  <w:style w:type="character" w:customStyle="1" w:styleId="CommentTextChar">
    <w:name w:val="Comment Text Char"/>
    <w:basedOn w:val="DefaultParagraphFont"/>
    <w:link w:val="CommentText"/>
    <w:uiPriority w:val="99"/>
    <w:semiHidden/>
    <w:rsid w:val="006E25C4"/>
    <w:rPr>
      <w:sz w:val="20"/>
      <w:szCs w:val="20"/>
    </w:rPr>
  </w:style>
  <w:style w:type="paragraph" w:styleId="CommentSubject">
    <w:name w:val="annotation subject"/>
    <w:basedOn w:val="CommentText"/>
    <w:next w:val="CommentText"/>
    <w:link w:val="CommentSubjectChar"/>
    <w:uiPriority w:val="99"/>
    <w:semiHidden/>
    <w:unhideWhenUsed/>
    <w:rsid w:val="006E25C4"/>
    <w:rPr>
      <w:b/>
      <w:bCs/>
    </w:rPr>
  </w:style>
  <w:style w:type="character" w:customStyle="1" w:styleId="CommentSubjectChar">
    <w:name w:val="Comment Subject Char"/>
    <w:basedOn w:val="CommentTextChar"/>
    <w:link w:val="CommentSubject"/>
    <w:uiPriority w:val="99"/>
    <w:semiHidden/>
    <w:rsid w:val="006E25C4"/>
    <w:rPr>
      <w:b/>
      <w:bCs/>
      <w:sz w:val="20"/>
      <w:szCs w:val="20"/>
    </w:rPr>
  </w:style>
  <w:style w:type="paragraph" w:styleId="ListParagraph">
    <w:name w:val="List Paragraph"/>
    <w:basedOn w:val="Normal"/>
    <w:uiPriority w:val="34"/>
    <w:qFormat/>
    <w:rsid w:val="00F91175"/>
    <w:pPr>
      <w:ind w:left="720"/>
      <w:contextualSpacing/>
    </w:pPr>
  </w:style>
  <w:style w:type="paragraph" w:styleId="Header">
    <w:name w:val="header"/>
    <w:basedOn w:val="Normal"/>
    <w:link w:val="HeaderChar"/>
    <w:uiPriority w:val="99"/>
    <w:unhideWhenUsed/>
    <w:rsid w:val="0069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97"/>
  </w:style>
  <w:style w:type="paragraph" w:styleId="Footer">
    <w:name w:val="footer"/>
    <w:basedOn w:val="Normal"/>
    <w:link w:val="FooterChar"/>
    <w:uiPriority w:val="99"/>
    <w:unhideWhenUsed/>
    <w:rsid w:val="006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97"/>
  </w:style>
  <w:style w:type="paragraph" w:styleId="Revision">
    <w:name w:val="Revision"/>
    <w:hidden/>
    <w:uiPriority w:val="99"/>
    <w:semiHidden/>
    <w:rsid w:val="00E90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35197">
      <w:bodyDiv w:val="1"/>
      <w:marLeft w:val="0"/>
      <w:marRight w:val="0"/>
      <w:marTop w:val="0"/>
      <w:marBottom w:val="0"/>
      <w:divBdr>
        <w:top w:val="none" w:sz="0" w:space="0" w:color="auto"/>
        <w:left w:val="none" w:sz="0" w:space="0" w:color="auto"/>
        <w:bottom w:val="none" w:sz="0" w:space="0" w:color="auto"/>
        <w:right w:val="none" w:sz="0" w:space="0" w:color="auto"/>
      </w:divBdr>
      <w:divsChild>
        <w:div w:id="1995597215">
          <w:marLeft w:val="0"/>
          <w:marRight w:val="0"/>
          <w:marTop w:val="0"/>
          <w:marBottom w:val="0"/>
          <w:divBdr>
            <w:top w:val="single" w:sz="36" w:space="0" w:color="075290"/>
            <w:left w:val="none" w:sz="0" w:space="0" w:color="auto"/>
            <w:bottom w:val="none" w:sz="0" w:space="0" w:color="auto"/>
            <w:right w:val="none" w:sz="0" w:space="0" w:color="auto"/>
          </w:divBdr>
          <w:divsChild>
            <w:div w:id="2056856124">
              <w:marLeft w:val="0"/>
              <w:marRight w:val="0"/>
              <w:marTop w:val="0"/>
              <w:marBottom w:val="0"/>
              <w:divBdr>
                <w:top w:val="none" w:sz="0" w:space="0" w:color="auto"/>
                <w:left w:val="none" w:sz="0" w:space="0" w:color="auto"/>
                <w:bottom w:val="none" w:sz="0" w:space="0" w:color="auto"/>
                <w:right w:val="none" w:sz="0" w:space="0" w:color="auto"/>
              </w:divBdr>
              <w:divsChild>
                <w:div w:id="1613509499">
                  <w:marLeft w:val="0"/>
                  <w:marRight w:val="0"/>
                  <w:marTop w:val="150"/>
                  <w:marBottom w:val="0"/>
                  <w:divBdr>
                    <w:top w:val="none" w:sz="0" w:space="0" w:color="auto"/>
                    <w:left w:val="none" w:sz="0" w:space="0" w:color="auto"/>
                    <w:bottom w:val="none" w:sz="0" w:space="0" w:color="auto"/>
                    <w:right w:val="none" w:sz="0" w:space="0" w:color="auto"/>
                  </w:divBdr>
                  <w:divsChild>
                    <w:div w:id="597836210">
                      <w:marLeft w:val="-150"/>
                      <w:marRight w:val="0"/>
                      <w:marTop w:val="0"/>
                      <w:marBottom w:val="0"/>
                      <w:divBdr>
                        <w:top w:val="none" w:sz="0" w:space="0" w:color="auto"/>
                        <w:left w:val="none" w:sz="0" w:space="0" w:color="auto"/>
                        <w:bottom w:val="none" w:sz="0" w:space="0" w:color="auto"/>
                        <w:right w:val="none" w:sz="0" w:space="0" w:color="auto"/>
                      </w:divBdr>
                      <w:divsChild>
                        <w:div w:id="6946927">
                          <w:marLeft w:val="0"/>
                          <w:marRight w:val="0"/>
                          <w:marTop w:val="0"/>
                          <w:marBottom w:val="0"/>
                          <w:divBdr>
                            <w:top w:val="none" w:sz="0" w:space="0" w:color="auto"/>
                            <w:left w:val="none" w:sz="0" w:space="0" w:color="auto"/>
                            <w:bottom w:val="none" w:sz="0" w:space="0" w:color="auto"/>
                            <w:right w:val="none" w:sz="0" w:space="0" w:color="auto"/>
                          </w:divBdr>
                          <w:divsChild>
                            <w:div w:id="616564553">
                              <w:marLeft w:val="0"/>
                              <w:marRight w:val="0"/>
                              <w:marTop w:val="0"/>
                              <w:marBottom w:val="0"/>
                              <w:divBdr>
                                <w:top w:val="none" w:sz="0" w:space="0" w:color="auto"/>
                                <w:left w:val="none" w:sz="0" w:space="0" w:color="auto"/>
                                <w:bottom w:val="none" w:sz="0" w:space="0" w:color="auto"/>
                                <w:right w:val="none" w:sz="0" w:space="0" w:color="auto"/>
                              </w:divBdr>
                              <w:divsChild>
                                <w:div w:id="2027099385">
                                  <w:marLeft w:val="0"/>
                                  <w:marRight w:val="0"/>
                                  <w:marTop w:val="0"/>
                                  <w:marBottom w:val="0"/>
                                  <w:divBdr>
                                    <w:top w:val="none" w:sz="0" w:space="0" w:color="auto"/>
                                    <w:left w:val="none" w:sz="0" w:space="0" w:color="auto"/>
                                    <w:bottom w:val="none" w:sz="0" w:space="0" w:color="auto"/>
                                    <w:right w:val="none" w:sz="0" w:space="0" w:color="auto"/>
                                  </w:divBdr>
                                  <w:divsChild>
                                    <w:div w:id="321734621">
                                      <w:marLeft w:val="-150"/>
                                      <w:marRight w:val="0"/>
                                      <w:marTop w:val="0"/>
                                      <w:marBottom w:val="0"/>
                                      <w:divBdr>
                                        <w:top w:val="none" w:sz="0" w:space="0" w:color="auto"/>
                                        <w:left w:val="none" w:sz="0" w:space="0" w:color="auto"/>
                                        <w:bottom w:val="none" w:sz="0" w:space="0" w:color="auto"/>
                                        <w:right w:val="none" w:sz="0" w:space="0" w:color="auto"/>
                                      </w:divBdr>
                                      <w:divsChild>
                                        <w:div w:id="701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vaccines/schedules/hcp/imz/adult-condi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Noele (CDC/OID/NCHHSTP)</dc:creator>
  <cp:keywords/>
  <dc:description/>
  <cp:lastModifiedBy>Nelson, Noele (CDC/DDID/NCHHSTP)</cp:lastModifiedBy>
  <cp:revision>2</cp:revision>
  <cp:lastPrinted>2018-07-23T13:12:00Z</cp:lastPrinted>
  <dcterms:created xsi:type="dcterms:W3CDTF">2018-10-22T20:54:00Z</dcterms:created>
  <dcterms:modified xsi:type="dcterms:W3CDTF">2018-10-22T20:54:00Z</dcterms:modified>
</cp:coreProperties>
</file>