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B6ADC" w14:textId="4C40945E" w:rsidR="00880D75" w:rsidRPr="005E1437" w:rsidRDefault="00414C45" w:rsidP="005E1437">
      <w:pPr>
        <w:spacing w:after="120" w:line="480" w:lineRule="auto"/>
        <w:rPr>
          <w:rFonts w:ascii="Garamond" w:hAnsi="Garamond" w:cstheme="minorHAnsi"/>
          <w:b/>
          <w:sz w:val="24"/>
          <w:szCs w:val="24"/>
        </w:rPr>
      </w:pPr>
      <w:r>
        <w:rPr>
          <w:rFonts w:ascii="Garamond" w:hAnsi="Garamond" w:cstheme="minorHAnsi"/>
          <w:b/>
          <w:sz w:val="24"/>
          <w:szCs w:val="24"/>
        </w:rPr>
        <w:t>SUPPLEMENTARY TEXT</w:t>
      </w:r>
      <w:r w:rsidR="00847B5C">
        <w:rPr>
          <w:rFonts w:ascii="Garamond" w:hAnsi="Garamond" w:cstheme="minorHAnsi"/>
          <w:b/>
          <w:sz w:val="24"/>
          <w:szCs w:val="24"/>
        </w:rPr>
        <w:t xml:space="preserve"> 1</w:t>
      </w:r>
      <w:r w:rsidR="008728F6" w:rsidRPr="005E1437">
        <w:rPr>
          <w:rFonts w:ascii="Garamond" w:hAnsi="Garamond" w:cstheme="minorHAnsi"/>
          <w:b/>
          <w:sz w:val="24"/>
          <w:szCs w:val="24"/>
        </w:rPr>
        <w:t xml:space="preserve">. </w:t>
      </w:r>
      <w:r w:rsidR="00880D75" w:rsidRPr="005E1437">
        <w:rPr>
          <w:rFonts w:ascii="Garamond" w:hAnsi="Garamond" w:cstheme="minorHAnsi"/>
          <w:b/>
          <w:sz w:val="24"/>
          <w:szCs w:val="24"/>
        </w:rPr>
        <w:t>Provider Guidance on Risk Assessment and Clinical Decision</w:t>
      </w:r>
      <w:r w:rsidR="0002795C">
        <w:rPr>
          <w:rFonts w:ascii="Garamond" w:hAnsi="Garamond" w:cstheme="minorHAnsi"/>
          <w:b/>
          <w:sz w:val="24"/>
          <w:szCs w:val="24"/>
        </w:rPr>
        <w:t>-M</w:t>
      </w:r>
      <w:r w:rsidR="00880D75" w:rsidRPr="005E1437">
        <w:rPr>
          <w:rFonts w:ascii="Garamond" w:hAnsi="Garamond" w:cstheme="minorHAnsi"/>
          <w:b/>
          <w:sz w:val="24"/>
          <w:szCs w:val="24"/>
        </w:rPr>
        <w:t xml:space="preserve">aking for </w:t>
      </w:r>
      <w:r w:rsidR="006E25C4" w:rsidRPr="005E1437">
        <w:rPr>
          <w:rFonts w:ascii="Garamond" w:hAnsi="Garamond" w:cstheme="minorHAnsi"/>
          <w:b/>
          <w:sz w:val="24"/>
          <w:szCs w:val="24"/>
        </w:rPr>
        <w:t xml:space="preserve">Hepatitis A </w:t>
      </w:r>
      <w:r w:rsidR="00880D75" w:rsidRPr="005E1437">
        <w:rPr>
          <w:rFonts w:ascii="Garamond" w:hAnsi="Garamond" w:cstheme="minorHAnsi"/>
          <w:b/>
          <w:sz w:val="24"/>
          <w:szCs w:val="24"/>
        </w:rPr>
        <w:t>Post</w:t>
      </w:r>
      <w:r w:rsidR="000C6DAF" w:rsidRPr="005E1437">
        <w:rPr>
          <w:rFonts w:ascii="Garamond" w:hAnsi="Garamond" w:cstheme="minorHAnsi"/>
          <w:b/>
          <w:sz w:val="24"/>
          <w:szCs w:val="24"/>
        </w:rPr>
        <w:t>e</w:t>
      </w:r>
      <w:r w:rsidR="00880D75" w:rsidRPr="005E1437">
        <w:rPr>
          <w:rFonts w:ascii="Garamond" w:hAnsi="Garamond" w:cstheme="minorHAnsi"/>
          <w:b/>
          <w:sz w:val="24"/>
          <w:szCs w:val="24"/>
        </w:rPr>
        <w:t>xposure Prophylaxis</w:t>
      </w:r>
    </w:p>
    <w:p w14:paraId="2D954A58" w14:textId="6D027E7C" w:rsidR="00880D75" w:rsidRPr="005E1437" w:rsidRDefault="00880D75" w:rsidP="005E1437">
      <w:pPr>
        <w:pStyle w:val="NormalWeb"/>
        <w:shd w:val="clear" w:color="auto" w:fill="FFFFFF"/>
        <w:spacing w:before="0" w:beforeAutospacing="0" w:after="120" w:afterAutospacing="0" w:line="480" w:lineRule="auto"/>
        <w:rPr>
          <w:rStyle w:val="apple-converted-space"/>
          <w:rFonts w:ascii="Garamond" w:hAnsi="Garamond" w:cstheme="minorHAnsi"/>
          <w:color w:val="000000"/>
        </w:rPr>
      </w:pPr>
      <w:r w:rsidRPr="005E1437">
        <w:rPr>
          <w:rStyle w:val="apple-converted-space"/>
          <w:rFonts w:ascii="Garamond" w:hAnsi="Garamond" w:cstheme="minorHAnsi"/>
          <w:color w:val="000000"/>
        </w:rPr>
        <w:t xml:space="preserve">Healthy persons who have completed </w:t>
      </w:r>
      <w:r w:rsidRPr="005E1437">
        <w:rPr>
          <w:rFonts w:ascii="Garamond" w:eastAsia="Calibri" w:hAnsi="Garamond" w:cstheme="minorHAnsi"/>
        </w:rPr>
        <w:t xml:space="preserve">the 2-dose </w:t>
      </w:r>
      <w:r w:rsidR="006E25C4" w:rsidRPr="005E1437">
        <w:rPr>
          <w:rFonts w:ascii="Garamond" w:eastAsia="Calibri" w:hAnsi="Garamond" w:cstheme="minorHAnsi"/>
        </w:rPr>
        <w:t>hepatitis A (</w:t>
      </w:r>
      <w:r w:rsidRPr="005E1437">
        <w:rPr>
          <w:rFonts w:ascii="Garamond" w:eastAsia="Calibri" w:hAnsi="Garamond" w:cstheme="minorHAnsi"/>
        </w:rPr>
        <w:t>HepA</w:t>
      </w:r>
      <w:r w:rsidR="006E25C4" w:rsidRPr="005E1437">
        <w:rPr>
          <w:rFonts w:ascii="Garamond" w:eastAsia="Calibri" w:hAnsi="Garamond" w:cstheme="minorHAnsi"/>
        </w:rPr>
        <w:t>)</w:t>
      </w:r>
      <w:r w:rsidRPr="005E1437">
        <w:rPr>
          <w:rFonts w:ascii="Garamond" w:eastAsia="Calibri" w:hAnsi="Garamond" w:cstheme="minorHAnsi"/>
        </w:rPr>
        <w:t xml:space="preserve"> vaccin</w:t>
      </w:r>
      <w:r w:rsidR="008728F6" w:rsidRPr="005E1437">
        <w:rPr>
          <w:rFonts w:ascii="Garamond" w:eastAsia="Calibri" w:hAnsi="Garamond" w:cstheme="minorHAnsi"/>
        </w:rPr>
        <w:t>ation</w:t>
      </w:r>
      <w:r w:rsidRPr="005E1437">
        <w:rPr>
          <w:rFonts w:ascii="Garamond" w:eastAsia="Calibri" w:hAnsi="Garamond" w:cstheme="minorHAnsi"/>
        </w:rPr>
        <w:t xml:space="preserve"> series </w:t>
      </w:r>
      <w:r w:rsidRPr="005E1437">
        <w:rPr>
          <w:rStyle w:val="apple-converted-space"/>
          <w:rFonts w:ascii="Garamond" w:hAnsi="Garamond" w:cstheme="minorHAnsi"/>
          <w:color w:val="000000"/>
        </w:rPr>
        <w:t xml:space="preserve">at any time do not need additional </w:t>
      </w:r>
      <w:r w:rsidR="006E25C4" w:rsidRPr="005E1437">
        <w:rPr>
          <w:rStyle w:val="apple-converted-space"/>
          <w:rFonts w:ascii="Garamond" w:hAnsi="Garamond" w:cstheme="minorHAnsi"/>
          <w:color w:val="000000"/>
        </w:rPr>
        <w:t>post-exposure prophylaxis (</w:t>
      </w:r>
      <w:r w:rsidRPr="005E1437">
        <w:rPr>
          <w:rStyle w:val="apple-converted-space"/>
          <w:rFonts w:ascii="Garamond" w:hAnsi="Garamond" w:cstheme="minorHAnsi"/>
          <w:color w:val="000000"/>
        </w:rPr>
        <w:t>PEP</w:t>
      </w:r>
      <w:r w:rsidR="006E25C4" w:rsidRPr="005E1437">
        <w:rPr>
          <w:rStyle w:val="apple-converted-space"/>
          <w:rFonts w:ascii="Garamond" w:hAnsi="Garamond" w:cstheme="minorHAnsi"/>
          <w:color w:val="000000"/>
        </w:rPr>
        <w:t>)</w:t>
      </w:r>
      <w:r w:rsidR="008728F6" w:rsidRPr="005E1437">
        <w:rPr>
          <w:rStyle w:val="apple-converted-space"/>
          <w:rFonts w:ascii="Garamond" w:hAnsi="Garamond" w:cstheme="minorHAnsi"/>
          <w:color w:val="000000"/>
        </w:rPr>
        <w:t xml:space="preserve"> if they are exposed to hepatitis A virus</w:t>
      </w:r>
      <w:r w:rsidR="00BE18A5">
        <w:rPr>
          <w:rStyle w:val="apple-converted-space"/>
          <w:rFonts w:ascii="Garamond" w:hAnsi="Garamond" w:cstheme="minorHAnsi"/>
          <w:color w:val="000000"/>
        </w:rPr>
        <w:t>.</w:t>
      </w:r>
      <w:r w:rsidRPr="005E1437">
        <w:rPr>
          <w:rStyle w:val="apple-converted-space"/>
          <w:rFonts w:ascii="Garamond" w:hAnsi="Garamond" w:cstheme="minorHAnsi"/>
          <w:color w:val="000000"/>
        </w:rPr>
        <w:t xml:space="preserve"> </w:t>
      </w:r>
      <w:r w:rsidRPr="005E1437">
        <w:rPr>
          <w:rFonts w:ascii="Garamond" w:eastAsia="Calibri" w:hAnsi="Garamond" w:cstheme="minorHAnsi"/>
        </w:rPr>
        <w:t xml:space="preserve">HepA vaccine </w:t>
      </w:r>
      <w:r w:rsidRPr="005E1437">
        <w:rPr>
          <w:rStyle w:val="apple-converted-space"/>
          <w:rFonts w:ascii="Garamond" w:hAnsi="Garamond" w:cstheme="minorHAnsi"/>
          <w:color w:val="000000"/>
        </w:rPr>
        <w:t>provides protective antibody levels 20 years after childhood vaccination with the 2-dose series</w:t>
      </w:r>
      <w:r w:rsidR="005864B1" w:rsidRPr="005E1437">
        <w:rPr>
          <w:rStyle w:val="apple-converted-space"/>
          <w:rFonts w:ascii="Garamond" w:hAnsi="Garamond" w:cstheme="minorHAnsi"/>
          <w:color w:val="000000"/>
        </w:rPr>
        <w:t xml:space="preserve"> (</w:t>
      </w:r>
      <w:r w:rsidR="000136DD" w:rsidRPr="005E1437">
        <w:rPr>
          <w:rStyle w:val="apple-converted-space"/>
          <w:rFonts w:ascii="Garamond" w:hAnsi="Garamond" w:cstheme="minorHAnsi"/>
          <w:i/>
          <w:color w:val="000000"/>
        </w:rPr>
        <w:t>1</w:t>
      </w:r>
      <w:r w:rsidR="005864B1" w:rsidRPr="005E1437">
        <w:rPr>
          <w:rStyle w:val="apple-converted-space"/>
          <w:rFonts w:ascii="Garamond" w:hAnsi="Garamond" w:cstheme="minorHAnsi"/>
          <w:color w:val="000000"/>
        </w:rPr>
        <w:t>)</w:t>
      </w:r>
      <w:r w:rsidRPr="005E1437">
        <w:rPr>
          <w:rStyle w:val="apple-converted-space"/>
          <w:rFonts w:ascii="Garamond" w:hAnsi="Garamond" w:cstheme="minorHAnsi"/>
          <w:color w:val="000000"/>
        </w:rPr>
        <w:t>, and detectable antibodies are estimated to persist for 40 years or longer based on mathematical modeling and anti-</w:t>
      </w:r>
      <w:r w:rsidR="00F21894">
        <w:rPr>
          <w:rStyle w:val="apple-converted-space"/>
          <w:rFonts w:ascii="Garamond" w:hAnsi="Garamond" w:cstheme="minorHAnsi"/>
          <w:color w:val="000000"/>
        </w:rPr>
        <w:t>hepatitis A virus (HAV)</w:t>
      </w:r>
      <w:r w:rsidRPr="005E1437">
        <w:rPr>
          <w:rStyle w:val="apple-converted-space"/>
          <w:rFonts w:ascii="Garamond" w:hAnsi="Garamond" w:cstheme="minorHAnsi"/>
          <w:color w:val="000000"/>
        </w:rPr>
        <w:t xml:space="preserve"> kinetic studies</w:t>
      </w:r>
      <w:r w:rsidR="005864B1" w:rsidRPr="005E1437">
        <w:rPr>
          <w:rStyle w:val="apple-converted-space"/>
          <w:rFonts w:ascii="Garamond" w:hAnsi="Garamond" w:cstheme="minorHAnsi"/>
          <w:color w:val="000000"/>
        </w:rPr>
        <w:t xml:space="preserve"> (</w:t>
      </w:r>
      <w:r w:rsidR="000136DD" w:rsidRPr="005E1437">
        <w:rPr>
          <w:rStyle w:val="apple-converted-space"/>
          <w:rFonts w:ascii="Garamond" w:hAnsi="Garamond" w:cstheme="minorHAnsi"/>
          <w:i/>
          <w:color w:val="000000"/>
        </w:rPr>
        <w:t>2,3</w:t>
      </w:r>
      <w:r w:rsidR="005864B1" w:rsidRPr="005E1437">
        <w:rPr>
          <w:rStyle w:val="apple-converted-space"/>
          <w:rFonts w:ascii="Garamond" w:hAnsi="Garamond" w:cstheme="minorHAnsi"/>
          <w:color w:val="000000"/>
        </w:rPr>
        <w:t>)</w:t>
      </w:r>
      <w:r w:rsidRPr="005E1437">
        <w:rPr>
          <w:rStyle w:val="apple-converted-space"/>
          <w:rFonts w:ascii="Garamond" w:hAnsi="Garamond" w:cstheme="minorHAnsi"/>
          <w:color w:val="000000"/>
          <w:vertAlign w:val="superscript"/>
        </w:rPr>
        <w:t xml:space="preserve"> </w:t>
      </w:r>
      <w:r w:rsidRPr="005E1437">
        <w:rPr>
          <w:rStyle w:val="apple-converted-space"/>
          <w:rFonts w:ascii="Garamond" w:hAnsi="Garamond" w:cstheme="minorHAnsi"/>
          <w:color w:val="000000"/>
        </w:rPr>
        <w:t>and might be lifelong. Protective anti-</w:t>
      </w:r>
      <w:r w:rsidR="00BE18A5">
        <w:rPr>
          <w:rStyle w:val="apple-converted-space"/>
          <w:rFonts w:ascii="Garamond" w:hAnsi="Garamond" w:cstheme="minorHAnsi"/>
          <w:color w:val="000000"/>
        </w:rPr>
        <w:t xml:space="preserve">HAV </w:t>
      </w:r>
      <w:r w:rsidRPr="005E1437">
        <w:rPr>
          <w:rStyle w:val="apple-converted-space"/>
          <w:rFonts w:ascii="Garamond" w:hAnsi="Garamond" w:cstheme="minorHAnsi"/>
          <w:color w:val="000000"/>
        </w:rPr>
        <w:t xml:space="preserve">levels after a single dose of inactivated </w:t>
      </w:r>
      <w:r w:rsidRPr="005E1437">
        <w:rPr>
          <w:rFonts w:ascii="Garamond" w:eastAsia="Calibri" w:hAnsi="Garamond" w:cstheme="minorHAnsi"/>
        </w:rPr>
        <w:t xml:space="preserve">HepA vaccine </w:t>
      </w:r>
      <w:r w:rsidRPr="005E1437">
        <w:rPr>
          <w:rStyle w:val="apple-converted-space"/>
          <w:rFonts w:ascii="Garamond" w:hAnsi="Garamond" w:cstheme="minorHAnsi"/>
          <w:color w:val="000000"/>
        </w:rPr>
        <w:t>have been demonstrated to persist for at least</w:t>
      </w:r>
      <w:r w:rsidR="00680C78" w:rsidRPr="005E1437">
        <w:rPr>
          <w:rStyle w:val="apple-converted-space"/>
          <w:rFonts w:ascii="Garamond" w:hAnsi="Garamond" w:cstheme="minorHAnsi"/>
          <w:color w:val="000000"/>
        </w:rPr>
        <w:t xml:space="preserve"> 11 years</w:t>
      </w:r>
      <w:r w:rsidR="005864B1" w:rsidRPr="005E1437">
        <w:rPr>
          <w:rStyle w:val="apple-converted-space"/>
          <w:rFonts w:ascii="Garamond" w:hAnsi="Garamond" w:cstheme="minorHAnsi"/>
          <w:color w:val="000000"/>
        </w:rPr>
        <w:t xml:space="preserve"> (</w:t>
      </w:r>
      <w:r w:rsidR="000136DD" w:rsidRPr="005E1437">
        <w:rPr>
          <w:rStyle w:val="apple-converted-space"/>
          <w:rFonts w:ascii="Garamond" w:hAnsi="Garamond" w:cstheme="minorHAnsi"/>
          <w:i/>
          <w:color w:val="000000"/>
        </w:rPr>
        <w:t>4</w:t>
      </w:r>
      <w:r w:rsidR="005864B1" w:rsidRPr="005E1437">
        <w:rPr>
          <w:rStyle w:val="apple-converted-space"/>
          <w:rFonts w:ascii="Garamond" w:hAnsi="Garamond" w:cstheme="minorHAnsi"/>
          <w:color w:val="000000"/>
        </w:rPr>
        <w:t>).</w:t>
      </w:r>
      <w:r w:rsidRPr="005E1437">
        <w:rPr>
          <w:rStyle w:val="apple-converted-space"/>
          <w:rFonts w:ascii="Garamond" w:hAnsi="Garamond" w:cstheme="minorHAnsi"/>
          <w:color w:val="000000"/>
        </w:rPr>
        <w:t xml:space="preserve"> </w:t>
      </w:r>
      <w:r w:rsidRPr="005E1437">
        <w:rPr>
          <w:rFonts w:ascii="Garamond" w:hAnsi="Garamond" w:cstheme="minorHAnsi"/>
          <w:color w:val="000000"/>
        </w:rPr>
        <w:t xml:space="preserve">The effectiveness of PEP is greater the sooner after exposure it is administered. </w:t>
      </w:r>
      <w:r w:rsidRPr="005E1437">
        <w:rPr>
          <w:rStyle w:val="apple-converted-space"/>
          <w:rFonts w:ascii="Garamond" w:hAnsi="Garamond" w:cstheme="minorHAnsi"/>
        </w:rPr>
        <w:t xml:space="preserve">Therefore, if </w:t>
      </w:r>
      <w:r w:rsidRPr="005E1437">
        <w:rPr>
          <w:rFonts w:ascii="Garamond" w:hAnsi="Garamond" w:cstheme="minorHAnsi"/>
          <w:color w:val="000000"/>
        </w:rPr>
        <w:t>only</w:t>
      </w:r>
      <w:r w:rsidR="00F91175" w:rsidRPr="005E1437">
        <w:rPr>
          <w:rFonts w:ascii="Garamond" w:hAnsi="Garamond" w:cstheme="minorHAnsi"/>
          <w:color w:val="000000"/>
        </w:rPr>
        <w:t xml:space="preserve"> immune globulin</w:t>
      </w:r>
      <w:r w:rsidRPr="005E1437">
        <w:rPr>
          <w:rFonts w:ascii="Garamond" w:hAnsi="Garamond" w:cstheme="minorHAnsi"/>
          <w:color w:val="000000"/>
        </w:rPr>
        <w:t xml:space="preserve"> </w:t>
      </w:r>
      <w:r w:rsidR="00F91175" w:rsidRPr="005E1437">
        <w:rPr>
          <w:rFonts w:ascii="Garamond" w:hAnsi="Garamond" w:cstheme="minorHAnsi"/>
          <w:color w:val="000000"/>
        </w:rPr>
        <w:t>(</w:t>
      </w:r>
      <w:r w:rsidRPr="005E1437">
        <w:rPr>
          <w:rFonts w:ascii="Garamond" w:hAnsi="Garamond" w:cstheme="minorHAnsi"/>
          <w:color w:val="000000"/>
        </w:rPr>
        <w:t>IG</w:t>
      </w:r>
      <w:r w:rsidR="00F91175" w:rsidRPr="005E1437">
        <w:rPr>
          <w:rFonts w:ascii="Garamond" w:hAnsi="Garamond" w:cstheme="minorHAnsi"/>
          <w:color w:val="000000"/>
        </w:rPr>
        <w:t>)</w:t>
      </w:r>
      <w:r w:rsidR="005864B1" w:rsidRPr="005E1437">
        <w:rPr>
          <w:rFonts w:ascii="Garamond" w:hAnsi="Garamond" w:cstheme="minorHAnsi"/>
          <w:color w:val="000000"/>
        </w:rPr>
        <w:t xml:space="preserve"> (</w:t>
      </w:r>
      <w:r w:rsidR="00292D49" w:rsidRPr="005E1437">
        <w:rPr>
          <w:rFonts w:ascii="Garamond" w:hAnsi="Garamond" w:cstheme="minorHAnsi"/>
          <w:i/>
          <w:color w:val="000000"/>
        </w:rPr>
        <w:t>5</w:t>
      </w:r>
      <w:r w:rsidR="005864B1" w:rsidRPr="005E1437">
        <w:rPr>
          <w:rFonts w:ascii="Garamond" w:hAnsi="Garamond" w:cstheme="minorHAnsi"/>
          <w:color w:val="000000"/>
        </w:rPr>
        <w:t>)</w:t>
      </w:r>
      <w:r w:rsidR="00F91175" w:rsidRPr="005E1437">
        <w:rPr>
          <w:rFonts w:ascii="Garamond" w:hAnsi="Garamond" w:cstheme="minorHAnsi"/>
          <w:color w:val="000000"/>
        </w:rPr>
        <w:t xml:space="preserve"> </w:t>
      </w:r>
      <w:r w:rsidRPr="005E1437">
        <w:rPr>
          <w:rFonts w:ascii="Garamond" w:hAnsi="Garamond" w:cstheme="minorHAnsi"/>
          <w:color w:val="000000"/>
        </w:rPr>
        <w:t>or</w:t>
      </w:r>
      <w:r w:rsidRPr="005E1437">
        <w:rPr>
          <w:rStyle w:val="apple-converted-space"/>
          <w:rFonts w:ascii="Garamond" w:hAnsi="Garamond" w:cstheme="minorHAnsi"/>
        </w:rPr>
        <w:t xml:space="preserve"> only vaccine is available, </w:t>
      </w:r>
      <w:r w:rsidR="006E25C4" w:rsidRPr="005E1437">
        <w:rPr>
          <w:rStyle w:val="apple-converted-space"/>
          <w:rFonts w:ascii="Garamond" w:hAnsi="Garamond" w:cstheme="minorHAnsi"/>
        </w:rPr>
        <w:t xml:space="preserve">either </w:t>
      </w:r>
      <w:r w:rsidRPr="005E1437">
        <w:rPr>
          <w:rStyle w:val="apple-converted-space"/>
          <w:rFonts w:ascii="Garamond" w:hAnsi="Garamond" w:cstheme="minorHAnsi"/>
        </w:rPr>
        <w:t xml:space="preserve">available product should be administered as soon as possible; the exposed person may return for the </w:t>
      </w:r>
      <w:r w:rsidR="006E25C4" w:rsidRPr="005E1437">
        <w:rPr>
          <w:rStyle w:val="apple-converted-space"/>
          <w:rFonts w:ascii="Garamond" w:hAnsi="Garamond" w:cstheme="minorHAnsi"/>
        </w:rPr>
        <w:t xml:space="preserve">other </w:t>
      </w:r>
      <w:r w:rsidRPr="005E1437">
        <w:rPr>
          <w:rStyle w:val="apple-converted-space"/>
          <w:rFonts w:ascii="Garamond" w:hAnsi="Garamond" w:cstheme="minorHAnsi"/>
        </w:rPr>
        <w:t xml:space="preserve">product if it becomes available within 14 days of exposure. </w:t>
      </w:r>
      <w:r w:rsidRPr="005E1437">
        <w:rPr>
          <w:rFonts w:ascii="Garamond" w:hAnsi="Garamond" w:cstheme="minorHAnsi"/>
          <w:color w:val="000000"/>
        </w:rPr>
        <w:t>If administered simultaneously, HepA vaccine and IG should be administered in separate anatomical sites (e.g., different limbs)</w:t>
      </w:r>
      <w:r w:rsidR="005864B1" w:rsidRPr="005E1437">
        <w:rPr>
          <w:rFonts w:ascii="Garamond" w:hAnsi="Garamond" w:cstheme="minorHAnsi"/>
          <w:color w:val="000000"/>
        </w:rPr>
        <w:t xml:space="preserve"> (</w:t>
      </w:r>
      <w:r w:rsidR="00292D49" w:rsidRPr="005E1437">
        <w:rPr>
          <w:rFonts w:ascii="Garamond" w:hAnsi="Garamond" w:cstheme="minorHAnsi"/>
          <w:i/>
          <w:color w:val="000000"/>
        </w:rPr>
        <w:t>6</w:t>
      </w:r>
      <w:r w:rsidR="005864B1" w:rsidRPr="005E1437">
        <w:rPr>
          <w:rFonts w:ascii="Garamond" w:hAnsi="Garamond" w:cstheme="minorHAnsi"/>
          <w:color w:val="000000"/>
        </w:rPr>
        <w:t>).</w:t>
      </w:r>
      <w:r w:rsidR="00C928FD" w:rsidRPr="005E1437">
        <w:rPr>
          <w:rStyle w:val="apple-converted-space"/>
          <w:rFonts w:ascii="Garamond" w:hAnsi="Garamond" w:cstheme="minorHAnsi"/>
          <w:color w:val="000000"/>
        </w:rPr>
        <w:t xml:space="preserve"> </w:t>
      </w:r>
      <w:r w:rsidRPr="005E1437">
        <w:rPr>
          <w:rStyle w:val="apple-converted-space"/>
          <w:rFonts w:ascii="Garamond" w:hAnsi="Garamond" w:cstheme="minorHAnsi"/>
          <w:color w:val="000000"/>
        </w:rPr>
        <w:t xml:space="preserve">The HepA vaccine series should be completed with a second dose at least 6 months after the first dose for long-term protection. </w:t>
      </w:r>
    </w:p>
    <w:p w14:paraId="5351DCF9" w14:textId="74048D3D" w:rsidR="00880D75" w:rsidRPr="005E1437" w:rsidRDefault="00880D75" w:rsidP="005E1437">
      <w:pPr>
        <w:pStyle w:val="NormalWeb"/>
        <w:shd w:val="clear" w:color="auto" w:fill="FFFFFF"/>
        <w:spacing w:before="0" w:beforeAutospacing="0" w:after="120" w:afterAutospacing="0" w:line="480" w:lineRule="auto"/>
        <w:rPr>
          <w:rStyle w:val="apple-converted-space"/>
          <w:rFonts w:ascii="Garamond" w:hAnsi="Garamond" w:cstheme="minorHAnsi"/>
          <w:color w:val="000000"/>
        </w:rPr>
      </w:pPr>
      <w:r w:rsidRPr="005E1437">
        <w:rPr>
          <w:rStyle w:val="apple-converted-space"/>
          <w:rFonts w:ascii="Garamond" w:hAnsi="Garamond" w:cstheme="minorHAnsi"/>
          <w:color w:val="000000"/>
        </w:rPr>
        <w:t xml:space="preserve">No data are available on the efficacy of combination hepatitis A and hepatitis B vaccine </w:t>
      </w:r>
      <w:r w:rsidRPr="005E1437">
        <w:rPr>
          <w:rFonts w:ascii="Garamond" w:hAnsi="Garamond" w:cstheme="minorHAnsi"/>
          <w:color w:val="000000"/>
        </w:rPr>
        <w:t>(</w:t>
      </w:r>
      <w:r w:rsidR="00633B08" w:rsidRPr="00633B08">
        <w:rPr>
          <w:rStyle w:val="apple-converted-space"/>
          <w:rFonts w:ascii="Garamond" w:hAnsi="Garamond" w:cstheme="minorHAnsi"/>
          <w:color w:val="000000"/>
        </w:rPr>
        <w:t>Twinrix</w:t>
      </w:r>
      <w:r w:rsidRPr="005E1437">
        <w:rPr>
          <w:rStyle w:val="apple-converted-space"/>
          <w:rFonts w:ascii="Garamond" w:hAnsi="Garamond" w:cstheme="minorHAnsi"/>
          <w:color w:val="000000"/>
        </w:rPr>
        <w:t>)</w:t>
      </w:r>
      <w:r w:rsidR="006E25C4" w:rsidRPr="005E1437">
        <w:rPr>
          <w:rStyle w:val="apple-converted-space"/>
          <w:rFonts w:ascii="Garamond" w:hAnsi="Garamond" w:cstheme="minorHAnsi"/>
          <w:color w:val="000000"/>
        </w:rPr>
        <w:t xml:space="preserve"> for prophylaxis after exposure to HAV in outbreak settings</w:t>
      </w:r>
      <w:r w:rsidRPr="005E1437">
        <w:rPr>
          <w:rStyle w:val="apple-converted-space"/>
          <w:rFonts w:ascii="Garamond" w:hAnsi="Garamond" w:cstheme="minorHAnsi"/>
          <w:color w:val="000000"/>
        </w:rPr>
        <w:t>,</w:t>
      </w:r>
      <w:r w:rsidR="006E25C4" w:rsidRPr="005E1437">
        <w:rPr>
          <w:rStyle w:val="apple-converted-space"/>
          <w:rFonts w:ascii="Garamond" w:hAnsi="Garamond" w:cstheme="minorHAnsi"/>
          <w:color w:val="000000"/>
        </w:rPr>
        <w:t xml:space="preserve"> as it</w:t>
      </w:r>
      <w:r w:rsidRPr="005E1437">
        <w:rPr>
          <w:rStyle w:val="apple-converted-space"/>
          <w:rFonts w:ascii="Garamond" w:hAnsi="Garamond" w:cstheme="minorHAnsi"/>
          <w:color w:val="000000"/>
        </w:rPr>
        <w:t xml:space="preserve"> is licensed only for adults and contains half the hepatitis A antigen contained in adult HepA vaccines</w:t>
      </w:r>
      <w:r w:rsidR="00D15F52" w:rsidRPr="005E1437">
        <w:rPr>
          <w:rStyle w:val="apple-converted-space"/>
          <w:rFonts w:ascii="Garamond" w:hAnsi="Garamond" w:cstheme="minorHAnsi"/>
          <w:color w:val="000000"/>
        </w:rPr>
        <w:t>.</w:t>
      </w:r>
      <w:r w:rsidR="00F6538D" w:rsidRPr="005E1437">
        <w:rPr>
          <w:rStyle w:val="apple-converted-space"/>
          <w:rFonts w:ascii="Garamond" w:hAnsi="Garamond" w:cstheme="minorHAnsi"/>
          <w:color w:val="000000"/>
        </w:rPr>
        <w:t xml:space="preserve"> </w:t>
      </w:r>
      <w:r w:rsidRPr="005E1437">
        <w:rPr>
          <w:rStyle w:val="apple-converted-space"/>
          <w:rFonts w:ascii="Garamond" w:hAnsi="Garamond" w:cstheme="minorHAnsi"/>
          <w:color w:val="000000"/>
        </w:rPr>
        <w:t xml:space="preserve">Therefore, </w:t>
      </w:r>
      <w:r w:rsidR="00633B08" w:rsidRPr="00633B08">
        <w:rPr>
          <w:rStyle w:val="apple-converted-space"/>
          <w:rFonts w:ascii="Garamond" w:hAnsi="Garamond" w:cstheme="minorHAnsi"/>
          <w:color w:val="000000"/>
        </w:rPr>
        <w:t>Twinrix</w:t>
      </w:r>
      <w:r w:rsidRPr="005E1437">
        <w:rPr>
          <w:rStyle w:val="apple-converted-space"/>
          <w:rFonts w:ascii="Garamond" w:hAnsi="Garamond" w:cstheme="minorHAnsi"/>
          <w:color w:val="000000"/>
        </w:rPr>
        <w:t xml:space="preserve"> should not be used for postexposure prophylaxis</w:t>
      </w:r>
      <w:r w:rsidR="006E25C4" w:rsidRPr="005E1437">
        <w:rPr>
          <w:rStyle w:val="apple-converted-space"/>
          <w:rFonts w:ascii="Garamond" w:hAnsi="Garamond" w:cstheme="minorHAnsi"/>
          <w:color w:val="000000"/>
        </w:rPr>
        <w:t xml:space="preserve">, but </w:t>
      </w:r>
      <w:r w:rsidR="00633B08">
        <w:rPr>
          <w:rStyle w:val="apple-converted-space"/>
          <w:rFonts w:ascii="Garamond" w:hAnsi="Garamond" w:cstheme="minorHAnsi"/>
          <w:color w:val="000000"/>
        </w:rPr>
        <w:t>may</w:t>
      </w:r>
      <w:r w:rsidR="006E25C4" w:rsidRPr="005E1437">
        <w:rPr>
          <w:rStyle w:val="apple-converted-space"/>
          <w:rFonts w:ascii="Garamond" w:hAnsi="Garamond" w:cstheme="minorHAnsi"/>
          <w:color w:val="000000"/>
        </w:rPr>
        <w:t xml:space="preserve"> be used to confer protection to at-risk but not</w:t>
      </w:r>
      <w:r w:rsidR="008728F6" w:rsidRPr="005E1437">
        <w:rPr>
          <w:rStyle w:val="apple-converted-space"/>
          <w:rFonts w:ascii="Garamond" w:hAnsi="Garamond" w:cstheme="minorHAnsi"/>
          <w:color w:val="000000"/>
        </w:rPr>
        <w:t xml:space="preserve"> </w:t>
      </w:r>
      <w:r w:rsidR="006E25C4" w:rsidRPr="005E1437">
        <w:rPr>
          <w:rStyle w:val="apple-converted-space"/>
          <w:rFonts w:ascii="Garamond" w:hAnsi="Garamond" w:cstheme="minorHAnsi"/>
          <w:color w:val="000000"/>
        </w:rPr>
        <w:t>yet exposed persons during an outbreak</w:t>
      </w:r>
      <w:r w:rsidRPr="005E1437">
        <w:rPr>
          <w:rStyle w:val="apple-converted-space"/>
          <w:rFonts w:ascii="Garamond" w:hAnsi="Garamond" w:cstheme="minorHAnsi"/>
          <w:color w:val="000000"/>
        </w:rPr>
        <w:t>.</w:t>
      </w:r>
    </w:p>
    <w:p w14:paraId="06971AFC" w14:textId="0605BB1B" w:rsidR="00880D75" w:rsidRPr="005E1437" w:rsidRDefault="00880D75" w:rsidP="005E1437">
      <w:pPr>
        <w:spacing w:after="120" w:line="480" w:lineRule="auto"/>
        <w:rPr>
          <w:rFonts w:ascii="Garamond" w:hAnsi="Garamond" w:cstheme="minorHAnsi"/>
          <w:sz w:val="24"/>
          <w:szCs w:val="24"/>
        </w:rPr>
      </w:pPr>
      <w:r w:rsidRPr="005E1437">
        <w:rPr>
          <w:rFonts w:ascii="Garamond" w:hAnsi="Garamond" w:cstheme="minorHAnsi"/>
          <w:sz w:val="24"/>
          <w:szCs w:val="24"/>
        </w:rPr>
        <w:t xml:space="preserve">Patient characteristics associated with more severe manifestations of hepatitis A infection, the ability of the patient to develop protective level of antibodies after receipt of HepA vaccine, the magnitude of the risk for HAV transmission from the exposure (see section below), and availability of IG and </w:t>
      </w:r>
      <w:r w:rsidRPr="005E1437">
        <w:rPr>
          <w:rFonts w:ascii="Garamond" w:hAnsi="Garamond" w:cstheme="minorHAnsi"/>
          <w:sz w:val="24"/>
          <w:szCs w:val="24"/>
        </w:rPr>
        <w:lastRenderedPageBreak/>
        <w:t>vaccine should be considered in decisions to use IG and/or vaccine</w:t>
      </w:r>
      <w:r w:rsidR="005864B1" w:rsidRPr="005E1437">
        <w:rPr>
          <w:rFonts w:ascii="Garamond" w:hAnsi="Garamond" w:cstheme="minorHAnsi"/>
          <w:sz w:val="24"/>
          <w:szCs w:val="24"/>
        </w:rPr>
        <w:t xml:space="preserve"> (</w:t>
      </w:r>
      <w:r w:rsidR="00D23AA0" w:rsidRPr="005E1437">
        <w:rPr>
          <w:rFonts w:ascii="Garamond" w:hAnsi="Garamond" w:cstheme="minorHAnsi"/>
          <w:i/>
          <w:sz w:val="24"/>
          <w:szCs w:val="24"/>
        </w:rPr>
        <w:t>7</w:t>
      </w:r>
      <w:r w:rsidR="005864B1" w:rsidRPr="005E1437">
        <w:rPr>
          <w:rFonts w:ascii="Garamond" w:hAnsi="Garamond" w:cstheme="minorHAnsi"/>
          <w:sz w:val="24"/>
          <w:szCs w:val="24"/>
        </w:rPr>
        <w:t>).</w:t>
      </w:r>
      <w:r w:rsidRPr="005E1437">
        <w:rPr>
          <w:rFonts w:ascii="Garamond" w:hAnsi="Garamond" w:cstheme="minorHAnsi"/>
          <w:sz w:val="24"/>
          <w:szCs w:val="24"/>
        </w:rPr>
        <w:t xml:space="preserve"> Immunocompromised persons and persons less capable of developing a normal immune response m</w:t>
      </w:r>
      <w:r w:rsidR="004C3AE0" w:rsidRPr="005E1437">
        <w:rPr>
          <w:rFonts w:ascii="Garamond" w:hAnsi="Garamond" w:cstheme="minorHAnsi"/>
          <w:sz w:val="24"/>
          <w:szCs w:val="24"/>
        </w:rPr>
        <w:t>ight</w:t>
      </w:r>
      <w:r w:rsidRPr="005E1437">
        <w:rPr>
          <w:rFonts w:ascii="Garamond" w:hAnsi="Garamond" w:cstheme="minorHAnsi"/>
          <w:sz w:val="24"/>
          <w:szCs w:val="24"/>
        </w:rPr>
        <w:t xml:space="preserve"> not respond fully to vaccination</w:t>
      </w:r>
      <w:r w:rsidR="005864B1" w:rsidRPr="005E1437">
        <w:rPr>
          <w:rFonts w:ascii="Garamond" w:hAnsi="Garamond" w:cstheme="minorHAnsi"/>
          <w:sz w:val="24"/>
          <w:szCs w:val="24"/>
        </w:rPr>
        <w:t xml:space="preserve"> (</w:t>
      </w:r>
      <w:r w:rsidR="00107A3B" w:rsidRPr="005E1437">
        <w:rPr>
          <w:rFonts w:ascii="Garamond" w:hAnsi="Garamond" w:cstheme="minorHAnsi"/>
          <w:i/>
          <w:sz w:val="24"/>
          <w:szCs w:val="24"/>
        </w:rPr>
        <w:t>6</w:t>
      </w:r>
      <w:r w:rsidR="005864B1" w:rsidRPr="005E1437">
        <w:rPr>
          <w:rFonts w:ascii="Garamond" w:hAnsi="Garamond" w:cstheme="minorHAnsi"/>
          <w:sz w:val="24"/>
          <w:szCs w:val="24"/>
        </w:rPr>
        <w:t>)</w:t>
      </w:r>
      <w:r w:rsidR="004C3AE0" w:rsidRPr="005E1437">
        <w:rPr>
          <w:rFonts w:ascii="Garamond" w:hAnsi="Garamond" w:cstheme="minorHAnsi"/>
          <w:sz w:val="24"/>
          <w:szCs w:val="24"/>
        </w:rPr>
        <w:t>.</w:t>
      </w:r>
      <w:r w:rsidRPr="005E1437">
        <w:rPr>
          <w:rFonts w:ascii="Garamond" w:hAnsi="Garamond" w:cstheme="minorHAnsi"/>
          <w:sz w:val="24"/>
          <w:szCs w:val="24"/>
        </w:rPr>
        <w:t xml:space="preserve"> HepA vaccine should be given as PEP, with or without IG, in populations recommended to receive HepA vaccine because it provides long-term immunity that IG does not provide</w:t>
      </w:r>
      <w:r w:rsidR="005864B1" w:rsidRPr="005E1437">
        <w:rPr>
          <w:rFonts w:ascii="Garamond" w:hAnsi="Garamond" w:cstheme="minorHAnsi"/>
          <w:sz w:val="24"/>
          <w:szCs w:val="24"/>
        </w:rPr>
        <w:t xml:space="preserve"> (</w:t>
      </w:r>
      <w:r w:rsidR="00823C51" w:rsidRPr="005E1437">
        <w:rPr>
          <w:rFonts w:ascii="Garamond" w:hAnsi="Garamond" w:cstheme="minorHAnsi"/>
          <w:i/>
          <w:sz w:val="24"/>
          <w:szCs w:val="24"/>
        </w:rPr>
        <w:t>1</w:t>
      </w:r>
      <w:r w:rsidR="005864B1" w:rsidRPr="005E1437">
        <w:rPr>
          <w:rFonts w:ascii="Garamond" w:hAnsi="Garamond" w:cstheme="minorHAnsi"/>
          <w:i/>
          <w:sz w:val="24"/>
          <w:szCs w:val="24"/>
        </w:rPr>
        <w:t>–</w:t>
      </w:r>
      <w:r w:rsidR="00823C51" w:rsidRPr="005E1437">
        <w:rPr>
          <w:rFonts w:ascii="Garamond" w:hAnsi="Garamond" w:cstheme="minorHAnsi"/>
          <w:i/>
          <w:sz w:val="24"/>
          <w:szCs w:val="24"/>
        </w:rPr>
        <w:t>3</w:t>
      </w:r>
      <w:r w:rsidR="005864B1" w:rsidRPr="005E1437">
        <w:rPr>
          <w:rFonts w:ascii="Garamond" w:hAnsi="Garamond" w:cstheme="minorHAnsi"/>
          <w:sz w:val="24"/>
          <w:szCs w:val="24"/>
        </w:rPr>
        <w:t xml:space="preserve">). </w:t>
      </w:r>
      <w:r w:rsidRPr="005E1437">
        <w:rPr>
          <w:rFonts w:ascii="Garamond" w:hAnsi="Garamond" w:cstheme="minorHAnsi"/>
          <w:sz w:val="24"/>
          <w:szCs w:val="24"/>
        </w:rPr>
        <w:t xml:space="preserve">Adults who are routinely recommended to receive HepA vaccine are travelers to hepatitis A endemic areas, men who have sex with men, </w:t>
      </w:r>
      <w:r w:rsidR="00894CC7" w:rsidRPr="005E1437">
        <w:rPr>
          <w:rFonts w:ascii="Garamond" w:hAnsi="Garamond" w:cstheme="minorHAnsi"/>
          <w:sz w:val="24"/>
          <w:szCs w:val="24"/>
        </w:rPr>
        <w:t>persons who use</w:t>
      </w:r>
      <w:r w:rsidRPr="005E1437">
        <w:rPr>
          <w:rFonts w:ascii="Garamond" w:hAnsi="Garamond" w:cstheme="minorHAnsi"/>
          <w:sz w:val="24"/>
          <w:szCs w:val="24"/>
        </w:rPr>
        <w:t xml:space="preserve"> injection and non-injection drugs, persons with chronic liver disease</w:t>
      </w:r>
      <w:r w:rsidR="00894CC7" w:rsidRPr="005E1437">
        <w:rPr>
          <w:rFonts w:ascii="Garamond" w:hAnsi="Garamond" w:cstheme="minorHAnsi"/>
          <w:sz w:val="24"/>
          <w:szCs w:val="24"/>
        </w:rPr>
        <w:t>, persons with clotting factor disorders, persons working with nonhuman primates</w:t>
      </w:r>
      <w:r w:rsidR="004C3AE0" w:rsidRPr="005E1437">
        <w:rPr>
          <w:rFonts w:ascii="Garamond" w:hAnsi="Garamond" w:cstheme="minorHAnsi"/>
          <w:sz w:val="24"/>
          <w:szCs w:val="24"/>
        </w:rPr>
        <w:t>,</w:t>
      </w:r>
      <w:r w:rsidR="00894CC7" w:rsidRPr="005E1437">
        <w:rPr>
          <w:rFonts w:ascii="Garamond" w:hAnsi="Garamond" w:cstheme="minorHAnsi"/>
          <w:sz w:val="24"/>
          <w:szCs w:val="24"/>
        </w:rPr>
        <w:t xml:space="preserve"> and household members and other close personal contacts of adopted children newly arriving from countries with high or intermediate hepatitis A endemicity</w:t>
      </w:r>
      <w:r w:rsidR="005864B1" w:rsidRPr="005E1437">
        <w:rPr>
          <w:rFonts w:ascii="Garamond" w:hAnsi="Garamond" w:cstheme="minorHAnsi"/>
          <w:sz w:val="24"/>
          <w:szCs w:val="24"/>
        </w:rPr>
        <w:t xml:space="preserve"> (</w:t>
      </w:r>
      <w:r w:rsidR="005E243A" w:rsidRPr="005E1437">
        <w:rPr>
          <w:rFonts w:ascii="Garamond" w:hAnsi="Garamond" w:cstheme="minorHAnsi"/>
          <w:i/>
          <w:sz w:val="24"/>
          <w:szCs w:val="24"/>
        </w:rPr>
        <w:t>8</w:t>
      </w:r>
      <w:r w:rsidR="005864B1" w:rsidRPr="005E1437">
        <w:rPr>
          <w:rFonts w:ascii="Garamond" w:hAnsi="Garamond" w:cstheme="minorHAnsi"/>
          <w:sz w:val="24"/>
          <w:szCs w:val="24"/>
        </w:rPr>
        <w:t>).</w:t>
      </w:r>
      <w:r w:rsidR="00B66A78">
        <w:rPr>
          <w:rFonts w:ascii="Garamond" w:hAnsi="Garamond" w:cstheme="minorHAnsi"/>
          <w:sz w:val="24"/>
          <w:szCs w:val="24"/>
        </w:rPr>
        <w:t xml:space="preserve"> </w:t>
      </w:r>
      <w:r w:rsidR="00894CC7" w:rsidRPr="005E1437">
        <w:rPr>
          <w:rFonts w:ascii="Garamond" w:hAnsi="Garamond" w:cstheme="minorHAnsi"/>
          <w:sz w:val="24"/>
          <w:szCs w:val="24"/>
        </w:rPr>
        <w:t>In addition,</w:t>
      </w:r>
      <w:r w:rsidR="00894CC7" w:rsidRPr="005E1437">
        <w:rPr>
          <w:rFonts w:ascii="Garamond" w:hAnsi="Garamond" w:cstheme="minorHAnsi"/>
          <w:sz w:val="24"/>
          <w:szCs w:val="24"/>
          <w:vertAlign w:val="superscript"/>
        </w:rPr>
        <w:t xml:space="preserve"> </w:t>
      </w:r>
      <w:r w:rsidR="00894CC7" w:rsidRPr="005E1437">
        <w:rPr>
          <w:rFonts w:ascii="Garamond" w:hAnsi="Garamond" w:cstheme="minorHAnsi"/>
          <w:sz w:val="24"/>
          <w:szCs w:val="24"/>
        </w:rPr>
        <w:t>h</w:t>
      </w:r>
      <w:r w:rsidR="00A31980" w:rsidRPr="005E1437">
        <w:rPr>
          <w:rFonts w:ascii="Garamond" w:hAnsi="Garamond" w:cstheme="minorHAnsi"/>
          <w:sz w:val="24"/>
          <w:szCs w:val="24"/>
        </w:rPr>
        <w:t xml:space="preserve">omelessness has been associated with hepatitis A </w:t>
      </w:r>
      <w:r w:rsidR="00894CC7" w:rsidRPr="005E1437">
        <w:rPr>
          <w:rFonts w:ascii="Garamond" w:hAnsi="Garamond" w:cstheme="minorHAnsi"/>
          <w:sz w:val="24"/>
          <w:szCs w:val="24"/>
        </w:rPr>
        <w:t xml:space="preserve">cases and </w:t>
      </w:r>
      <w:r w:rsidR="00A31980" w:rsidRPr="005E1437">
        <w:rPr>
          <w:rFonts w:ascii="Garamond" w:hAnsi="Garamond" w:cstheme="minorHAnsi"/>
          <w:sz w:val="24"/>
          <w:szCs w:val="24"/>
        </w:rPr>
        <w:t>outbreak</w:t>
      </w:r>
      <w:r w:rsidR="00894CC7" w:rsidRPr="005E1437">
        <w:rPr>
          <w:rFonts w:ascii="Garamond" w:hAnsi="Garamond" w:cstheme="minorHAnsi"/>
          <w:sz w:val="24"/>
          <w:szCs w:val="24"/>
        </w:rPr>
        <w:t>s</w:t>
      </w:r>
      <w:r w:rsidR="005864B1" w:rsidRPr="005E1437">
        <w:rPr>
          <w:rFonts w:ascii="Garamond" w:hAnsi="Garamond" w:cstheme="minorHAnsi"/>
          <w:sz w:val="24"/>
          <w:szCs w:val="24"/>
        </w:rPr>
        <w:t xml:space="preserve"> (</w:t>
      </w:r>
      <w:r w:rsidR="005E243A" w:rsidRPr="005E1437">
        <w:rPr>
          <w:rFonts w:ascii="Garamond" w:hAnsi="Garamond" w:cstheme="minorHAnsi"/>
          <w:i/>
          <w:sz w:val="24"/>
          <w:szCs w:val="24"/>
        </w:rPr>
        <w:t>9</w:t>
      </w:r>
      <w:r w:rsidR="005864B1" w:rsidRPr="005E1437">
        <w:rPr>
          <w:rFonts w:ascii="Garamond" w:hAnsi="Garamond" w:cstheme="minorHAnsi"/>
          <w:sz w:val="24"/>
          <w:szCs w:val="24"/>
        </w:rPr>
        <w:t>)</w:t>
      </w:r>
      <w:r w:rsidR="001348EF" w:rsidRPr="00582197">
        <w:rPr>
          <w:rFonts w:ascii="Garamond" w:eastAsia="Times New Roman" w:hAnsi="Garamond" w:cs="Calibri"/>
        </w:rPr>
        <w:t>,</w:t>
      </w:r>
      <w:r w:rsidR="001348EF" w:rsidRPr="00582197">
        <w:rPr>
          <w:rStyle w:val="apple-converted-space"/>
          <w:rFonts w:ascii="Garamond" w:eastAsia="Times New Roman" w:hAnsi="Garamond" w:cs="Calibri"/>
        </w:rPr>
        <w:t> </w:t>
      </w:r>
      <w:r w:rsidR="001348EF" w:rsidRPr="00582197">
        <w:rPr>
          <w:rFonts w:ascii="Garamond" w:eastAsia="Times New Roman" w:hAnsi="Garamond" w:cs="Calibri"/>
          <w:bCs/>
        </w:rPr>
        <w:t xml:space="preserve">and </w:t>
      </w:r>
      <w:bookmarkStart w:id="0" w:name="_GoBack"/>
      <w:bookmarkEnd w:id="0"/>
      <w:r w:rsidR="001348EF" w:rsidRPr="00582197">
        <w:rPr>
          <w:rFonts w:ascii="Garamond" w:eastAsia="Times New Roman" w:hAnsi="Garamond" w:cs="Calibri"/>
          <w:bCs/>
        </w:rPr>
        <w:t xml:space="preserve">homelessness was approved as an indication for hepatitis A vaccination by the Advisory Committee on Immunization Practices (ACIP) at the </w:t>
      </w:r>
      <w:r w:rsidR="003A003F" w:rsidRPr="00582197">
        <w:rPr>
          <w:rFonts w:ascii="Garamond" w:eastAsia="Times New Roman" w:hAnsi="Garamond" w:cs="Calibri"/>
          <w:bCs/>
        </w:rPr>
        <w:t>October</w:t>
      </w:r>
      <w:r w:rsidR="001348EF" w:rsidRPr="00582197">
        <w:rPr>
          <w:rFonts w:ascii="Garamond" w:eastAsia="Times New Roman" w:hAnsi="Garamond" w:cs="Calibri"/>
          <w:bCs/>
        </w:rPr>
        <w:t xml:space="preserve"> 2018 meeting</w:t>
      </w:r>
      <w:r w:rsidR="001348EF">
        <w:rPr>
          <w:rFonts w:ascii="Garamond" w:eastAsia="Times New Roman" w:hAnsi="Garamond" w:cs="Calibri"/>
          <w:b/>
          <w:bCs/>
        </w:rPr>
        <w:t>.</w:t>
      </w:r>
      <w:r w:rsidR="00A31980" w:rsidRPr="005E1437">
        <w:rPr>
          <w:rFonts w:ascii="Garamond" w:hAnsi="Garamond" w:cstheme="minorHAnsi"/>
          <w:sz w:val="24"/>
          <w:szCs w:val="24"/>
        </w:rPr>
        <w:t xml:space="preserve"> </w:t>
      </w:r>
      <w:r w:rsidRPr="005E1437">
        <w:rPr>
          <w:rFonts w:ascii="Garamond" w:hAnsi="Garamond" w:cstheme="minorHAnsi"/>
          <w:sz w:val="24"/>
          <w:szCs w:val="24"/>
        </w:rPr>
        <w:t>In general, the risk of infection after a household or sexual exposure is likely to be greater than the risk associated with a common source exposure (e.g., exposure to a contaminated food product or restaurant exposure)</w:t>
      </w:r>
      <w:r w:rsidR="005864B1" w:rsidRPr="005E1437" w:rsidDel="005864B1">
        <w:rPr>
          <w:rFonts w:ascii="Garamond" w:hAnsi="Garamond" w:cstheme="minorHAnsi"/>
          <w:sz w:val="24"/>
          <w:szCs w:val="24"/>
        </w:rPr>
        <w:t xml:space="preserve"> </w:t>
      </w:r>
      <w:r w:rsidR="005864B1" w:rsidRPr="005E1437">
        <w:rPr>
          <w:rFonts w:ascii="Garamond" w:hAnsi="Garamond" w:cstheme="minorHAnsi"/>
          <w:sz w:val="24"/>
          <w:szCs w:val="24"/>
        </w:rPr>
        <w:t>(</w:t>
      </w:r>
      <w:r w:rsidR="005E243A" w:rsidRPr="005E1437">
        <w:rPr>
          <w:rFonts w:ascii="Garamond" w:hAnsi="Garamond" w:cstheme="minorHAnsi"/>
          <w:i/>
          <w:sz w:val="24"/>
          <w:szCs w:val="24"/>
        </w:rPr>
        <w:t>10</w:t>
      </w:r>
      <w:r w:rsidR="005864B1" w:rsidRPr="005E1437">
        <w:rPr>
          <w:rFonts w:ascii="Garamond" w:hAnsi="Garamond" w:cstheme="minorHAnsi"/>
          <w:sz w:val="24"/>
          <w:szCs w:val="24"/>
        </w:rPr>
        <w:t>).</w:t>
      </w:r>
      <w:r w:rsidR="00CC7EFD" w:rsidRPr="005E1437">
        <w:rPr>
          <w:rFonts w:ascii="Garamond" w:hAnsi="Garamond" w:cstheme="minorHAnsi"/>
          <w:sz w:val="24"/>
          <w:szCs w:val="24"/>
        </w:rPr>
        <w:t xml:space="preserve"> </w:t>
      </w:r>
      <w:r w:rsidR="00D76003" w:rsidRPr="005E1437">
        <w:rPr>
          <w:rFonts w:ascii="Garamond" w:hAnsi="Garamond" w:cstheme="minorHAnsi"/>
          <w:sz w:val="24"/>
          <w:szCs w:val="24"/>
        </w:rPr>
        <w:t xml:space="preserve"> </w:t>
      </w:r>
    </w:p>
    <w:p w14:paraId="18CE94C8" w14:textId="70875467" w:rsidR="00880D75" w:rsidRPr="00633B08" w:rsidRDefault="00414C45" w:rsidP="005E1437">
      <w:pPr>
        <w:spacing w:after="120" w:line="480" w:lineRule="auto"/>
        <w:rPr>
          <w:rFonts w:ascii="Garamond" w:hAnsi="Garamond" w:cstheme="minorHAnsi"/>
          <w:b/>
          <w:sz w:val="24"/>
          <w:szCs w:val="24"/>
        </w:rPr>
      </w:pPr>
      <w:r>
        <w:rPr>
          <w:rFonts w:ascii="Garamond" w:hAnsi="Garamond" w:cstheme="minorHAnsi"/>
          <w:b/>
          <w:sz w:val="24"/>
          <w:szCs w:val="24"/>
        </w:rPr>
        <w:t>Risk for HAV Transmission in Various Settings and for Various G</w:t>
      </w:r>
      <w:r w:rsidR="00880D75" w:rsidRPr="00633B08">
        <w:rPr>
          <w:rFonts w:ascii="Garamond" w:hAnsi="Garamond" w:cstheme="minorHAnsi"/>
          <w:b/>
          <w:sz w:val="24"/>
          <w:szCs w:val="24"/>
        </w:rPr>
        <w:t>roups</w:t>
      </w:r>
    </w:p>
    <w:p w14:paraId="482E6AE3" w14:textId="072BD496" w:rsidR="00880D75" w:rsidRPr="005E1437" w:rsidRDefault="00880D75" w:rsidP="005E1437">
      <w:pPr>
        <w:spacing w:after="120" w:line="480" w:lineRule="auto"/>
        <w:rPr>
          <w:rFonts w:ascii="Garamond" w:hAnsi="Garamond" w:cstheme="minorHAnsi"/>
          <w:sz w:val="24"/>
          <w:szCs w:val="24"/>
        </w:rPr>
      </w:pPr>
      <w:r w:rsidRPr="005E1437">
        <w:rPr>
          <w:rFonts w:ascii="Garamond" w:hAnsi="Garamond" w:cstheme="minorHAnsi"/>
          <w:sz w:val="24"/>
          <w:szCs w:val="24"/>
        </w:rPr>
        <w:t>The risk for transmission of HAV is influenced by host and environmental factors and varies considerably in different settings. For example, without PEP, secondary attack rates of 15%–30% have been reported in households, with higher rates of transmission occurring from infected young children than from infected adolescents and adults</w:t>
      </w:r>
      <w:r w:rsidR="005864B1" w:rsidRPr="005E1437">
        <w:rPr>
          <w:rFonts w:ascii="Garamond" w:hAnsi="Garamond" w:cstheme="minorHAnsi"/>
          <w:sz w:val="24"/>
          <w:szCs w:val="24"/>
        </w:rPr>
        <w:t xml:space="preserve"> (</w:t>
      </w:r>
      <w:r w:rsidR="005E243A" w:rsidRPr="005E1437">
        <w:rPr>
          <w:rFonts w:ascii="Garamond" w:hAnsi="Garamond" w:cstheme="minorHAnsi"/>
          <w:i/>
          <w:sz w:val="24"/>
          <w:szCs w:val="24"/>
        </w:rPr>
        <w:t>11</w:t>
      </w:r>
      <w:r w:rsidR="005864B1" w:rsidRPr="005E1437">
        <w:rPr>
          <w:rFonts w:ascii="Garamond" w:hAnsi="Garamond" w:cstheme="minorHAnsi"/>
          <w:i/>
          <w:sz w:val="24"/>
          <w:szCs w:val="24"/>
        </w:rPr>
        <w:t>–</w:t>
      </w:r>
      <w:r w:rsidR="005E243A" w:rsidRPr="005E1437">
        <w:rPr>
          <w:rFonts w:ascii="Garamond" w:hAnsi="Garamond" w:cstheme="minorHAnsi"/>
          <w:i/>
          <w:sz w:val="24"/>
          <w:szCs w:val="24"/>
        </w:rPr>
        <w:t>13</w:t>
      </w:r>
      <w:r w:rsidR="005864B1" w:rsidRPr="005E1437">
        <w:rPr>
          <w:rFonts w:ascii="Garamond" w:hAnsi="Garamond" w:cstheme="minorHAnsi"/>
          <w:sz w:val="24"/>
          <w:szCs w:val="24"/>
        </w:rPr>
        <w:t>).</w:t>
      </w:r>
      <w:r w:rsidR="00C928FD" w:rsidRPr="005E1437">
        <w:rPr>
          <w:rFonts w:ascii="Garamond" w:hAnsi="Garamond" w:cstheme="minorHAnsi"/>
          <w:sz w:val="24"/>
          <w:szCs w:val="24"/>
        </w:rPr>
        <w:t xml:space="preserve"> </w:t>
      </w:r>
      <w:r w:rsidRPr="005E1437">
        <w:rPr>
          <w:rFonts w:ascii="Garamond" w:hAnsi="Garamond" w:cstheme="minorHAnsi"/>
          <w:sz w:val="24"/>
          <w:szCs w:val="24"/>
        </w:rPr>
        <w:t>In contrast, attack rates among patrons of food service establishments who have been exposed to HAV-infected food handlers are generally low</w:t>
      </w:r>
      <w:bookmarkStart w:id="1" w:name="_Ref512803494"/>
      <w:r w:rsidR="005864B1" w:rsidRPr="005E1437">
        <w:rPr>
          <w:rFonts w:ascii="Garamond" w:hAnsi="Garamond" w:cstheme="minorHAnsi"/>
          <w:sz w:val="24"/>
          <w:szCs w:val="24"/>
        </w:rPr>
        <w:t xml:space="preserve"> (</w:t>
      </w:r>
      <w:r w:rsidR="005E243A" w:rsidRPr="005E1437">
        <w:rPr>
          <w:rFonts w:ascii="Garamond" w:hAnsi="Garamond" w:cstheme="minorHAnsi"/>
          <w:i/>
          <w:sz w:val="24"/>
          <w:szCs w:val="24"/>
        </w:rPr>
        <w:t>10,14</w:t>
      </w:r>
      <w:r w:rsidR="005864B1" w:rsidRPr="005E1437">
        <w:rPr>
          <w:rFonts w:ascii="Garamond" w:hAnsi="Garamond" w:cstheme="minorHAnsi"/>
          <w:i/>
          <w:sz w:val="24"/>
          <w:szCs w:val="24"/>
        </w:rPr>
        <w:t>–</w:t>
      </w:r>
      <w:r w:rsidR="005E243A" w:rsidRPr="005E1437">
        <w:rPr>
          <w:rFonts w:ascii="Garamond" w:hAnsi="Garamond" w:cstheme="minorHAnsi"/>
          <w:i/>
          <w:sz w:val="24"/>
          <w:szCs w:val="24"/>
        </w:rPr>
        <w:t>16</w:t>
      </w:r>
      <w:bookmarkEnd w:id="1"/>
      <w:r w:rsidR="005864B1" w:rsidRPr="005E1437">
        <w:rPr>
          <w:rFonts w:ascii="Garamond" w:hAnsi="Garamond" w:cstheme="minorHAnsi"/>
          <w:sz w:val="24"/>
          <w:szCs w:val="24"/>
        </w:rPr>
        <w:t>).</w:t>
      </w:r>
      <w:r w:rsidRPr="005E1437">
        <w:rPr>
          <w:rFonts w:ascii="Garamond" w:hAnsi="Garamond" w:cstheme="minorHAnsi"/>
          <w:sz w:val="24"/>
          <w:szCs w:val="24"/>
        </w:rPr>
        <w:t xml:space="preserve"> Given both the difficulty in determining precise timing and extent of exposure and potential repeated exposures, as well as concerns over the </w:t>
      </w:r>
      <w:r w:rsidR="000078A0" w:rsidRPr="005E1437">
        <w:rPr>
          <w:rFonts w:ascii="Garamond" w:hAnsi="Garamond" w:cstheme="minorHAnsi"/>
          <w:sz w:val="24"/>
          <w:szCs w:val="24"/>
        </w:rPr>
        <w:t xml:space="preserve">administration </w:t>
      </w:r>
      <w:r w:rsidRPr="005E1437">
        <w:rPr>
          <w:rFonts w:ascii="Garamond" w:hAnsi="Garamond" w:cstheme="minorHAnsi"/>
          <w:sz w:val="24"/>
          <w:szCs w:val="24"/>
        </w:rPr>
        <w:t xml:space="preserve">and </w:t>
      </w:r>
      <w:r w:rsidR="000078A0" w:rsidRPr="005E1437">
        <w:rPr>
          <w:rFonts w:ascii="Garamond" w:hAnsi="Garamond" w:cstheme="minorHAnsi"/>
          <w:sz w:val="24"/>
          <w:szCs w:val="24"/>
        </w:rPr>
        <w:t>availability</w:t>
      </w:r>
      <w:r w:rsidR="000078A0" w:rsidRPr="005E1437" w:rsidDel="000078A0">
        <w:rPr>
          <w:rFonts w:ascii="Garamond" w:hAnsi="Garamond" w:cstheme="minorHAnsi"/>
          <w:sz w:val="24"/>
          <w:szCs w:val="24"/>
        </w:rPr>
        <w:t xml:space="preserve"> </w:t>
      </w:r>
      <w:r w:rsidRPr="005E1437">
        <w:rPr>
          <w:rFonts w:ascii="Garamond" w:hAnsi="Garamond" w:cstheme="minorHAnsi"/>
          <w:sz w:val="24"/>
          <w:szCs w:val="24"/>
        </w:rPr>
        <w:t>of IG</w:t>
      </w:r>
      <w:r w:rsidR="00F91175" w:rsidRPr="005E1437">
        <w:rPr>
          <w:rFonts w:ascii="Garamond" w:hAnsi="Garamond" w:cstheme="minorHAnsi"/>
          <w:sz w:val="24"/>
          <w:szCs w:val="24"/>
        </w:rPr>
        <w:t xml:space="preserve"> </w:t>
      </w:r>
      <w:r w:rsidR="005864B1" w:rsidRPr="005E1437">
        <w:rPr>
          <w:rFonts w:ascii="Garamond" w:hAnsi="Garamond" w:cstheme="minorHAnsi"/>
          <w:sz w:val="24"/>
          <w:szCs w:val="24"/>
        </w:rPr>
        <w:t>(</w:t>
      </w:r>
      <w:r w:rsidR="00292D49" w:rsidRPr="005E1437">
        <w:rPr>
          <w:rFonts w:ascii="Garamond" w:hAnsi="Garamond" w:cstheme="minorHAnsi"/>
          <w:i/>
          <w:sz w:val="24"/>
          <w:szCs w:val="24"/>
        </w:rPr>
        <w:t>5</w:t>
      </w:r>
      <w:r w:rsidR="00F91175" w:rsidRPr="005E1437">
        <w:rPr>
          <w:rFonts w:ascii="Garamond" w:hAnsi="Garamond" w:cstheme="minorHAnsi"/>
          <w:i/>
          <w:sz w:val="24"/>
          <w:szCs w:val="24"/>
        </w:rPr>
        <w:t>,</w:t>
      </w:r>
      <w:r w:rsidR="005E243A" w:rsidRPr="005E1437">
        <w:rPr>
          <w:rFonts w:ascii="Garamond" w:hAnsi="Garamond" w:cstheme="minorHAnsi"/>
          <w:i/>
          <w:sz w:val="24"/>
          <w:szCs w:val="24"/>
        </w:rPr>
        <w:t>16</w:t>
      </w:r>
      <w:r w:rsidR="005864B1" w:rsidRPr="005E1437">
        <w:rPr>
          <w:rFonts w:ascii="Garamond" w:hAnsi="Garamond" w:cstheme="minorHAnsi"/>
          <w:sz w:val="24"/>
          <w:szCs w:val="24"/>
        </w:rPr>
        <w:t>)</w:t>
      </w:r>
      <w:r w:rsidRPr="005E1437">
        <w:rPr>
          <w:rFonts w:ascii="Garamond" w:hAnsi="Garamond" w:cstheme="minorHAnsi"/>
          <w:sz w:val="24"/>
          <w:szCs w:val="24"/>
        </w:rPr>
        <w:t xml:space="preserve">, provider guidance based on risk is provided below.  </w:t>
      </w:r>
    </w:p>
    <w:p w14:paraId="37C76314" w14:textId="77777777" w:rsidR="00880D75" w:rsidRPr="005E1437" w:rsidRDefault="00880D75" w:rsidP="005E1437">
      <w:pPr>
        <w:spacing w:after="120" w:line="480" w:lineRule="auto"/>
        <w:rPr>
          <w:rFonts w:ascii="Garamond" w:hAnsi="Garamond" w:cstheme="minorHAnsi"/>
          <w:sz w:val="24"/>
          <w:szCs w:val="24"/>
        </w:rPr>
      </w:pPr>
      <w:r w:rsidRPr="005E1437">
        <w:rPr>
          <w:rFonts w:ascii="Garamond" w:hAnsi="Garamond" w:cstheme="minorHAnsi"/>
          <w:b/>
          <w:sz w:val="24"/>
          <w:szCs w:val="24"/>
        </w:rPr>
        <w:lastRenderedPageBreak/>
        <w:t>Close personal contact</w:t>
      </w:r>
      <w:r w:rsidRPr="005E1437">
        <w:rPr>
          <w:rFonts w:ascii="Garamond" w:hAnsi="Garamond" w:cstheme="minorHAnsi"/>
          <w:sz w:val="24"/>
          <w:szCs w:val="24"/>
        </w:rPr>
        <w:t xml:space="preserve">. PEP should be administered to all previously unvaccinated persons who have been exposed or are at risk of exposure due to close personal contact with a person who has serologically confirmed hepatitis A infection (e.g., household and sexual contacts; persons using injection or non-injection drugs with the case; caretakers not using appropriate personal protective equipment). </w:t>
      </w:r>
    </w:p>
    <w:p w14:paraId="7730BD38" w14:textId="0EE35A2F" w:rsidR="00880D75" w:rsidRPr="005E1437" w:rsidRDefault="00880D75" w:rsidP="005E1437">
      <w:pPr>
        <w:spacing w:after="120" w:line="480" w:lineRule="auto"/>
        <w:rPr>
          <w:rFonts w:ascii="Garamond" w:hAnsi="Garamond" w:cstheme="minorHAnsi"/>
          <w:sz w:val="24"/>
          <w:szCs w:val="24"/>
        </w:rPr>
      </w:pPr>
      <w:r w:rsidRPr="005E1437">
        <w:rPr>
          <w:rFonts w:ascii="Garamond" w:hAnsi="Garamond" w:cstheme="minorHAnsi"/>
          <w:b/>
          <w:sz w:val="24"/>
          <w:szCs w:val="24"/>
        </w:rPr>
        <w:t>Child care centers</w:t>
      </w:r>
      <w:r w:rsidRPr="005E1437">
        <w:rPr>
          <w:rFonts w:ascii="Garamond" w:hAnsi="Garamond" w:cstheme="minorHAnsi"/>
          <w:sz w:val="24"/>
          <w:szCs w:val="24"/>
        </w:rPr>
        <w:t>. PEP should be administered to all previously unvaccinated staff members and attendees of child care centers or institutions if: 1) one or more cases of hepatitis A infection are recognized in children or 2) cases are recognized in two or more households of center attendees. If one or more cases of hepatitis A infection occurs among employees, PEP should be considered based on the duties, hygienic practices and presence of symptoms at work. In centers that do not provide care to children who wear diapers, PEP may be administered only to care center contacts of the index patient. When an outbreak occurs (i.e., hepatitis A cases in two or more families), PEP also should be considered for members of households that have children (center attendees) in diapers.</w:t>
      </w:r>
    </w:p>
    <w:p w14:paraId="23D80E13" w14:textId="4D0FA937" w:rsidR="00880D75" w:rsidRPr="005E1437" w:rsidRDefault="00880D75" w:rsidP="005E1437">
      <w:pPr>
        <w:spacing w:after="120" w:line="480" w:lineRule="auto"/>
        <w:rPr>
          <w:rFonts w:ascii="Garamond" w:hAnsi="Garamond" w:cstheme="minorHAnsi"/>
          <w:sz w:val="24"/>
          <w:szCs w:val="24"/>
        </w:rPr>
      </w:pPr>
      <w:r w:rsidRPr="005E1437">
        <w:rPr>
          <w:rFonts w:ascii="Garamond" w:hAnsi="Garamond" w:cstheme="minorHAnsi"/>
          <w:b/>
          <w:sz w:val="24"/>
          <w:szCs w:val="24"/>
        </w:rPr>
        <w:t>Common-source food exposure and food handlers</w:t>
      </w:r>
      <w:r w:rsidRPr="005E1437">
        <w:rPr>
          <w:rFonts w:ascii="Garamond" w:hAnsi="Garamond" w:cstheme="minorHAnsi"/>
          <w:sz w:val="24"/>
          <w:szCs w:val="24"/>
        </w:rPr>
        <w:t>. Food handlers are not at increased risk for hepatitis A because of their occupation</w:t>
      </w:r>
      <w:r w:rsidR="005864B1" w:rsidRPr="005E1437">
        <w:rPr>
          <w:rFonts w:ascii="Garamond" w:hAnsi="Garamond" w:cstheme="minorHAnsi"/>
          <w:sz w:val="24"/>
          <w:szCs w:val="24"/>
        </w:rPr>
        <w:t xml:space="preserve"> (</w:t>
      </w:r>
      <w:r w:rsidR="005E243A" w:rsidRPr="005E1437">
        <w:rPr>
          <w:rFonts w:ascii="Garamond" w:hAnsi="Garamond" w:cstheme="minorHAnsi"/>
          <w:i/>
          <w:sz w:val="24"/>
          <w:szCs w:val="24"/>
        </w:rPr>
        <w:t>10</w:t>
      </w:r>
      <w:r w:rsidR="005864B1" w:rsidRPr="005E1437">
        <w:rPr>
          <w:rFonts w:ascii="Garamond" w:hAnsi="Garamond" w:cstheme="minorHAnsi"/>
          <w:sz w:val="24"/>
          <w:szCs w:val="24"/>
        </w:rPr>
        <w:t>).</w:t>
      </w:r>
      <w:r w:rsidRPr="005E1437">
        <w:rPr>
          <w:rFonts w:ascii="Garamond" w:hAnsi="Garamond" w:cstheme="minorHAnsi"/>
          <w:sz w:val="24"/>
          <w:szCs w:val="24"/>
        </w:rPr>
        <w:t xml:space="preserve"> Most food handlers with HAV infection do not transmit HAV to exposed consumers or restaurant patrons</w:t>
      </w:r>
      <w:r w:rsidR="005864B1" w:rsidRPr="005E1437">
        <w:rPr>
          <w:rFonts w:ascii="Garamond" w:hAnsi="Garamond" w:cstheme="minorHAnsi"/>
          <w:sz w:val="24"/>
          <w:szCs w:val="24"/>
        </w:rPr>
        <w:t xml:space="preserve"> (</w:t>
      </w:r>
      <w:r w:rsidR="005E243A" w:rsidRPr="005E1437">
        <w:rPr>
          <w:rFonts w:ascii="Garamond" w:hAnsi="Garamond" w:cstheme="minorHAnsi"/>
          <w:i/>
          <w:sz w:val="24"/>
          <w:szCs w:val="24"/>
        </w:rPr>
        <w:t>10</w:t>
      </w:r>
      <w:r w:rsidR="005B0ED8" w:rsidRPr="005E1437">
        <w:rPr>
          <w:rFonts w:ascii="Garamond" w:hAnsi="Garamond" w:cstheme="minorHAnsi"/>
          <w:i/>
          <w:sz w:val="24"/>
          <w:szCs w:val="24"/>
        </w:rPr>
        <w:t>,</w:t>
      </w:r>
      <w:r w:rsidR="005E243A" w:rsidRPr="005E1437">
        <w:rPr>
          <w:rFonts w:ascii="Garamond" w:hAnsi="Garamond" w:cstheme="minorHAnsi"/>
          <w:i/>
          <w:sz w:val="24"/>
          <w:szCs w:val="24"/>
        </w:rPr>
        <w:t>14</w:t>
      </w:r>
      <w:r w:rsidR="00CF28B0" w:rsidRPr="005E1437">
        <w:rPr>
          <w:rFonts w:ascii="Garamond" w:hAnsi="Garamond" w:cstheme="minorHAnsi"/>
          <w:i/>
          <w:sz w:val="24"/>
          <w:szCs w:val="24"/>
        </w:rPr>
        <w:t>,</w:t>
      </w:r>
      <w:r w:rsidR="005E243A" w:rsidRPr="005E1437">
        <w:rPr>
          <w:rFonts w:ascii="Garamond" w:hAnsi="Garamond" w:cstheme="minorHAnsi"/>
          <w:i/>
          <w:sz w:val="24"/>
          <w:szCs w:val="24"/>
        </w:rPr>
        <w:t>16</w:t>
      </w:r>
      <w:r w:rsidR="005864B1" w:rsidRPr="005E1437">
        <w:rPr>
          <w:rFonts w:ascii="Garamond" w:hAnsi="Garamond" w:cstheme="minorHAnsi"/>
          <w:sz w:val="24"/>
          <w:szCs w:val="24"/>
        </w:rPr>
        <w:t>).</w:t>
      </w:r>
      <w:r w:rsidR="00C928FD" w:rsidRPr="005E1437">
        <w:rPr>
          <w:rFonts w:ascii="Garamond" w:hAnsi="Garamond" w:cstheme="minorHAnsi"/>
          <w:sz w:val="24"/>
          <w:szCs w:val="24"/>
        </w:rPr>
        <w:t xml:space="preserve"> </w:t>
      </w:r>
      <w:r w:rsidRPr="005E1437">
        <w:rPr>
          <w:rFonts w:ascii="Garamond" w:hAnsi="Garamond" w:cstheme="minorHAnsi"/>
          <w:sz w:val="24"/>
          <w:szCs w:val="24"/>
        </w:rPr>
        <w:t>Because common-source transmission to patrons is unlikely, administering PEP to patrons typically is not indicated. If, during the time when the food handler was likely to be infectious, the food handler both directly handled uncooked or cooked foods without gloves and had diarrhea or poor hygienic practices, the risk for individual patrons remains low, but PEP may be considered</w:t>
      </w:r>
      <w:r w:rsidR="00CF28B0" w:rsidRPr="005E1437">
        <w:rPr>
          <w:rFonts w:ascii="Garamond" w:hAnsi="Garamond" w:cstheme="minorHAnsi"/>
          <w:sz w:val="24"/>
          <w:szCs w:val="24"/>
        </w:rPr>
        <w:t xml:space="preserve"> </w:t>
      </w:r>
      <w:r w:rsidR="005864B1" w:rsidRPr="005E1437">
        <w:rPr>
          <w:rFonts w:ascii="Garamond" w:hAnsi="Garamond" w:cstheme="minorHAnsi"/>
          <w:sz w:val="24"/>
          <w:szCs w:val="24"/>
        </w:rPr>
        <w:t>(</w:t>
      </w:r>
      <w:r w:rsidR="005E243A" w:rsidRPr="005E1437">
        <w:rPr>
          <w:rFonts w:ascii="Garamond" w:hAnsi="Garamond" w:cstheme="minorHAnsi"/>
          <w:i/>
          <w:sz w:val="24"/>
          <w:szCs w:val="24"/>
        </w:rPr>
        <w:t>16</w:t>
      </w:r>
      <w:r w:rsidR="005864B1" w:rsidRPr="005E1437">
        <w:rPr>
          <w:rFonts w:ascii="Garamond" w:hAnsi="Garamond" w:cstheme="minorHAnsi"/>
          <w:sz w:val="24"/>
          <w:szCs w:val="24"/>
        </w:rPr>
        <w:t>)</w:t>
      </w:r>
      <w:r w:rsidRPr="005E1437">
        <w:rPr>
          <w:rFonts w:ascii="Garamond" w:hAnsi="Garamond" w:cstheme="minorHAnsi"/>
          <w:sz w:val="24"/>
          <w:szCs w:val="24"/>
        </w:rPr>
        <w:t xml:space="preserve">. PEP in this scenario should generally consist of vaccination for </w:t>
      </w:r>
      <w:r w:rsidR="00940343">
        <w:rPr>
          <w:rFonts w:ascii="Garamond" w:hAnsi="Garamond" w:cstheme="minorHAnsi"/>
          <w:sz w:val="24"/>
          <w:szCs w:val="24"/>
        </w:rPr>
        <w:t>persons aged ≥12 months</w:t>
      </w:r>
      <w:r w:rsidRPr="005E1437">
        <w:rPr>
          <w:rFonts w:ascii="Garamond" w:hAnsi="Garamond" w:cstheme="minorHAnsi"/>
          <w:sz w:val="24"/>
          <w:szCs w:val="24"/>
        </w:rPr>
        <w:t xml:space="preserve">, though IG may be considered </w:t>
      </w:r>
      <w:r w:rsidR="00940343">
        <w:rPr>
          <w:rFonts w:ascii="Garamond" w:hAnsi="Garamond" w:cstheme="minorHAnsi"/>
          <w:sz w:val="24"/>
          <w:szCs w:val="24"/>
        </w:rPr>
        <w:t xml:space="preserve">in addition to vaccine </w:t>
      </w:r>
      <w:r w:rsidRPr="005E1437">
        <w:rPr>
          <w:rFonts w:ascii="Garamond" w:hAnsi="Garamond" w:cstheme="minorHAnsi"/>
          <w:sz w:val="24"/>
          <w:szCs w:val="24"/>
        </w:rPr>
        <w:t xml:space="preserve">for exposed persons </w:t>
      </w:r>
      <w:r w:rsidR="00803DE6" w:rsidRPr="005E1437">
        <w:rPr>
          <w:rFonts w:ascii="Garamond" w:hAnsi="Garamond" w:cstheme="minorHAnsi"/>
          <w:sz w:val="24"/>
          <w:szCs w:val="24"/>
        </w:rPr>
        <w:t xml:space="preserve">(patrons during the time the food handler </w:t>
      </w:r>
      <w:r w:rsidR="001F1BED" w:rsidRPr="005E1437">
        <w:rPr>
          <w:rFonts w:ascii="Garamond" w:hAnsi="Garamond" w:cstheme="minorHAnsi"/>
          <w:sz w:val="24"/>
          <w:szCs w:val="24"/>
        </w:rPr>
        <w:t xml:space="preserve">was symptomatic </w:t>
      </w:r>
      <w:r w:rsidR="00803DE6" w:rsidRPr="005E1437">
        <w:rPr>
          <w:rFonts w:ascii="Garamond" w:hAnsi="Garamond" w:cstheme="minorHAnsi"/>
          <w:sz w:val="24"/>
          <w:szCs w:val="24"/>
        </w:rPr>
        <w:t xml:space="preserve">and worked) </w:t>
      </w:r>
      <w:r w:rsidRPr="005E1437">
        <w:rPr>
          <w:rFonts w:ascii="Garamond" w:hAnsi="Garamond" w:cstheme="minorHAnsi"/>
          <w:sz w:val="24"/>
          <w:szCs w:val="24"/>
        </w:rPr>
        <w:t>who are immunocompromised o</w:t>
      </w:r>
      <w:r w:rsidR="00680C78" w:rsidRPr="005E1437">
        <w:rPr>
          <w:rFonts w:ascii="Garamond" w:hAnsi="Garamond" w:cstheme="minorHAnsi"/>
          <w:sz w:val="24"/>
          <w:szCs w:val="24"/>
        </w:rPr>
        <w:t xml:space="preserve">r have chronic liver disease. </w:t>
      </w:r>
      <w:r w:rsidRPr="005E1437">
        <w:rPr>
          <w:rFonts w:ascii="Garamond" w:hAnsi="Garamond" w:cstheme="minorHAnsi"/>
          <w:sz w:val="24"/>
          <w:szCs w:val="24"/>
        </w:rPr>
        <w:t xml:space="preserve">In settings in which </w:t>
      </w:r>
      <w:r w:rsidRPr="005E1437">
        <w:rPr>
          <w:rFonts w:ascii="Garamond" w:hAnsi="Garamond" w:cstheme="minorHAnsi"/>
          <w:sz w:val="24"/>
          <w:szCs w:val="24"/>
        </w:rPr>
        <w:lastRenderedPageBreak/>
        <w:t xml:space="preserve">repeated exposures to HAV might have occurred (e.g., institutional cafeterias), consideration of HepA vaccine and/or IG use </w:t>
      </w:r>
      <w:r w:rsidR="002A1F58" w:rsidRPr="005E1437">
        <w:rPr>
          <w:rFonts w:ascii="Garamond" w:hAnsi="Garamond" w:cstheme="minorHAnsi"/>
          <w:sz w:val="24"/>
          <w:szCs w:val="24"/>
        </w:rPr>
        <w:t xml:space="preserve">is </w:t>
      </w:r>
      <w:r w:rsidRPr="005E1437">
        <w:rPr>
          <w:rFonts w:ascii="Garamond" w:hAnsi="Garamond" w:cstheme="minorHAnsi"/>
          <w:sz w:val="24"/>
          <w:szCs w:val="24"/>
        </w:rPr>
        <w:t>warranted.</w:t>
      </w:r>
    </w:p>
    <w:p w14:paraId="32A0A4C7" w14:textId="1123B320" w:rsidR="00880D75" w:rsidRPr="005E1437" w:rsidRDefault="00880D75" w:rsidP="005E1437">
      <w:pPr>
        <w:spacing w:after="120" w:line="480" w:lineRule="auto"/>
        <w:rPr>
          <w:rFonts w:ascii="Garamond" w:hAnsi="Garamond" w:cstheme="minorHAnsi"/>
          <w:sz w:val="24"/>
          <w:szCs w:val="24"/>
        </w:rPr>
      </w:pPr>
      <w:r w:rsidRPr="005E1437">
        <w:rPr>
          <w:rFonts w:ascii="Garamond" w:hAnsi="Garamond" w:cstheme="minorHAnsi"/>
          <w:b/>
          <w:sz w:val="24"/>
          <w:szCs w:val="24"/>
        </w:rPr>
        <w:t>Settings providing services to children and adults.</w:t>
      </w:r>
      <w:r w:rsidRPr="005E1437">
        <w:rPr>
          <w:rFonts w:ascii="Garamond" w:hAnsi="Garamond" w:cstheme="minorHAnsi"/>
          <w:sz w:val="24"/>
          <w:szCs w:val="24"/>
        </w:rPr>
        <w:t xml:space="preserve"> PEP is not routinely indicated when a single case occurs in an elementary or secondary school or an office or other work setting, and the source of infection is outside of the setting. Similarly, when a person who has </w:t>
      </w:r>
      <w:r w:rsidR="002A1F58" w:rsidRPr="005E1437">
        <w:rPr>
          <w:rFonts w:ascii="Garamond" w:hAnsi="Garamond" w:cstheme="minorHAnsi"/>
          <w:sz w:val="24"/>
          <w:szCs w:val="24"/>
        </w:rPr>
        <w:t>HAV</w:t>
      </w:r>
      <w:r w:rsidR="00A31980" w:rsidRPr="005E1437">
        <w:rPr>
          <w:rFonts w:ascii="Garamond" w:hAnsi="Garamond" w:cstheme="minorHAnsi"/>
          <w:sz w:val="24"/>
          <w:szCs w:val="24"/>
        </w:rPr>
        <w:t xml:space="preserve"> </w:t>
      </w:r>
      <w:r w:rsidRPr="005E1437">
        <w:rPr>
          <w:rFonts w:ascii="Garamond" w:hAnsi="Garamond" w:cstheme="minorHAnsi"/>
          <w:sz w:val="24"/>
          <w:szCs w:val="24"/>
        </w:rPr>
        <w:t>infection is admitted to a hospital, staff members should not routinely be administered PEP; instead, appropriate infection control practices should be emphasized, i.e., standard and contact precautions for diapered or incontinent patients</w:t>
      </w:r>
      <w:r w:rsidR="005864B1" w:rsidRPr="005E1437">
        <w:rPr>
          <w:rFonts w:ascii="Garamond" w:hAnsi="Garamond" w:cstheme="minorHAnsi"/>
          <w:sz w:val="24"/>
          <w:szCs w:val="24"/>
        </w:rPr>
        <w:t xml:space="preserve"> (</w:t>
      </w:r>
      <w:r w:rsidR="005E243A" w:rsidRPr="005E1437">
        <w:rPr>
          <w:rFonts w:ascii="Garamond" w:hAnsi="Garamond" w:cstheme="minorHAnsi"/>
          <w:i/>
          <w:sz w:val="24"/>
          <w:szCs w:val="24"/>
        </w:rPr>
        <w:t>17</w:t>
      </w:r>
      <w:r w:rsidR="005864B1" w:rsidRPr="005E1437">
        <w:rPr>
          <w:rFonts w:ascii="Garamond" w:hAnsi="Garamond" w:cstheme="minorHAnsi"/>
          <w:sz w:val="24"/>
          <w:szCs w:val="24"/>
        </w:rPr>
        <w:t>).</w:t>
      </w:r>
      <w:r w:rsidRPr="005E1437">
        <w:rPr>
          <w:rFonts w:ascii="Garamond" w:hAnsi="Garamond" w:cstheme="minorHAnsi"/>
          <w:sz w:val="24"/>
          <w:szCs w:val="24"/>
        </w:rPr>
        <w:t xml:space="preserve"> PEP should be administered to persons who have close contact with index patients if an epidemiologic investigation indicates HAV transmission has occurred among students in a school or among patients or between patients and staff members in a hospital. PEP should be considered for all previously unvaccinated residents and employees when a confirmed hepatitis A case occurs in a setting where close personal contact occurs regularly and hygiene standards are difficult to maintain (e.g., correctional facility, homeless shelter, psychiatric facility, group home or residential facility for the disabled). In a setting containing multiple enclosed units or sections (e.g., prison ward), PEP administration should be limited only to persons in the area where there is exposure risk. </w:t>
      </w:r>
    </w:p>
    <w:p w14:paraId="57DE30C5" w14:textId="732D3826" w:rsidR="00880D75" w:rsidRPr="005E1437" w:rsidRDefault="00414C45" w:rsidP="005E1437">
      <w:pPr>
        <w:pStyle w:val="NormalWeb"/>
        <w:shd w:val="clear" w:color="auto" w:fill="FFFFFF"/>
        <w:spacing w:before="0" w:beforeAutospacing="0" w:after="120" w:afterAutospacing="0" w:line="480" w:lineRule="auto"/>
        <w:rPr>
          <w:rStyle w:val="apple-converted-space"/>
          <w:rFonts w:ascii="Garamond" w:hAnsi="Garamond" w:cstheme="minorHAnsi"/>
          <w:b/>
          <w:color w:val="000000"/>
        </w:rPr>
      </w:pPr>
      <w:r>
        <w:rPr>
          <w:rStyle w:val="apple-converted-space"/>
          <w:rFonts w:ascii="Garamond" w:hAnsi="Garamond" w:cstheme="minorHAnsi"/>
          <w:b/>
          <w:color w:val="000000"/>
        </w:rPr>
        <w:t>Immunocompromised P</w:t>
      </w:r>
      <w:r w:rsidR="00880D75" w:rsidRPr="005E1437">
        <w:rPr>
          <w:rStyle w:val="apple-converted-space"/>
          <w:rFonts w:ascii="Garamond" w:hAnsi="Garamond" w:cstheme="minorHAnsi"/>
          <w:b/>
          <w:color w:val="000000"/>
        </w:rPr>
        <w:t>ersons</w:t>
      </w:r>
    </w:p>
    <w:p w14:paraId="049E3F57" w14:textId="66186941" w:rsidR="000078A0" w:rsidRPr="005E1437" w:rsidRDefault="00880D75" w:rsidP="005E1437">
      <w:pPr>
        <w:spacing w:after="120" w:line="480" w:lineRule="auto"/>
        <w:rPr>
          <w:rFonts w:ascii="Garamond" w:hAnsi="Garamond" w:cstheme="minorHAnsi"/>
          <w:sz w:val="24"/>
          <w:szCs w:val="24"/>
        </w:rPr>
      </w:pPr>
      <w:r w:rsidRPr="005E1437">
        <w:rPr>
          <w:rFonts w:ascii="Garamond" w:hAnsi="Garamond" w:cstheme="minorHAnsi"/>
          <w:sz w:val="24"/>
          <w:szCs w:val="24"/>
        </w:rPr>
        <w:t>Although most persons who have completed the recommended 2-dose HepA vaccine series at any time do not need additional vaccine, vaccination or revaccination doses of HepA vaccine are recommended after hematopoietic cell transplant</w:t>
      </w:r>
      <w:r w:rsidR="005864B1" w:rsidRPr="005E1437">
        <w:rPr>
          <w:rFonts w:ascii="Garamond" w:hAnsi="Garamond" w:cstheme="minorHAnsi"/>
          <w:sz w:val="24"/>
          <w:szCs w:val="24"/>
        </w:rPr>
        <w:t xml:space="preserve"> (</w:t>
      </w:r>
      <w:r w:rsidR="00C264D5" w:rsidRPr="005E1437">
        <w:rPr>
          <w:rFonts w:ascii="Garamond" w:hAnsi="Garamond" w:cstheme="minorHAnsi"/>
          <w:i/>
          <w:sz w:val="24"/>
          <w:szCs w:val="24"/>
        </w:rPr>
        <w:t>6</w:t>
      </w:r>
      <w:r w:rsidR="005864B1" w:rsidRPr="005E1437">
        <w:rPr>
          <w:rFonts w:ascii="Garamond" w:hAnsi="Garamond" w:cstheme="minorHAnsi"/>
          <w:sz w:val="24"/>
          <w:szCs w:val="24"/>
        </w:rPr>
        <w:t>)</w:t>
      </w:r>
      <w:r w:rsidRPr="005E1437">
        <w:rPr>
          <w:rFonts w:ascii="Garamond" w:hAnsi="Garamond" w:cstheme="minorHAnsi"/>
          <w:sz w:val="24"/>
          <w:szCs w:val="24"/>
        </w:rPr>
        <w:t xml:space="preserve">; therefore, recipients who have not been revaccinated after transplant should receive HepA vaccine and IG. Other severely immunocompromised persons who have been vaccinated in the past may also benefit from PEP and </w:t>
      </w:r>
      <w:r w:rsidRPr="005E1437">
        <w:rPr>
          <w:rFonts w:ascii="Garamond" w:hAnsi="Garamond" w:cstheme="minorHAnsi"/>
          <w:sz w:val="24"/>
          <w:szCs w:val="24"/>
        </w:rPr>
        <w:lastRenderedPageBreak/>
        <w:t>should be assessed on an individual basis. Persons who receive routine IG administration for an immunocompromising condition should also be assessed on an individual basis.</w:t>
      </w:r>
    </w:p>
    <w:p w14:paraId="7F88D2B2" w14:textId="362A0212" w:rsidR="00880D75" w:rsidRPr="005E1437" w:rsidRDefault="00880D75" w:rsidP="005E1437">
      <w:pPr>
        <w:spacing w:after="120" w:line="480" w:lineRule="auto"/>
        <w:rPr>
          <w:rFonts w:ascii="Garamond" w:hAnsi="Garamond" w:cstheme="minorHAnsi"/>
          <w:b/>
          <w:sz w:val="24"/>
          <w:szCs w:val="24"/>
        </w:rPr>
      </w:pPr>
      <w:r w:rsidRPr="005E1437">
        <w:rPr>
          <w:rFonts w:ascii="Garamond" w:hAnsi="Garamond" w:cstheme="minorHAnsi"/>
          <w:b/>
          <w:sz w:val="24"/>
          <w:szCs w:val="24"/>
        </w:rPr>
        <w:t>Pregnancy</w:t>
      </w:r>
    </w:p>
    <w:p w14:paraId="3F07F8D1" w14:textId="44B402A6" w:rsidR="00880D75" w:rsidRPr="005E1437" w:rsidRDefault="00880D75" w:rsidP="005E1437">
      <w:pPr>
        <w:spacing w:after="120" w:line="480" w:lineRule="auto"/>
        <w:rPr>
          <w:rFonts w:ascii="Garamond" w:hAnsi="Garamond" w:cstheme="minorHAnsi"/>
          <w:sz w:val="24"/>
          <w:szCs w:val="24"/>
        </w:rPr>
      </w:pPr>
      <w:r w:rsidRPr="005E1437">
        <w:rPr>
          <w:rFonts w:ascii="Garamond" w:hAnsi="Garamond" w:cstheme="minorHAnsi"/>
          <w:sz w:val="24"/>
          <w:szCs w:val="24"/>
        </w:rPr>
        <w:t>Infants born to mothers with HAV infection during pregnancy are usually healthy, but hepatitis A infection during pregnancy has been associated with gestational complications (e.g. preterm labor, placental abruption, premature rupture of membranes)</w:t>
      </w:r>
      <w:r w:rsidR="005864B1" w:rsidRPr="005E1437">
        <w:rPr>
          <w:rFonts w:ascii="Garamond" w:hAnsi="Garamond" w:cstheme="minorHAnsi"/>
          <w:sz w:val="24"/>
          <w:szCs w:val="24"/>
        </w:rPr>
        <w:t xml:space="preserve"> (</w:t>
      </w:r>
      <w:r w:rsidR="00510B51" w:rsidRPr="005E1437">
        <w:rPr>
          <w:rFonts w:ascii="Garamond" w:hAnsi="Garamond" w:cstheme="minorHAnsi"/>
          <w:i/>
          <w:sz w:val="24"/>
          <w:szCs w:val="24"/>
        </w:rPr>
        <w:t>18</w:t>
      </w:r>
      <w:r w:rsidR="00C928FD" w:rsidRPr="005E1437">
        <w:rPr>
          <w:rFonts w:ascii="Garamond" w:hAnsi="Garamond" w:cstheme="minorHAnsi"/>
          <w:i/>
          <w:sz w:val="24"/>
          <w:szCs w:val="24"/>
        </w:rPr>
        <w:t>,</w:t>
      </w:r>
      <w:r w:rsidR="00510B51" w:rsidRPr="005E1437">
        <w:rPr>
          <w:rFonts w:ascii="Garamond" w:hAnsi="Garamond" w:cstheme="minorHAnsi"/>
          <w:i/>
          <w:sz w:val="24"/>
          <w:szCs w:val="24"/>
        </w:rPr>
        <w:t>19</w:t>
      </w:r>
      <w:r w:rsidR="005864B1" w:rsidRPr="005E1437">
        <w:rPr>
          <w:rFonts w:ascii="Garamond" w:hAnsi="Garamond" w:cstheme="minorHAnsi"/>
          <w:sz w:val="24"/>
          <w:szCs w:val="24"/>
        </w:rPr>
        <w:t>).</w:t>
      </w:r>
      <w:r w:rsidRPr="005E1437">
        <w:rPr>
          <w:rFonts w:ascii="Garamond" w:hAnsi="Garamond" w:cstheme="minorHAnsi"/>
          <w:sz w:val="24"/>
          <w:szCs w:val="24"/>
        </w:rPr>
        <w:t xml:space="preserve"> </w:t>
      </w:r>
      <w:r w:rsidR="008046F6" w:rsidRPr="005E1437">
        <w:rPr>
          <w:rFonts w:ascii="Garamond" w:hAnsi="Garamond" w:cstheme="minorHAnsi"/>
          <w:sz w:val="24"/>
          <w:szCs w:val="24"/>
        </w:rPr>
        <w:t>P</w:t>
      </w:r>
      <w:r w:rsidRPr="005E1437">
        <w:rPr>
          <w:rFonts w:ascii="Garamond" w:hAnsi="Garamond" w:cstheme="minorHAnsi"/>
          <w:sz w:val="24"/>
          <w:szCs w:val="24"/>
        </w:rPr>
        <w:t>regnant women who have a specific risk (e.g., HAV exposure) are recommended to receive the HepA vaccine</w:t>
      </w:r>
      <w:r w:rsidR="005864B1" w:rsidRPr="005E1437" w:rsidDel="005864B1">
        <w:rPr>
          <w:rFonts w:ascii="Garamond" w:hAnsi="Garamond" w:cstheme="minorHAnsi"/>
          <w:sz w:val="24"/>
          <w:szCs w:val="24"/>
        </w:rPr>
        <w:t xml:space="preserve"> </w:t>
      </w:r>
      <w:r w:rsidR="005864B1" w:rsidRPr="005E1437">
        <w:rPr>
          <w:rFonts w:ascii="Garamond" w:hAnsi="Garamond" w:cstheme="minorHAnsi"/>
          <w:sz w:val="24"/>
          <w:szCs w:val="24"/>
        </w:rPr>
        <w:t xml:space="preserve"> (</w:t>
      </w:r>
      <w:r w:rsidR="00510B51" w:rsidRPr="005E1437">
        <w:rPr>
          <w:rFonts w:ascii="Garamond" w:hAnsi="Garamond" w:cstheme="minorHAnsi"/>
          <w:i/>
          <w:sz w:val="24"/>
          <w:szCs w:val="24"/>
        </w:rPr>
        <w:t>20</w:t>
      </w:r>
      <w:r w:rsidR="005864B1" w:rsidRPr="005E1437">
        <w:rPr>
          <w:rFonts w:ascii="Garamond" w:hAnsi="Garamond" w:cstheme="minorHAnsi"/>
          <w:sz w:val="24"/>
          <w:szCs w:val="24"/>
        </w:rPr>
        <w:t>).</w:t>
      </w:r>
      <w:r w:rsidRPr="005E1437">
        <w:rPr>
          <w:rFonts w:ascii="Garamond" w:hAnsi="Garamond" w:cstheme="minorHAnsi"/>
          <w:sz w:val="24"/>
          <w:szCs w:val="24"/>
        </w:rPr>
        <w:t xml:space="preserve"> IG can be administered</w:t>
      </w:r>
      <w:r w:rsidR="005864B1" w:rsidRPr="005E1437">
        <w:rPr>
          <w:rFonts w:ascii="Garamond" w:hAnsi="Garamond" w:cstheme="minorHAnsi"/>
          <w:sz w:val="24"/>
          <w:szCs w:val="24"/>
        </w:rPr>
        <w:t xml:space="preserve"> (</w:t>
      </w:r>
      <w:r w:rsidR="00510B51" w:rsidRPr="005E1437">
        <w:rPr>
          <w:rFonts w:ascii="Garamond" w:hAnsi="Garamond" w:cstheme="minorHAnsi"/>
          <w:i/>
          <w:sz w:val="24"/>
          <w:szCs w:val="24"/>
        </w:rPr>
        <w:t>8</w:t>
      </w:r>
      <w:r w:rsidR="005864B1" w:rsidRPr="005E1437">
        <w:rPr>
          <w:rFonts w:ascii="Garamond" w:hAnsi="Garamond" w:cstheme="minorHAnsi"/>
          <w:sz w:val="24"/>
          <w:szCs w:val="24"/>
        </w:rPr>
        <w:t>)</w:t>
      </w:r>
      <w:r w:rsidRPr="005E1437">
        <w:rPr>
          <w:rFonts w:ascii="Garamond" w:hAnsi="Garamond" w:cstheme="minorHAnsi"/>
          <w:sz w:val="24"/>
          <w:szCs w:val="24"/>
        </w:rPr>
        <w:t xml:space="preserve"> in addition to HepA vaccine with consideration of the likelihood of HAV exposure during pregnancy. </w:t>
      </w:r>
      <w:r w:rsidR="0087410B" w:rsidRPr="005E1437">
        <w:rPr>
          <w:rFonts w:ascii="Garamond" w:hAnsi="Garamond" w:cstheme="minorHAnsi"/>
          <w:sz w:val="24"/>
          <w:szCs w:val="24"/>
        </w:rPr>
        <w:t>There has been no observed increase in maternal or infant adverse events after HepA vaccination or IG administration in pregnancy</w:t>
      </w:r>
      <w:r w:rsidR="005864B1" w:rsidRPr="005E1437" w:rsidDel="005864B1">
        <w:rPr>
          <w:rFonts w:ascii="Garamond" w:hAnsi="Garamond" w:cstheme="minorHAnsi"/>
          <w:sz w:val="24"/>
          <w:szCs w:val="24"/>
        </w:rPr>
        <w:t xml:space="preserve"> </w:t>
      </w:r>
      <w:r w:rsidR="005864B1" w:rsidRPr="005E1437">
        <w:rPr>
          <w:rFonts w:ascii="Garamond" w:hAnsi="Garamond" w:cstheme="minorHAnsi"/>
          <w:sz w:val="24"/>
          <w:szCs w:val="24"/>
        </w:rPr>
        <w:t>(</w:t>
      </w:r>
      <w:r w:rsidR="00510B51" w:rsidRPr="005E1437">
        <w:rPr>
          <w:rFonts w:ascii="Garamond" w:hAnsi="Garamond" w:cstheme="minorHAnsi"/>
          <w:i/>
          <w:sz w:val="24"/>
          <w:szCs w:val="24"/>
        </w:rPr>
        <w:t>8</w:t>
      </w:r>
      <w:r w:rsidR="003005AA" w:rsidRPr="005E1437">
        <w:rPr>
          <w:rFonts w:ascii="Garamond" w:hAnsi="Garamond" w:cstheme="minorHAnsi"/>
          <w:i/>
          <w:sz w:val="24"/>
          <w:szCs w:val="24"/>
        </w:rPr>
        <w:t>,</w:t>
      </w:r>
      <w:r w:rsidR="00510B51" w:rsidRPr="005E1437">
        <w:rPr>
          <w:rFonts w:ascii="Garamond" w:hAnsi="Garamond" w:cstheme="minorHAnsi"/>
          <w:i/>
          <w:sz w:val="24"/>
          <w:szCs w:val="24"/>
        </w:rPr>
        <w:t>21</w:t>
      </w:r>
      <w:r w:rsidR="005864B1" w:rsidRPr="005E1437">
        <w:rPr>
          <w:rFonts w:ascii="Garamond" w:hAnsi="Garamond" w:cstheme="minorHAnsi"/>
          <w:sz w:val="24"/>
          <w:szCs w:val="24"/>
        </w:rPr>
        <w:t>).</w:t>
      </w:r>
    </w:p>
    <w:p w14:paraId="2FE13109" w14:textId="4C791EC8" w:rsidR="00880D75" w:rsidRPr="005E1437" w:rsidRDefault="00880D75" w:rsidP="005E1437">
      <w:pPr>
        <w:spacing w:after="120" w:line="480" w:lineRule="auto"/>
        <w:rPr>
          <w:rFonts w:ascii="Garamond" w:hAnsi="Garamond" w:cstheme="minorHAnsi"/>
          <w:b/>
          <w:sz w:val="24"/>
          <w:szCs w:val="24"/>
        </w:rPr>
      </w:pPr>
      <w:r w:rsidRPr="005E1437">
        <w:rPr>
          <w:rFonts w:ascii="Garamond" w:hAnsi="Garamond" w:cstheme="minorHAnsi"/>
          <w:b/>
          <w:sz w:val="24"/>
          <w:szCs w:val="24"/>
        </w:rPr>
        <w:t>Health</w:t>
      </w:r>
      <w:r w:rsidR="00F04341" w:rsidRPr="005E1437">
        <w:rPr>
          <w:rFonts w:ascii="Garamond" w:hAnsi="Garamond" w:cstheme="minorHAnsi"/>
          <w:b/>
          <w:sz w:val="24"/>
          <w:szCs w:val="24"/>
        </w:rPr>
        <w:t xml:space="preserve"> </w:t>
      </w:r>
      <w:r w:rsidRPr="005E1437">
        <w:rPr>
          <w:rFonts w:ascii="Garamond" w:hAnsi="Garamond" w:cstheme="minorHAnsi"/>
          <w:b/>
          <w:sz w:val="24"/>
          <w:szCs w:val="24"/>
        </w:rPr>
        <w:t>Care Institutions</w:t>
      </w:r>
    </w:p>
    <w:p w14:paraId="6D22E834" w14:textId="5D9EC143" w:rsidR="00880D75" w:rsidRPr="005E1437" w:rsidRDefault="00880D75" w:rsidP="005E1437">
      <w:pPr>
        <w:spacing w:after="120" w:line="480" w:lineRule="auto"/>
        <w:rPr>
          <w:rFonts w:ascii="Garamond" w:hAnsi="Garamond" w:cstheme="minorHAnsi"/>
          <w:sz w:val="24"/>
          <w:szCs w:val="24"/>
          <w:vertAlign w:val="superscript"/>
        </w:rPr>
      </w:pPr>
      <w:r w:rsidRPr="005E1437">
        <w:rPr>
          <w:rFonts w:ascii="Garamond" w:hAnsi="Garamond" w:cstheme="minorHAnsi"/>
          <w:sz w:val="24"/>
          <w:szCs w:val="24"/>
        </w:rPr>
        <w:t>Healthcare personnel do not have increased prevalence of HAV infection and health</w:t>
      </w:r>
      <w:r w:rsidR="00F04341" w:rsidRPr="005E1437">
        <w:rPr>
          <w:rFonts w:ascii="Garamond" w:hAnsi="Garamond" w:cstheme="minorHAnsi"/>
          <w:sz w:val="24"/>
          <w:szCs w:val="24"/>
        </w:rPr>
        <w:t xml:space="preserve"> </w:t>
      </w:r>
      <w:r w:rsidRPr="005E1437">
        <w:rPr>
          <w:rFonts w:ascii="Garamond" w:hAnsi="Garamond" w:cstheme="minorHAnsi"/>
          <w:sz w:val="24"/>
          <w:szCs w:val="24"/>
        </w:rPr>
        <w:t>care-associated outbreaks of HAV are rare. Therefore, HepA vaccination is not routinely recommended for health care personnel in the United States. Outbreaks have been observed in neonatal intensive</w:t>
      </w:r>
      <w:r w:rsidR="00F04341" w:rsidRPr="005E1437">
        <w:rPr>
          <w:rFonts w:ascii="Garamond" w:hAnsi="Garamond" w:cstheme="minorHAnsi"/>
          <w:sz w:val="24"/>
          <w:szCs w:val="24"/>
        </w:rPr>
        <w:t xml:space="preserve"> </w:t>
      </w:r>
      <w:r w:rsidRPr="005E1437">
        <w:rPr>
          <w:rFonts w:ascii="Garamond" w:hAnsi="Garamond" w:cstheme="minorHAnsi"/>
          <w:sz w:val="24"/>
          <w:szCs w:val="24"/>
        </w:rPr>
        <w:t>care units because of infants acquiring infection from transfused blood and subsequently transmitting HAV to other infants and staff</w:t>
      </w:r>
      <w:r w:rsidR="005864B1" w:rsidRPr="005E1437">
        <w:rPr>
          <w:rFonts w:ascii="Garamond" w:hAnsi="Garamond" w:cstheme="minorHAnsi"/>
          <w:sz w:val="24"/>
          <w:szCs w:val="24"/>
        </w:rPr>
        <w:t xml:space="preserve"> (</w:t>
      </w:r>
      <w:r w:rsidR="00510B51" w:rsidRPr="005E1437">
        <w:rPr>
          <w:rFonts w:ascii="Garamond" w:hAnsi="Garamond" w:cstheme="minorHAnsi"/>
          <w:i/>
          <w:sz w:val="24"/>
          <w:szCs w:val="24"/>
        </w:rPr>
        <w:t>22,23</w:t>
      </w:r>
      <w:r w:rsidR="005864B1" w:rsidRPr="005E1437">
        <w:rPr>
          <w:rFonts w:ascii="Garamond" w:hAnsi="Garamond" w:cstheme="minorHAnsi"/>
          <w:sz w:val="24"/>
          <w:szCs w:val="24"/>
        </w:rPr>
        <w:t>).</w:t>
      </w:r>
      <w:r w:rsidR="00C928FD" w:rsidRPr="005E1437">
        <w:rPr>
          <w:rFonts w:ascii="Garamond" w:hAnsi="Garamond" w:cstheme="minorHAnsi"/>
          <w:sz w:val="24"/>
          <w:szCs w:val="24"/>
        </w:rPr>
        <w:t xml:space="preserve"> </w:t>
      </w:r>
      <w:r w:rsidRPr="005E1437">
        <w:rPr>
          <w:rFonts w:ascii="Garamond" w:hAnsi="Garamond" w:cstheme="minorHAnsi"/>
          <w:sz w:val="24"/>
          <w:szCs w:val="24"/>
        </w:rPr>
        <w:t>Outbreaks of hepatitis A caused by transmission from patients to health</w:t>
      </w:r>
      <w:r w:rsidR="00F04341" w:rsidRPr="005E1437">
        <w:rPr>
          <w:rFonts w:ascii="Garamond" w:hAnsi="Garamond" w:cstheme="minorHAnsi"/>
          <w:sz w:val="24"/>
          <w:szCs w:val="24"/>
        </w:rPr>
        <w:t xml:space="preserve"> </w:t>
      </w:r>
      <w:r w:rsidRPr="005E1437">
        <w:rPr>
          <w:rFonts w:ascii="Garamond" w:hAnsi="Garamond" w:cstheme="minorHAnsi"/>
          <w:sz w:val="24"/>
          <w:szCs w:val="24"/>
        </w:rPr>
        <w:t>care personnel are typically associated with fecal incontinence and inadequate hand hygiene</w:t>
      </w:r>
      <w:r w:rsidR="005864B1" w:rsidRPr="005E1437">
        <w:rPr>
          <w:rFonts w:ascii="Garamond" w:hAnsi="Garamond" w:cstheme="minorHAnsi"/>
          <w:sz w:val="24"/>
          <w:szCs w:val="24"/>
        </w:rPr>
        <w:t xml:space="preserve"> (</w:t>
      </w:r>
      <w:r w:rsidR="00510B51" w:rsidRPr="005E1437">
        <w:rPr>
          <w:rFonts w:ascii="Garamond" w:hAnsi="Garamond" w:cstheme="minorHAnsi"/>
          <w:i/>
          <w:sz w:val="24"/>
          <w:szCs w:val="24"/>
        </w:rPr>
        <w:t>24</w:t>
      </w:r>
      <w:r w:rsidR="005864B1" w:rsidRPr="005E1437">
        <w:rPr>
          <w:rFonts w:ascii="Garamond" w:hAnsi="Garamond" w:cstheme="minorHAnsi"/>
          <w:sz w:val="24"/>
          <w:szCs w:val="24"/>
        </w:rPr>
        <w:t>),</w:t>
      </w:r>
      <w:r w:rsidRPr="005E1437">
        <w:rPr>
          <w:rFonts w:ascii="Garamond" w:hAnsi="Garamond" w:cstheme="minorHAnsi"/>
          <w:sz w:val="24"/>
          <w:szCs w:val="24"/>
        </w:rPr>
        <w:t xml:space="preserve"> although the majority of hospitalized patients who have hepatitis A infection are admitted after onset of jaundice, when they are beyond the point of peak infectivity</w:t>
      </w:r>
      <w:r w:rsidR="005864B1" w:rsidRPr="005E1437">
        <w:rPr>
          <w:rFonts w:ascii="Garamond" w:hAnsi="Garamond" w:cstheme="minorHAnsi"/>
          <w:sz w:val="24"/>
          <w:szCs w:val="24"/>
        </w:rPr>
        <w:t xml:space="preserve"> (</w:t>
      </w:r>
      <w:r w:rsidR="00510B51" w:rsidRPr="005E1437">
        <w:rPr>
          <w:rFonts w:ascii="Garamond" w:hAnsi="Garamond" w:cstheme="minorHAnsi"/>
          <w:i/>
          <w:sz w:val="24"/>
          <w:szCs w:val="24"/>
        </w:rPr>
        <w:t>25</w:t>
      </w:r>
      <w:r w:rsidR="0054023C" w:rsidRPr="005E1437">
        <w:rPr>
          <w:rFonts w:ascii="Garamond" w:hAnsi="Garamond" w:cstheme="minorHAnsi"/>
          <w:i/>
          <w:sz w:val="24"/>
          <w:szCs w:val="24"/>
        </w:rPr>
        <w:t>,</w:t>
      </w:r>
      <w:r w:rsidR="00510B51" w:rsidRPr="005E1437">
        <w:rPr>
          <w:rFonts w:ascii="Garamond" w:hAnsi="Garamond" w:cstheme="minorHAnsi"/>
          <w:i/>
          <w:sz w:val="24"/>
          <w:szCs w:val="24"/>
        </w:rPr>
        <w:t>26</w:t>
      </w:r>
      <w:r w:rsidR="005864B1" w:rsidRPr="005E1437">
        <w:rPr>
          <w:rFonts w:ascii="Garamond" w:hAnsi="Garamond" w:cstheme="minorHAnsi"/>
          <w:sz w:val="24"/>
          <w:szCs w:val="24"/>
        </w:rPr>
        <w:t>).</w:t>
      </w:r>
      <w:r w:rsidRPr="005E1437">
        <w:rPr>
          <w:rFonts w:ascii="Garamond" w:hAnsi="Garamond" w:cstheme="minorHAnsi"/>
          <w:color w:val="1F497D"/>
          <w:sz w:val="24"/>
          <w:szCs w:val="24"/>
        </w:rPr>
        <w:t xml:space="preserve"> </w:t>
      </w:r>
      <w:r w:rsidRPr="005E1437">
        <w:rPr>
          <w:rFonts w:ascii="Garamond" w:hAnsi="Garamond" w:cstheme="minorHAnsi"/>
          <w:sz w:val="24"/>
          <w:szCs w:val="24"/>
        </w:rPr>
        <w:t>In hospitals, sharing food or beverages between patients, families and healthcare personnel has been associated with HAV transmission</w:t>
      </w:r>
      <w:r w:rsidR="005864B1" w:rsidRPr="005E1437">
        <w:rPr>
          <w:rFonts w:ascii="Garamond" w:hAnsi="Garamond" w:cstheme="minorHAnsi"/>
          <w:sz w:val="24"/>
          <w:szCs w:val="24"/>
        </w:rPr>
        <w:t xml:space="preserve"> (</w:t>
      </w:r>
      <w:r w:rsidR="00510B51" w:rsidRPr="005E1437">
        <w:rPr>
          <w:rFonts w:ascii="Garamond" w:hAnsi="Garamond" w:cstheme="minorHAnsi"/>
          <w:i/>
          <w:sz w:val="24"/>
          <w:szCs w:val="24"/>
        </w:rPr>
        <w:t>27,28</w:t>
      </w:r>
      <w:r w:rsidR="005864B1" w:rsidRPr="005E1437">
        <w:rPr>
          <w:rFonts w:ascii="Garamond" w:hAnsi="Garamond" w:cstheme="minorHAnsi"/>
          <w:sz w:val="24"/>
          <w:szCs w:val="24"/>
        </w:rPr>
        <w:t>)</w:t>
      </w:r>
      <w:r w:rsidR="00F04341" w:rsidRPr="005E1437">
        <w:rPr>
          <w:rFonts w:ascii="Garamond" w:hAnsi="Garamond" w:cstheme="minorHAnsi"/>
          <w:sz w:val="24"/>
          <w:szCs w:val="24"/>
        </w:rPr>
        <w:t>.</w:t>
      </w:r>
    </w:p>
    <w:p w14:paraId="6F330D19" w14:textId="0BA9E50F" w:rsidR="00880D75" w:rsidRPr="005E1437" w:rsidRDefault="00880D75" w:rsidP="005E1437">
      <w:pPr>
        <w:spacing w:after="120" w:line="480" w:lineRule="auto"/>
        <w:rPr>
          <w:rFonts w:ascii="Garamond" w:hAnsi="Garamond" w:cstheme="minorHAnsi"/>
          <w:sz w:val="24"/>
          <w:szCs w:val="24"/>
        </w:rPr>
      </w:pPr>
      <w:r w:rsidRPr="005E1437">
        <w:rPr>
          <w:rFonts w:ascii="Garamond" w:hAnsi="Garamond" w:cstheme="minorHAnsi"/>
          <w:sz w:val="24"/>
          <w:szCs w:val="24"/>
        </w:rPr>
        <w:t xml:space="preserve">If a healthcare provider receives a diagnosis of hepatitis A infection, PEP should be administered to other healthcare personnel at the same facility. In a setting containing multiple enclosed units or </w:t>
      </w:r>
      <w:r w:rsidRPr="005E1437">
        <w:rPr>
          <w:rFonts w:ascii="Garamond" w:hAnsi="Garamond" w:cstheme="minorHAnsi"/>
          <w:sz w:val="24"/>
          <w:szCs w:val="24"/>
        </w:rPr>
        <w:lastRenderedPageBreak/>
        <w:t xml:space="preserve">sections (e.g., hospital, psychiatric facility), PEP administration </w:t>
      </w:r>
      <w:r w:rsidR="002A1F58" w:rsidRPr="005E1437">
        <w:rPr>
          <w:rFonts w:ascii="Garamond" w:hAnsi="Garamond" w:cstheme="minorHAnsi"/>
          <w:sz w:val="24"/>
          <w:szCs w:val="24"/>
        </w:rPr>
        <w:t xml:space="preserve">can </w:t>
      </w:r>
      <w:r w:rsidRPr="005E1437">
        <w:rPr>
          <w:rFonts w:ascii="Garamond" w:hAnsi="Garamond" w:cstheme="minorHAnsi"/>
          <w:sz w:val="24"/>
          <w:szCs w:val="24"/>
        </w:rPr>
        <w:t xml:space="preserve"> be limited only to health care personnel in the area where there is exposure risk (e.g., cardiology ward, intensive care unit). PEP administration to patients </w:t>
      </w:r>
      <w:r w:rsidR="002A1F58" w:rsidRPr="005E1437">
        <w:rPr>
          <w:rFonts w:ascii="Garamond" w:hAnsi="Garamond" w:cstheme="minorHAnsi"/>
          <w:sz w:val="24"/>
          <w:szCs w:val="24"/>
        </w:rPr>
        <w:t>can</w:t>
      </w:r>
      <w:r w:rsidRPr="005E1437">
        <w:rPr>
          <w:rFonts w:ascii="Garamond" w:hAnsi="Garamond" w:cstheme="minorHAnsi"/>
          <w:sz w:val="24"/>
          <w:szCs w:val="24"/>
        </w:rPr>
        <w:t xml:space="preserve"> be considered if during the time of patient care the infected healthcare provider was likely to be infectious, did not use gloves when appropriate and had diarrhea or poor hygienic practices.</w:t>
      </w:r>
    </w:p>
    <w:p w14:paraId="148A5BD1" w14:textId="77777777" w:rsidR="00880D75" w:rsidRPr="005E1437" w:rsidRDefault="00880D75" w:rsidP="005E1437">
      <w:pPr>
        <w:spacing w:after="120" w:line="480" w:lineRule="auto"/>
        <w:rPr>
          <w:rFonts w:ascii="Garamond" w:hAnsi="Garamond" w:cstheme="minorHAnsi"/>
          <w:b/>
          <w:sz w:val="24"/>
          <w:szCs w:val="24"/>
        </w:rPr>
      </w:pPr>
      <w:r w:rsidRPr="005E1437">
        <w:rPr>
          <w:rFonts w:ascii="Garamond" w:hAnsi="Garamond" w:cstheme="minorHAnsi"/>
          <w:b/>
          <w:sz w:val="24"/>
          <w:szCs w:val="24"/>
        </w:rPr>
        <w:t>Workers Exposed to Sewage</w:t>
      </w:r>
    </w:p>
    <w:p w14:paraId="1AF10B6A" w14:textId="4E2678E4" w:rsidR="00880D75" w:rsidRPr="005E1437" w:rsidRDefault="00880D75" w:rsidP="005E1437">
      <w:pPr>
        <w:spacing w:after="120" w:line="480" w:lineRule="auto"/>
        <w:rPr>
          <w:rFonts w:ascii="Garamond" w:hAnsi="Garamond" w:cstheme="minorHAnsi"/>
          <w:sz w:val="24"/>
          <w:szCs w:val="24"/>
        </w:rPr>
      </w:pPr>
      <w:r w:rsidRPr="005E1437">
        <w:rPr>
          <w:rFonts w:ascii="Garamond" w:hAnsi="Garamond" w:cstheme="minorHAnsi"/>
          <w:sz w:val="24"/>
          <w:szCs w:val="24"/>
        </w:rPr>
        <w:t>Studies on the incidence of clinical hepatitis A infection do not show an increased risk in workers exposed to sewage. No work-related instances of HAV transmission have been reported among wastewater workers in the United States. Persons who work with sewage (e.g., plumbers) are not a risk group for HAV infection</w:t>
      </w:r>
      <w:r w:rsidR="005864B1" w:rsidRPr="005E1437">
        <w:rPr>
          <w:rFonts w:ascii="Garamond" w:hAnsi="Garamond" w:cstheme="minorHAnsi"/>
          <w:sz w:val="24"/>
          <w:szCs w:val="24"/>
        </w:rPr>
        <w:t xml:space="preserve"> (</w:t>
      </w:r>
      <w:r w:rsidR="00510B51" w:rsidRPr="005E1437">
        <w:rPr>
          <w:rFonts w:ascii="Garamond" w:hAnsi="Garamond" w:cstheme="minorHAnsi"/>
          <w:i/>
          <w:sz w:val="24"/>
          <w:szCs w:val="24"/>
        </w:rPr>
        <w:t>29</w:t>
      </w:r>
      <w:r w:rsidR="005864B1" w:rsidRPr="005E1437">
        <w:rPr>
          <w:rFonts w:ascii="Garamond" w:hAnsi="Garamond" w:cstheme="minorHAnsi"/>
          <w:sz w:val="24"/>
          <w:szCs w:val="24"/>
        </w:rPr>
        <w:t>).</w:t>
      </w:r>
    </w:p>
    <w:p w14:paraId="2C4F949C" w14:textId="51165D34" w:rsidR="00880D75" w:rsidRPr="005E1437" w:rsidRDefault="00414C45" w:rsidP="005E1437">
      <w:pPr>
        <w:spacing w:after="120" w:line="480" w:lineRule="auto"/>
        <w:rPr>
          <w:rFonts w:ascii="Garamond" w:hAnsi="Garamond" w:cstheme="minorHAnsi"/>
          <w:sz w:val="24"/>
          <w:szCs w:val="24"/>
        </w:rPr>
      </w:pPr>
      <w:r>
        <w:rPr>
          <w:rFonts w:ascii="Garamond" w:hAnsi="Garamond" w:cstheme="minorHAnsi"/>
          <w:b/>
          <w:sz w:val="24"/>
          <w:szCs w:val="24"/>
        </w:rPr>
        <w:t>Natural Disaster Settings with F</w:t>
      </w:r>
      <w:r w:rsidR="00880D75" w:rsidRPr="005E1437">
        <w:rPr>
          <w:rFonts w:ascii="Garamond" w:hAnsi="Garamond" w:cstheme="minorHAnsi"/>
          <w:b/>
          <w:sz w:val="24"/>
          <w:szCs w:val="24"/>
        </w:rPr>
        <w:t>looding</w:t>
      </w:r>
    </w:p>
    <w:p w14:paraId="0404F9DF" w14:textId="0621CF13" w:rsidR="00880D75" w:rsidRPr="005E1437" w:rsidRDefault="00880D75" w:rsidP="005E1437">
      <w:pPr>
        <w:spacing w:after="120" w:line="480" w:lineRule="auto"/>
        <w:rPr>
          <w:rFonts w:ascii="Garamond" w:hAnsi="Garamond" w:cstheme="minorHAnsi"/>
          <w:sz w:val="24"/>
          <w:szCs w:val="24"/>
        </w:rPr>
      </w:pPr>
      <w:r w:rsidRPr="005E1437">
        <w:rPr>
          <w:rFonts w:ascii="Garamond" w:hAnsi="Garamond" w:cstheme="minorHAnsi"/>
          <w:sz w:val="24"/>
          <w:szCs w:val="24"/>
        </w:rPr>
        <w:t>Waterborne HAV outbreaks are infrequent in developed countries with properly maintained sanitation and water supplies</w:t>
      </w:r>
      <w:r w:rsidR="005864B1" w:rsidRPr="005E1437">
        <w:rPr>
          <w:rFonts w:ascii="Garamond" w:hAnsi="Garamond" w:cstheme="minorHAnsi"/>
          <w:sz w:val="24"/>
          <w:szCs w:val="24"/>
        </w:rPr>
        <w:t xml:space="preserve"> (</w:t>
      </w:r>
      <w:r w:rsidR="00217444">
        <w:rPr>
          <w:rFonts w:ascii="Garamond" w:hAnsi="Garamond" w:cstheme="minorHAnsi"/>
          <w:i/>
          <w:sz w:val="24"/>
          <w:szCs w:val="24"/>
        </w:rPr>
        <w:t>30</w:t>
      </w:r>
      <w:r w:rsidR="005864B1" w:rsidRPr="005E1437">
        <w:rPr>
          <w:rFonts w:ascii="Garamond" w:hAnsi="Garamond" w:cstheme="minorHAnsi"/>
          <w:sz w:val="24"/>
          <w:szCs w:val="24"/>
        </w:rPr>
        <w:t>).</w:t>
      </w:r>
      <w:r w:rsidRPr="005E1437">
        <w:rPr>
          <w:rFonts w:ascii="Garamond" w:hAnsi="Garamond" w:cstheme="minorHAnsi"/>
          <w:sz w:val="24"/>
          <w:szCs w:val="24"/>
        </w:rPr>
        <w:t xml:space="preserve"> In the United States, floods are unlikely to cause outbreaks of communicable diseases, and outbreaks of HAV caused by flooding have not been documented. </w:t>
      </w:r>
    </w:p>
    <w:p w14:paraId="782F53E5" w14:textId="77777777" w:rsidR="00C928FD" w:rsidRPr="005E1437" w:rsidRDefault="00C928FD" w:rsidP="005E1437">
      <w:pPr>
        <w:spacing w:after="120" w:line="480" w:lineRule="auto"/>
        <w:rPr>
          <w:rFonts w:ascii="Garamond" w:hAnsi="Garamond" w:cstheme="minorHAnsi"/>
          <w:b/>
          <w:color w:val="000000"/>
          <w:sz w:val="24"/>
          <w:szCs w:val="24"/>
        </w:rPr>
      </w:pPr>
      <w:r w:rsidRPr="005E1437">
        <w:rPr>
          <w:rFonts w:ascii="Garamond" w:hAnsi="Garamond" w:cstheme="minorHAnsi"/>
          <w:b/>
          <w:sz w:val="24"/>
          <w:szCs w:val="24"/>
        </w:rPr>
        <w:t>References</w:t>
      </w:r>
    </w:p>
    <w:p w14:paraId="4AB27D1D" w14:textId="14B10EB9"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 xml:space="preserve">Plumb ID, Bulkow LR, Bruce MG, </w:t>
      </w:r>
      <w:r w:rsidR="00AA4BE3" w:rsidRPr="005E1437">
        <w:rPr>
          <w:rFonts w:ascii="Garamond" w:hAnsi="Garamond" w:cstheme="minorHAnsi"/>
          <w:sz w:val="24"/>
          <w:szCs w:val="24"/>
        </w:rPr>
        <w:t xml:space="preserve">et al. </w:t>
      </w:r>
      <w:r w:rsidRPr="005E1437">
        <w:rPr>
          <w:rFonts w:ascii="Garamond" w:hAnsi="Garamond" w:cstheme="minorHAnsi"/>
          <w:sz w:val="24"/>
          <w:szCs w:val="24"/>
        </w:rPr>
        <w:t>Persistence of antibody to Hepatitis A virus 20 years after receipt of Hepatitis A vaccine in Alaska. J Viral Hepat 2017;24:608</w:t>
      </w:r>
      <w:r w:rsidR="00F04341" w:rsidRPr="005E1437">
        <w:rPr>
          <w:rFonts w:ascii="Garamond" w:hAnsi="Garamond" w:cstheme="minorHAnsi"/>
          <w:sz w:val="24"/>
          <w:szCs w:val="24"/>
        </w:rPr>
        <w:t>–</w:t>
      </w:r>
      <w:r w:rsidRPr="005E1437">
        <w:rPr>
          <w:rFonts w:ascii="Garamond" w:hAnsi="Garamond" w:cstheme="minorHAnsi"/>
          <w:sz w:val="24"/>
          <w:szCs w:val="24"/>
        </w:rPr>
        <w:t>12.</w:t>
      </w:r>
    </w:p>
    <w:p w14:paraId="3C76A45E" w14:textId="776E7F29"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Theeten H, Van Herck K, Van Der Meeren O, Crasta P, Van Damme P, Hens N. Long-term antibody persistence after v</w:t>
      </w:r>
      <w:r w:rsidR="00414C45">
        <w:rPr>
          <w:rFonts w:ascii="Garamond" w:hAnsi="Garamond" w:cstheme="minorHAnsi"/>
          <w:sz w:val="24"/>
          <w:szCs w:val="24"/>
        </w:rPr>
        <w:t>accination with a 2-dose Havrix</w:t>
      </w:r>
      <w:r w:rsidRPr="005E1437">
        <w:rPr>
          <w:rFonts w:ascii="Garamond" w:hAnsi="Garamond" w:cstheme="minorHAnsi"/>
          <w:sz w:val="24"/>
          <w:szCs w:val="24"/>
        </w:rPr>
        <w:t xml:space="preserve"> (inactivated hepatitis A vaccine): 20 years of observed data, and long-term m</w:t>
      </w:r>
      <w:r w:rsidR="00414C45">
        <w:rPr>
          <w:rFonts w:ascii="Garamond" w:hAnsi="Garamond" w:cstheme="minorHAnsi"/>
          <w:sz w:val="24"/>
          <w:szCs w:val="24"/>
        </w:rPr>
        <w:t xml:space="preserve">odel-based predictions. Vaccine </w:t>
      </w:r>
      <w:r w:rsidRPr="005E1437">
        <w:rPr>
          <w:rFonts w:ascii="Garamond" w:hAnsi="Garamond" w:cstheme="minorHAnsi"/>
          <w:sz w:val="24"/>
          <w:szCs w:val="24"/>
        </w:rPr>
        <w:t>2015;33:5723</w:t>
      </w:r>
      <w:r w:rsidR="00F04341" w:rsidRPr="005E1437">
        <w:rPr>
          <w:rFonts w:ascii="Garamond" w:hAnsi="Garamond" w:cstheme="minorHAnsi"/>
          <w:sz w:val="24"/>
          <w:szCs w:val="24"/>
        </w:rPr>
        <w:t>–</w:t>
      </w:r>
      <w:r w:rsidRPr="005E1437">
        <w:rPr>
          <w:rFonts w:ascii="Garamond" w:hAnsi="Garamond" w:cstheme="minorHAnsi"/>
          <w:sz w:val="24"/>
          <w:szCs w:val="24"/>
        </w:rPr>
        <w:t>7.</w:t>
      </w:r>
    </w:p>
    <w:p w14:paraId="2E8C7407" w14:textId="3A8737E8"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lastRenderedPageBreak/>
        <w:t>Hens N, Habteab Ghebretinsae A, Hardt K, Van Damme P, Van Herck K. Model based estimates of long-term persistence of inactivated hepatitis A vaccine-induced antibodies in adults. Vaccine 2014;32:1507</w:t>
      </w:r>
      <w:r w:rsidR="00F04341" w:rsidRPr="005E1437">
        <w:rPr>
          <w:rFonts w:ascii="Garamond" w:hAnsi="Garamond" w:cstheme="minorHAnsi"/>
          <w:sz w:val="24"/>
          <w:szCs w:val="24"/>
        </w:rPr>
        <w:t>–</w:t>
      </w:r>
      <w:r w:rsidRPr="005E1437">
        <w:rPr>
          <w:rFonts w:ascii="Garamond" w:hAnsi="Garamond" w:cstheme="minorHAnsi"/>
          <w:sz w:val="24"/>
          <w:szCs w:val="24"/>
        </w:rPr>
        <w:t>13.</w:t>
      </w:r>
    </w:p>
    <w:p w14:paraId="5D4C0E20" w14:textId="7FF9BB28" w:rsidR="00C928FD" w:rsidRPr="005E1437" w:rsidRDefault="005864B1"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 xml:space="preserve"> </w:t>
      </w:r>
      <w:r w:rsidR="00C928FD" w:rsidRPr="005E1437">
        <w:rPr>
          <w:rFonts w:ascii="Garamond" w:hAnsi="Garamond" w:cstheme="minorHAnsi"/>
          <w:sz w:val="24"/>
          <w:szCs w:val="24"/>
        </w:rPr>
        <w:t>Ott JJ, Wiersma ST. Single-dose administration of inactivated hepatitis A vaccination in the context of hepatitis A vaccine recommendations. Int J Infect Dis 2013;17:e939</w:t>
      </w:r>
      <w:r w:rsidR="00F04341" w:rsidRPr="005E1437">
        <w:rPr>
          <w:rFonts w:ascii="Garamond" w:hAnsi="Garamond" w:cstheme="minorHAnsi"/>
          <w:sz w:val="24"/>
          <w:szCs w:val="24"/>
        </w:rPr>
        <w:t>–</w:t>
      </w:r>
      <w:r w:rsidR="00C928FD" w:rsidRPr="005E1437">
        <w:rPr>
          <w:rFonts w:ascii="Garamond" w:hAnsi="Garamond" w:cstheme="minorHAnsi"/>
          <w:sz w:val="24"/>
          <w:szCs w:val="24"/>
        </w:rPr>
        <w:t>44.</w:t>
      </w:r>
    </w:p>
    <w:p w14:paraId="36B3FE82" w14:textId="2A8DE20C" w:rsidR="005D3D93" w:rsidRPr="005E1437" w:rsidRDefault="005D3D93"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Nelson NP. Updated dosing instructions for immune globulin (human) GamaSTAN S/D for hepatitis A virus prophylaxis. MMWR Morb Mortal Wkly Rep 2017;66:959–60.</w:t>
      </w:r>
    </w:p>
    <w:p w14:paraId="49C6DCCF" w14:textId="1F90DE96"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 xml:space="preserve">Kroger AT, Duchin J, Vázquez M. General Best Practice Guidelines for Immunization. Best Practices Guidance of the Advisory Committee on Immunization Practices (ACIP). </w:t>
      </w:r>
      <w:r w:rsidR="005864B1" w:rsidRPr="005E1437">
        <w:rPr>
          <w:rFonts w:ascii="Garamond" w:hAnsi="Garamond" w:cstheme="minorHAnsi"/>
          <w:sz w:val="24"/>
          <w:szCs w:val="24"/>
        </w:rPr>
        <w:t xml:space="preserve"> (</w:t>
      </w:r>
      <w:r w:rsidRPr="005E1437">
        <w:rPr>
          <w:rFonts w:ascii="Garamond" w:hAnsi="Garamond" w:cstheme="minorHAnsi"/>
          <w:sz w:val="24"/>
          <w:szCs w:val="24"/>
        </w:rPr>
        <w:t>www.cdc.gov/vaccines/hcp/acip-recs/general-recs/downloads/general-recs.pdf</w:t>
      </w:r>
      <w:r w:rsidR="005864B1" w:rsidRPr="005E1437">
        <w:rPr>
          <w:rFonts w:ascii="Garamond" w:hAnsi="Garamond" w:cstheme="minorHAnsi"/>
          <w:sz w:val="24"/>
          <w:szCs w:val="24"/>
        </w:rPr>
        <w:t>)</w:t>
      </w:r>
      <w:r w:rsidRPr="005E1437">
        <w:rPr>
          <w:rFonts w:ascii="Garamond" w:hAnsi="Garamond" w:cstheme="minorHAnsi"/>
          <w:sz w:val="24"/>
          <w:szCs w:val="24"/>
        </w:rPr>
        <w:t>. Accessed on 2/8/2018.</w:t>
      </w:r>
    </w:p>
    <w:p w14:paraId="269C75C6" w14:textId="27A31BD3" w:rsidR="00510B51" w:rsidRPr="005E1437" w:rsidRDefault="00510B51"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Link-Gelles R, Hofmeister MG, Nelson NP. Use of hepatitis A vaccine for post-exposure prophylaxis in individuals over 40</w:t>
      </w:r>
      <w:r w:rsidRPr="005E1437">
        <w:rPr>
          <w:rFonts w:ascii="Times New Roman" w:hAnsi="Times New Roman" w:cs="Times New Roman"/>
          <w:sz w:val="24"/>
          <w:szCs w:val="24"/>
        </w:rPr>
        <w:t> </w:t>
      </w:r>
      <w:r w:rsidRPr="005E1437">
        <w:rPr>
          <w:rFonts w:ascii="Garamond" w:hAnsi="Garamond" w:cstheme="minorHAnsi"/>
          <w:sz w:val="24"/>
          <w:szCs w:val="24"/>
        </w:rPr>
        <w:t>years of age: A systematic review of published studies and recommendations for vaccine use. Vaccine 2018;36:2745–50.</w:t>
      </w:r>
    </w:p>
    <w:p w14:paraId="6D11BC5A" w14:textId="621363E5"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Advisory Committee on Im</w:t>
      </w:r>
      <w:r w:rsidR="00414C45">
        <w:rPr>
          <w:rFonts w:ascii="Garamond" w:hAnsi="Garamond" w:cstheme="minorHAnsi"/>
          <w:sz w:val="24"/>
          <w:szCs w:val="24"/>
        </w:rPr>
        <w:t>munization Practices (ACIP)</w:t>
      </w:r>
      <w:r w:rsidRPr="005E1437">
        <w:rPr>
          <w:rFonts w:ascii="Garamond" w:hAnsi="Garamond" w:cstheme="minorHAnsi"/>
          <w:sz w:val="24"/>
          <w:szCs w:val="24"/>
        </w:rPr>
        <w:t>, Fiore AE, Wasley A, Bell BP. Prevention of hepatitis A through active or passive immunization: recommendations of the Advisory Committee on Immunization Practices (ACIP). MMWR Recomm Rep. 2006 May 19;55(RR-7):1</w:t>
      </w:r>
      <w:r w:rsidR="00F04341" w:rsidRPr="005E1437">
        <w:rPr>
          <w:rFonts w:ascii="Garamond" w:hAnsi="Garamond" w:cstheme="minorHAnsi"/>
          <w:sz w:val="24"/>
          <w:szCs w:val="24"/>
        </w:rPr>
        <w:t>–</w:t>
      </w:r>
      <w:r w:rsidRPr="005E1437">
        <w:rPr>
          <w:rFonts w:ascii="Garamond" w:hAnsi="Garamond" w:cstheme="minorHAnsi"/>
          <w:sz w:val="24"/>
          <w:szCs w:val="24"/>
        </w:rPr>
        <w:t>23.</w:t>
      </w:r>
    </w:p>
    <w:p w14:paraId="4472273A" w14:textId="794F42E2" w:rsidR="0063198D" w:rsidRPr="005E1437" w:rsidRDefault="0063198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Nelson R. Hepatitis A outbreak in the USA. Lancet Infect Dis 2018;18:33</w:t>
      </w:r>
      <w:r w:rsidR="00F04341" w:rsidRPr="005E1437">
        <w:rPr>
          <w:rFonts w:ascii="Garamond" w:hAnsi="Garamond" w:cstheme="minorHAnsi"/>
          <w:sz w:val="24"/>
          <w:szCs w:val="24"/>
        </w:rPr>
        <w:t>–</w:t>
      </w:r>
      <w:r w:rsidRPr="005E1437">
        <w:rPr>
          <w:rFonts w:ascii="Garamond" w:hAnsi="Garamond" w:cstheme="minorHAnsi"/>
          <w:sz w:val="24"/>
          <w:szCs w:val="24"/>
        </w:rPr>
        <w:t>4. doi: 10.1016/S1473</w:t>
      </w:r>
      <w:r w:rsidR="00F04341" w:rsidRPr="005E1437">
        <w:rPr>
          <w:rFonts w:ascii="Garamond" w:hAnsi="Garamond" w:cstheme="minorHAnsi"/>
          <w:sz w:val="24"/>
          <w:szCs w:val="24"/>
        </w:rPr>
        <w:t>–</w:t>
      </w:r>
      <w:r w:rsidRPr="005E1437">
        <w:rPr>
          <w:rFonts w:ascii="Garamond" w:hAnsi="Garamond" w:cstheme="minorHAnsi"/>
          <w:sz w:val="24"/>
          <w:szCs w:val="24"/>
        </w:rPr>
        <w:t>3099(17)30718</w:t>
      </w:r>
      <w:r w:rsidR="00F04341" w:rsidRPr="005E1437">
        <w:rPr>
          <w:rFonts w:ascii="Garamond" w:hAnsi="Garamond" w:cstheme="minorHAnsi"/>
          <w:sz w:val="24"/>
          <w:szCs w:val="24"/>
        </w:rPr>
        <w:t>–</w:t>
      </w:r>
      <w:r w:rsidRPr="005E1437">
        <w:rPr>
          <w:rFonts w:ascii="Garamond" w:hAnsi="Garamond" w:cstheme="minorHAnsi"/>
          <w:sz w:val="24"/>
          <w:szCs w:val="24"/>
        </w:rPr>
        <w:t>1. Epub 2017 Dec 20.</w:t>
      </w:r>
    </w:p>
    <w:p w14:paraId="5C73A9A7" w14:textId="70E57BA2" w:rsidR="00C928FD" w:rsidRPr="005E1437" w:rsidRDefault="005D3D93"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Fiore AE. Hepatitis A transmitted by food. Clin Infect Dis 2004;38:705</w:t>
      </w:r>
      <w:r w:rsidR="00F04341" w:rsidRPr="005E1437">
        <w:rPr>
          <w:rFonts w:ascii="Garamond" w:hAnsi="Garamond" w:cstheme="minorHAnsi"/>
          <w:sz w:val="24"/>
          <w:szCs w:val="24"/>
        </w:rPr>
        <w:t>–</w:t>
      </w:r>
      <w:r w:rsidRPr="005E1437">
        <w:rPr>
          <w:rFonts w:ascii="Garamond" w:hAnsi="Garamond" w:cstheme="minorHAnsi"/>
          <w:sz w:val="24"/>
          <w:szCs w:val="24"/>
        </w:rPr>
        <w:t>15.</w:t>
      </w:r>
      <w:r w:rsidR="00C928FD" w:rsidRPr="005E1437">
        <w:rPr>
          <w:rFonts w:ascii="Garamond" w:hAnsi="Garamond" w:cstheme="minorHAnsi"/>
          <w:sz w:val="24"/>
          <w:szCs w:val="24"/>
        </w:rPr>
        <w:t xml:space="preserve"> </w:t>
      </w:r>
    </w:p>
    <w:p w14:paraId="5C40474E" w14:textId="5206EC87"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lastRenderedPageBreak/>
        <w:t>Victor JC, Surdina TY, Suleimenova SZ, Favorov MO, Bell BP, Monto AS. Person-to-person transmission of hepatitis A virus in an urban area of intermediate endemicity: implications for vaccination strategies. Am J Epidemiol 2006;163:204</w:t>
      </w:r>
      <w:r w:rsidR="00F04341" w:rsidRPr="005E1437">
        <w:rPr>
          <w:rFonts w:ascii="Garamond" w:hAnsi="Garamond" w:cstheme="minorHAnsi"/>
          <w:sz w:val="24"/>
          <w:szCs w:val="24"/>
        </w:rPr>
        <w:t>–</w:t>
      </w:r>
      <w:r w:rsidRPr="005E1437">
        <w:rPr>
          <w:rFonts w:ascii="Garamond" w:hAnsi="Garamond" w:cstheme="minorHAnsi"/>
          <w:sz w:val="24"/>
          <w:szCs w:val="24"/>
        </w:rPr>
        <w:t>10.</w:t>
      </w:r>
    </w:p>
    <w:p w14:paraId="28FC5ACC" w14:textId="75CAEBCC"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Staes CJ, Schlenker TL, Risk I, et al. Sources of infection among persons with acute hepatitis A and no identified risk factors during a sustained community-wide outbreak. Pediatrics 2000;106:E54.</w:t>
      </w:r>
    </w:p>
    <w:p w14:paraId="78D8C5D5" w14:textId="3CC7BA07" w:rsidR="005D3D93" w:rsidRPr="005E1437" w:rsidRDefault="005D3D93"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Smith PF, Grabau JC, Werzberger A, et al. The role of young children in a community-wide outbreak of hepatitis A. Epidemiol Infect 1997;118:243</w:t>
      </w:r>
      <w:r w:rsidR="00F04341" w:rsidRPr="005E1437">
        <w:rPr>
          <w:rFonts w:ascii="Garamond" w:hAnsi="Garamond" w:cstheme="minorHAnsi"/>
          <w:sz w:val="24"/>
          <w:szCs w:val="24"/>
        </w:rPr>
        <w:t>–</w:t>
      </w:r>
      <w:r w:rsidRPr="005E1437">
        <w:rPr>
          <w:rFonts w:ascii="Garamond" w:hAnsi="Garamond" w:cstheme="minorHAnsi"/>
          <w:sz w:val="24"/>
          <w:szCs w:val="24"/>
        </w:rPr>
        <w:t>52.</w:t>
      </w:r>
    </w:p>
    <w:p w14:paraId="0B09AC02" w14:textId="3F465A6C"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Sharapov UM, Kentenyants K, Groeger J, Roberts H, Holmberg SD, Collier MG. Hepatitis A Infections Among Food Handlers in the United States, 1993</w:t>
      </w:r>
      <w:r w:rsidR="00F04341" w:rsidRPr="005E1437">
        <w:rPr>
          <w:rFonts w:ascii="Garamond" w:hAnsi="Garamond" w:cstheme="minorHAnsi"/>
          <w:sz w:val="24"/>
          <w:szCs w:val="24"/>
        </w:rPr>
        <w:t>–</w:t>
      </w:r>
      <w:r w:rsidRPr="005E1437">
        <w:rPr>
          <w:rFonts w:ascii="Garamond" w:hAnsi="Garamond" w:cstheme="minorHAnsi"/>
          <w:sz w:val="24"/>
          <w:szCs w:val="24"/>
        </w:rPr>
        <w:t>2011. Public Health Rep 2016;131:26</w:t>
      </w:r>
      <w:r w:rsidR="00F04341" w:rsidRPr="005E1437">
        <w:rPr>
          <w:rFonts w:ascii="Garamond" w:hAnsi="Garamond" w:cstheme="minorHAnsi"/>
          <w:sz w:val="24"/>
          <w:szCs w:val="24"/>
        </w:rPr>
        <w:t>–</w:t>
      </w:r>
      <w:r w:rsidRPr="005E1437">
        <w:rPr>
          <w:rFonts w:ascii="Garamond" w:hAnsi="Garamond" w:cstheme="minorHAnsi"/>
          <w:sz w:val="24"/>
          <w:szCs w:val="24"/>
        </w:rPr>
        <w:t>9.</w:t>
      </w:r>
    </w:p>
    <w:p w14:paraId="0D188CB1" w14:textId="0907A7E5"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Morey RJ, Collier MG, Nelson NP. The Financial Burden of Public Health Responses to Hepatitis A Cases Among Food Handlers, 2012</w:t>
      </w:r>
      <w:r w:rsidR="00F04341" w:rsidRPr="005E1437">
        <w:rPr>
          <w:rFonts w:ascii="Garamond" w:hAnsi="Garamond" w:cstheme="minorHAnsi"/>
          <w:sz w:val="24"/>
          <w:szCs w:val="24"/>
        </w:rPr>
        <w:t>–</w:t>
      </w:r>
      <w:r w:rsidRPr="005E1437">
        <w:rPr>
          <w:rFonts w:ascii="Garamond" w:hAnsi="Garamond" w:cstheme="minorHAnsi"/>
          <w:sz w:val="24"/>
          <w:szCs w:val="24"/>
        </w:rPr>
        <w:t>2014. Public Health Rep 2017;132.</w:t>
      </w:r>
    </w:p>
    <w:p w14:paraId="3069236B" w14:textId="7F2076B9" w:rsidR="00F91175" w:rsidRPr="005E1437" w:rsidRDefault="00F91175"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 xml:space="preserve">Ridpath A, Reddy V, Layton M, </w:t>
      </w:r>
      <w:r w:rsidR="00AA4BE3" w:rsidRPr="005E1437">
        <w:rPr>
          <w:rFonts w:ascii="Garamond" w:hAnsi="Garamond" w:cstheme="minorHAnsi"/>
          <w:sz w:val="24"/>
          <w:szCs w:val="24"/>
        </w:rPr>
        <w:t>et al</w:t>
      </w:r>
      <w:r w:rsidRPr="005E1437">
        <w:rPr>
          <w:rFonts w:ascii="Garamond" w:hAnsi="Garamond" w:cstheme="minorHAnsi"/>
          <w:sz w:val="24"/>
          <w:szCs w:val="24"/>
        </w:rPr>
        <w:t>. Hepatitis A Cases Among Food Handlers: A Local Health Department Response-New York City, 2013. J Public Health Manag Pract 2017;23:571</w:t>
      </w:r>
      <w:r w:rsidR="00F04341" w:rsidRPr="005E1437">
        <w:rPr>
          <w:rFonts w:ascii="Garamond" w:hAnsi="Garamond" w:cstheme="minorHAnsi"/>
          <w:sz w:val="24"/>
          <w:szCs w:val="24"/>
        </w:rPr>
        <w:t>–</w:t>
      </w:r>
      <w:r w:rsidRPr="005E1437">
        <w:rPr>
          <w:rFonts w:ascii="Garamond" w:hAnsi="Garamond" w:cstheme="minorHAnsi"/>
          <w:sz w:val="24"/>
          <w:szCs w:val="24"/>
        </w:rPr>
        <w:t>6.</w:t>
      </w:r>
    </w:p>
    <w:p w14:paraId="701D145B" w14:textId="388DA0E3" w:rsidR="00510B51"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Guideline for Isolation Precautions: Preventing Transmission of Infectious Agents in Healthcare Settings (2007)</w:t>
      </w:r>
      <w:hyperlink r:id="rId7" w:history="1">
        <w:r w:rsidRPr="005E1437">
          <w:rPr>
            <w:rFonts w:ascii="Garamond" w:hAnsi="Garamond" w:cstheme="minorHAnsi"/>
            <w:sz w:val="24"/>
            <w:szCs w:val="24"/>
          </w:rPr>
          <w:t>https://www.cdc.gov/infectioncontrol/guidelines/isolation/appendix/type-duration-precautions.html</w:t>
        </w:r>
      </w:hyperlink>
    </w:p>
    <w:p w14:paraId="5D21353A" w14:textId="5382E523"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Chaudhry SA, Koren G. Hepatitis A infection during pregnancy. Can Fam Physician 2015;61:963</w:t>
      </w:r>
      <w:r w:rsidR="00F04341" w:rsidRPr="005E1437">
        <w:rPr>
          <w:rFonts w:ascii="Garamond" w:hAnsi="Garamond" w:cstheme="minorHAnsi"/>
          <w:sz w:val="24"/>
          <w:szCs w:val="24"/>
        </w:rPr>
        <w:t>–</w:t>
      </w:r>
      <w:r w:rsidRPr="005E1437">
        <w:rPr>
          <w:rFonts w:ascii="Garamond" w:hAnsi="Garamond" w:cstheme="minorHAnsi"/>
          <w:sz w:val="24"/>
          <w:szCs w:val="24"/>
        </w:rPr>
        <w:t>4.</w:t>
      </w:r>
    </w:p>
    <w:p w14:paraId="5E03CD55" w14:textId="1052BFC0"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lastRenderedPageBreak/>
        <w:t xml:space="preserve">Elinav E, Ben-Dov IZ, Shapira Y, </w:t>
      </w:r>
      <w:r w:rsidR="00AA4BE3" w:rsidRPr="005E1437">
        <w:rPr>
          <w:rFonts w:ascii="Garamond" w:hAnsi="Garamond" w:cstheme="minorHAnsi"/>
          <w:sz w:val="24"/>
          <w:szCs w:val="24"/>
        </w:rPr>
        <w:t>et al</w:t>
      </w:r>
      <w:r w:rsidRPr="005E1437">
        <w:rPr>
          <w:rFonts w:ascii="Garamond" w:hAnsi="Garamond" w:cstheme="minorHAnsi"/>
          <w:sz w:val="24"/>
          <w:szCs w:val="24"/>
        </w:rPr>
        <w:t>. Acute hepatitis A infection in pregnancy is associated with high rates of gestational complications and preterm labor. Gastroenterology 2006;130:1129</w:t>
      </w:r>
      <w:r w:rsidR="00F04341" w:rsidRPr="005E1437">
        <w:rPr>
          <w:rFonts w:ascii="Garamond" w:hAnsi="Garamond" w:cstheme="minorHAnsi"/>
          <w:sz w:val="24"/>
          <w:szCs w:val="24"/>
        </w:rPr>
        <w:t>–</w:t>
      </w:r>
      <w:r w:rsidRPr="005E1437">
        <w:rPr>
          <w:rFonts w:ascii="Garamond" w:hAnsi="Garamond" w:cstheme="minorHAnsi"/>
          <w:sz w:val="24"/>
          <w:szCs w:val="24"/>
        </w:rPr>
        <w:t>34</w:t>
      </w:r>
    </w:p>
    <w:p w14:paraId="6AB21E6E" w14:textId="08AC01F3" w:rsidR="00CF28B0" w:rsidRPr="005E1437" w:rsidRDefault="00CF28B0"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 xml:space="preserve">Recommended Immunization Schedule for Adults Aged 19 Years or Older by Medical Conditions and Other Indications, United States, 2018. </w:t>
      </w:r>
      <w:hyperlink r:id="rId8" w:anchor="f8" w:history="1">
        <w:r w:rsidRPr="005E1437">
          <w:rPr>
            <w:rFonts w:ascii="Garamond" w:hAnsi="Garamond" w:cstheme="minorHAnsi"/>
            <w:sz w:val="24"/>
            <w:szCs w:val="24"/>
          </w:rPr>
          <w:t>https://www.cdc.gov/vaccines/schedules/hcp/imz/adult-conditions.html#f8</w:t>
        </w:r>
      </w:hyperlink>
      <w:r w:rsidRPr="005E1437">
        <w:rPr>
          <w:rFonts w:ascii="Garamond" w:hAnsi="Garamond" w:cstheme="minorHAnsi"/>
          <w:sz w:val="24"/>
          <w:szCs w:val="24"/>
        </w:rPr>
        <w:t xml:space="preserve">. </w:t>
      </w:r>
    </w:p>
    <w:p w14:paraId="52E918DC" w14:textId="0D5069A1"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Moro PL, Museru OI, Niu M, Lewis P, Broder K. Reports to the Vaccine Adverse Event Reporting System after hepatitis A and hepatitis AB vaccines in pregnant women. Am J Obstet Gynecol 2014;210:561 e561</w:t>
      </w:r>
      <w:r w:rsidR="00F04341" w:rsidRPr="005E1437">
        <w:rPr>
          <w:rFonts w:ascii="Garamond" w:hAnsi="Garamond" w:cstheme="minorHAnsi"/>
          <w:sz w:val="24"/>
          <w:szCs w:val="24"/>
        </w:rPr>
        <w:t>–</w:t>
      </w:r>
      <w:r w:rsidRPr="005E1437">
        <w:rPr>
          <w:rFonts w:ascii="Garamond" w:hAnsi="Garamond" w:cstheme="minorHAnsi"/>
          <w:sz w:val="24"/>
          <w:szCs w:val="24"/>
        </w:rPr>
        <w:t>6.</w:t>
      </w:r>
    </w:p>
    <w:p w14:paraId="300882EF" w14:textId="60F0FF08"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Rosenblum LS, Villarino ME, Nainan OV, et al. Hepatitis A outbreak in a neonatal intensive care unit: risk factors for transmission and evidence of prolonged viral excretion among preterm infants.</w:t>
      </w:r>
      <w:r w:rsidR="00AA4BE3" w:rsidRPr="005E1437">
        <w:rPr>
          <w:rFonts w:ascii="Garamond" w:hAnsi="Garamond" w:cstheme="minorHAnsi"/>
          <w:sz w:val="24"/>
          <w:szCs w:val="24"/>
        </w:rPr>
        <w:t xml:space="preserve"> </w:t>
      </w:r>
      <w:r w:rsidRPr="005E1437">
        <w:rPr>
          <w:rFonts w:ascii="Garamond" w:hAnsi="Garamond" w:cstheme="minorHAnsi"/>
          <w:sz w:val="24"/>
          <w:szCs w:val="24"/>
        </w:rPr>
        <w:t>J Infect Dis 1991;164:476–82.</w:t>
      </w:r>
    </w:p>
    <w:p w14:paraId="5193CEEF" w14:textId="5EA89F4E"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Noble RC, Kane MA, Reeves SA, Roeckel I. Posttransfusion hepatitis A in a neonatal intensive care unit. JAMA 1984;252:2711–5.</w:t>
      </w:r>
    </w:p>
    <w:p w14:paraId="6E61E2BF" w14:textId="74FE8970" w:rsidR="00292D49" w:rsidRPr="005E1437" w:rsidRDefault="00292D49"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 xml:space="preserve">Foster MA, Weil LM, Jin S, </w:t>
      </w:r>
      <w:r w:rsidR="00AA4BE3" w:rsidRPr="005E1437">
        <w:rPr>
          <w:rFonts w:ascii="Garamond" w:hAnsi="Garamond" w:cstheme="minorHAnsi"/>
          <w:sz w:val="24"/>
          <w:szCs w:val="24"/>
        </w:rPr>
        <w:t>et al</w:t>
      </w:r>
      <w:r w:rsidRPr="005E1437">
        <w:rPr>
          <w:rFonts w:ascii="Garamond" w:hAnsi="Garamond" w:cstheme="minorHAnsi"/>
          <w:sz w:val="24"/>
          <w:szCs w:val="24"/>
        </w:rPr>
        <w:t>. Transmission of Hepatitis A Virus through Combined Liver-Small Intestine-Pancreas Transplantation. Emerg Infect Dis 2017;23:590</w:t>
      </w:r>
      <w:r w:rsidR="00F04341" w:rsidRPr="005E1437">
        <w:rPr>
          <w:rFonts w:ascii="Garamond" w:hAnsi="Garamond" w:cstheme="minorHAnsi"/>
          <w:sz w:val="24"/>
          <w:szCs w:val="24"/>
        </w:rPr>
        <w:t>–</w:t>
      </w:r>
      <w:r w:rsidRPr="005E1437">
        <w:rPr>
          <w:rFonts w:ascii="Garamond" w:hAnsi="Garamond" w:cstheme="minorHAnsi"/>
          <w:sz w:val="24"/>
          <w:szCs w:val="24"/>
        </w:rPr>
        <w:t>6.</w:t>
      </w:r>
    </w:p>
    <w:p w14:paraId="2E7684F0" w14:textId="519D0CA2"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Klein BS, Michaels JA, Rytel MW, Berg KG, Davis JP. Nosocomial hepatitis A. A multinursery outbreak in Wisconsin. JAMA 1984;252:2716–21.</w:t>
      </w:r>
    </w:p>
    <w:p w14:paraId="13D6A410" w14:textId="785C153E"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Goodman RA. Nosocomial hepatitis A. Ann Intern Med 1985;103:452–4.</w:t>
      </w:r>
    </w:p>
    <w:p w14:paraId="2C60A81F" w14:textId="3D12AEC0"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Drusin LM, Sohmer M, Groshen SL, Spiritos MD, Senterfit LB, Christenson WN. Nosocomial hepatitis A infection in a paediatric intensive care unit. Arch Dis Child 1987;62:690</w:t>
      </w:r>
      <w:r w:rsidR="00F04341" w:rsidRPr="005E1437">
        <w:rPr>
          <w:rFonts w:ascii="Garamond" w:hAnsi="Garamond" w:cstheme="minorHAnsi"/>
          <w:sz w:val="24"/>
          <w:szCs w:val="24"/>
        </w:rPr>
        <w:t>–</w:t>
      </w:r>
      <w:r w:rsidRPr="005E1437">
        <w:rPr>
          <w:rFonts w:ascii="Garamond" w:hAnsi="Garamond" w:cstheme="minorHAnsi"/>
          <w:sz w:val="24"/>
          <w:szCs w:val="24"/>
        </w:rPr>
        <w:t>5.</w:t>
      </w:r>
    </w:p>
    <w:p w14:paraId="131E6A7B" w14:textId="52064B41"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lastRenderedPageBreak/>
        <w:t xml:space="preserve">Hanna JN, Loewenthal MR, Negel P, Wenck DJ. </w:t>
      </w:r>
      <w:hyperlink r:id="rId9" w:history="1">
        <w:r w:rsidRPr="005E1437">
          <w:rPr>
            <w:rFonts w:ascii="Garamond" w:hAnsi="Garamond" w:cstheme="minorHAnsi"/>
            <w:sz w:val="24"/>
            <w:szCs w:val="24"/>
          </w:rPr>
          <w:t>An outbreak of hepatitis A in an intensive care unit.</w:t>
        </w:r>
      </w:hyperlink>
      <w:r w:rsidRPr="005E1437">
        <w:rPr>
          <w:rFonts w:ascii="Garamond" w:hAnsi="Garamond" w:cstheme="minorHAnsi"/>
          <w:sz w:val="24"/>
          <w:szCs w:val="24"/>
        </w:rPr>
        <w:t xml:space="preserve"> Anaesth Intensive Care 1996;24:440</w:t>
      </w:r>
      <w:r w:rsidR="00F04341" w:rsidRPr="005E1437">
        <w:rPr>
          <w:rFonts w:ascii="Garamond" w:hAnsi="Garamond" w:cstheme="minorHAnsi"/>
          <w:sz w:val="24"/>
          <w:szCs w:val="24"/>
        </w:rPr>
        <w:t>–</w:t>
      </w:r>
      <w:r w:rsidRPr="005E1437">
        <w:rPr>
          <w:rFonts w:ascii="Garamond" w:hAnsi="Garamond" w:cstheme="minorHAnsi"/>
          <w:sz w:val="24"/>
          <w:szCs w:val="24"/>
        </w:rPr>
        <w:t>4.</w:t>
      </w:r>
    </w:p>
    <w:p w14:paraId="10E7B386" w14:textId="7CC8ABD3" w:rsidR="00C928FD" w:rsidRPr="005E1437" w:rsidRDefault="00C928FD" w:rsidP="005E1437">
      <w:pPr>
        <w:pStyle w:val="EndnoteText"/>
        <w:numPr>
          <w:ilvl w:val="0"/>
          <w:numId w:val="2"/>
        </w:numPr>
        <w:spacing w:after="120" w:line="480" w:lineRule="auto"/>
        <w:ind w:left="450"/>
        <w:rPr>
          <w:rFonts w:ascii="Garamond" w:hAnsi="Garamond" w:cstheme="minorHAnsi"/>
          <w:sz w:val="24"/>
          <w:szCs w:val="24"/>
        </w:rPr>
      </w:pPr>
      <w:r w:rsidRPr="005E1437">
        <w:rPr>
          <w:rFonts w:ascii="Garamond" w:hAnsi="Garamond" w:cstheme="minorHAnsi"/>
          <w:sz w:val="24"/>
          <w:szCs w:val="24"/>
        </w:rPr>
        <w:t xml:space="preserve">Glas C, Hotz P, Steffen R. </w:t>
      </w:r>
      <w:hyperlink r:id="rId10" w:history="1">
        <w:r w:rsidRPr="005E1437">
          <w:rPr>
            <w:rFonts w:ascii="Garamond" w:hAnsi="Garamond" w:cstheme="minorHAnsi"/>
            <w:sz w:val="24"/>
            <w:szCs w:val="24"/>
          </w:rPr>
          <w:t>Hepatitis A in workers exposed to sewage: a systematic review.</w:t>
        </w:r>
      </w:hyperlink>
      <w:r w:rsidRPr="005E1437">
        <w:rPr>
          <w:rFonts w:ascii="Garamond" w:hAnsi="Garamond" w:cstheme="minorHAnsi"/>
          <w:sz w:val="24"/>
          <w:szCs w:val="24"/>
        </w:rPr>
        <w:t xml:space="preserve"> Occup Environ Med 2001;58:762</w:t>
      </w:r>
      <w:r w:rsidR="00F04341" w:rsidRPr="005E1437">
        <w:rPr>
          <w:rFonts w:ascii="Garamond" w:hAnsi="Garamond" w:cstheme="minorHAnsi"/>
          <w:sz w:val="24"/>
          <w:szCs w:val="24"/>
        </w:rPr>
        <w:t>–</w:t>
      </w:r>
      <w:r w:rsidRPr="005E1437">
        <w:rPr>
          <w:rFonts w:ascii="Garamond" w:hAnsi="Garamond" w:cstheme="minorHAnsi"/>
          <w:sz w:val="24"/>
          <w:szCs w:val="24"/>
        </w:rPr>
        <w:t>8. Review.</w:t>
      </w:r>
    </w:p>
    <w:p w14:paraId="23DED00E" w14:textId="3974C19A" w:rsidR="00C928FD" w:rsidRPr="005E1437" w:rsidRDefault="00C928FD" w:rsidP="005E1437">
      <w:pPr>
        <w:pStyle w:val="ListParagraph"/>
        <w:numPr>
          <w:ilvl w:val="0"/>
          <w:numId w:val="2"/>
        </w:numPr>
        <w:spacing w:after="120" w:line="480" w:lineRule="auto"/>
        <w:ind w:left="450"/>
        <w:contextualSpacing w:val="0"/>
        <w:rPr>
          <w:rFonts w:ascii="Garamond" w:hAnsi="Garamond" w:cstheme="minorHAnsi"/>
          <w:sz w:val="24"/>
          <w:szCs w:val="24"/>
        </w:rPr>
      </w:pPr>
      <w:r w:rsidRPr="005E1437">
        <w:rPr>
          <w:rFonts w:ascii="Garamond" w:hAnsi="Garamond" w:cstheme="minorHAnsi"/>
          <w:sz w:val="24"/>
          <w:szCs w:val="24"/>
        </w:rPr>
        <w:t>Halliday ML, Kang LY, Zhou TK, Hu MD, Pan QC, Fu TY, Huang YS, et al. An epidemic of hepatitis A attributable to the ingestion of raw clams in Shanghai, China. J Infect Dis 1991;164:852</w:t>
      </w:r>
      <w:r w:rsidR="00F04341" w:rsidRPr="005E1437">
        <w:rPr>
          <w:rFonts w:ascii="Garamond" w:hAnsi="Garamond" w:cstheme="minorHAnsi"/>
          <w:sz w:val="24"/>
          <w:szCs w:val="24"/>
        </w:rPr>
        <w:t>–</w:t>
      </w:r>
      <w:r w:rsidRPr="005E1437">
        <w:rPr>
          <w:rFonts w:ascii="Garamond" w:hAnsi="Garamond" w:cstheme="minorHAnsi"/>
          <w:sz w:val="24"/>
          <w:szCs w:val="24"/>
        </w:rPr>
        <w:t>859.</w:t>
      </w:r>
    </w:p>
    <w:p w14:paraId="35E081A7" w14:textId="77777777" w:rsidR="00FC70C6" w:rsidRPr="005E1437" w:rsidRDefault="00FC70C6" w:rsidP="005E1437">
      <w:pPr>
        <w:spacing w:after="120" w:line="480" w:lineRule="auto"/>
        <w:rPr>
          <w:rFonts w:ascii="Garamond" w:hAnsi="Garamond" w:cstheme="minorHAnsi"/>
          <w:sz w:val="24"/>
          <w:szCs w:val="24"/>
        </w:rPr>
      </w:pPr>
    </w:p>
    <w:sectPr w:rsidR="00FC70C6" w:rsidRPr="005E1437" w:rsidSect="005E143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F186" w14:textId="77777777" w:rsidR="005E243A" w:rsidRDefault="005E243A" w:rsidP="00880D75">
      <w:pPr>
        <w:spacing w:after="0" w:line="240" w:lineRule="auto"/>
      </w:pPr>
      <w:r>
        <w:separator/>
      </w:r>
    </w:p>
  </w:endnote>
  <w:endnote w:type="continuationSeparator" w:id="0">
    <w:p w14:paraId="78262241" w14:textId="77777777" w:rsidR="005E243A" w:rsidRDefault="005E243A" w:rsidP="0088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2918" w14:textId="77777777" w:rsidR="005E243A" w:rsidRDefault="005E243A" w:rsidP="00880D75">
      <w:pPr>
        <w:spacing w:after="0" w:line="240" w:lineRule="auto"/>
      </w:pPr>
      <w:r>
        <w:separator/>
      </w:r>
    </w:p>
  </w:footnote>
  <w:footnote w:type="continuationSeparator" w:id="0">
    <w:p w14:paraId="6022EB3B" w14:textId="77777777" w:rsidR="005E243A" w:rsidRDefault="005E243A" w:rsidP="00880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0F0"/>
    <w:multiLevelType w:val="hybridMultilevel"/>
    <w:tmpl w:val="34A8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71FB7"/>
    <w:multiLevelType w:val="multilevel"/>
    <w:tmpl w:val="C2BAE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trackRevisions/>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75"/>
    <w:rsid w:val="000078A0"/>
    <w:rsid w:val="000136DD"/>
    <w:rsid w:val="0002795C"/>
    <w:rsid w:val="000769DD"/>
    <w:rsid w:val="000C6DAF"/>
    <w:rsid w:val="000D2BB2"/>
    <w:rsid w:val="00107A3B"/>
    <w:rsid w:val="001348EF"/>
    <w:rsid w:val="00163E61"/>
    <w:rsid w:val="001C0385"/>
    <w:rsid w:val="001F1BED"/>
    <w:rsid w:val="00217444"/>
    <w:rsid w:val="00252EA7"/>
    <w:rsid w:val="00283983"/>
    <w:rsid w:val="00292D49"/>
    <w:rsid w:val="002958F6"/>
    <w:rsid w:val="002A1F58"/>
    <w:rsid w:val="002D20F3"/>
    <w:rsid w:val="002D28C7"/>
    <w:rsid w:val="003005AA"/>
    <w:rsid w:val="003A003F"/>
    <w:rsid w:val="003A42C9"/>
    <w:rsid w:val="003D29A1"/>
    <w:rsid w:val="00414C45"/>
    <w:rsid w:val="004C3AE0"/>
    <w:rsid w:val="00510B51"/>
    <w:rsid w:val="0054023C"/>
    <w:rsid w:val="00582197"/>
    <w:rsid w:val="005864B1"/>
    <w:rsid w:val="005B0ED8"/>
    <w:rsid w:val="005C6436"/>
    <w:rsid w:val="005C701A"/>
    <w:rsid w:val="005D3D93"/>
    <w:rsid w:val="005E1437"/>
    <w:rsid w:val="005E243A"/>
    <w:rsid w:val="0063198D"/>
    <w:rsid w:val="00633B08"/>
    <w:rsid w:val="00652965"/>
    <w:rsid w:val="00680C78"/>
    <w:rsid w:val="00697097"/>
    <w:rsid w:val="006B4BB3"/>
    <w:rsid w:val="006E25C4"/>
    <w:rsid w:val="00803DE6"/>
    <w:rsid w:val="008046F6"/>
    <w:rsid w:val="00823C51"/>
    <w:rsid w:val="00847B5C"/>
    <w:rsid w:val="008728F6"/>
    <w:rsid w:val="0087410B"/>
    <w:rsid w:val="00880D75"/>
    <w:rsid w:val="00894CC7"/>
    <w:rsid w:val="008A0A7A"/>
    <w:rsid w:val="00933536"/>
    <w:rsid w:val="00940343"/>
    <w:rsid w:val="00953064"/>
    <w:rsid w:val="00997AB0"/>
    <w:rsid w:val="009E0320"/>
    <w:rsid w:val="00A07FF4"/>
    <w:rsid w:val="00A31980"/>
    <w:rsid w:val="00AA4BE3"/>
    <w:rsid w:val="00AD1EEB"/>
    <w:rsid w:val="00B20881"/>
    <w:rsid w:val="00B36D55"/>
    <w:rsid w:val="00B66A78"/>
    <w:rsid w:val="00BE18A5"/>
    <w:rsid w:val="00C264D5"/>
    <w:rsid w:val="00C63687"/>
    <w:rsid w:val="00C928FD"/>
    <w:rsid w:val="00CC7EFD"/>
    <w:rsid w:val="00CF0801"/>
    <w:rsid w:val="00CF28B0"/>
    <w:rsid w:val="00D15F52"/>
    <w:rsid w:val="00D23AA0"/>
    <w:rsid w:val="00D26908"/>
    <w:rsid w:val="00D427FA"/>
    <w:rsid w:val="00D76003"/>
    <w:rsid w:val="00D91120"/>
    <w:rsid w:val="00E2403A"/>
    <w:rsid w:val="00E7418B"/>
    <w:rsid w:val="00F04341"/>
    <w:rsid w:val="00F21894"/>
    <w:rsid w:val="00F6538D"/>
    <w:rsid w:val="00F9117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ACACFB"/>
  <w15:chartTrackingRefBased/>
  <w15:docId w15:val="{3375D604-109A-44ED-862E-26DC8CF5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0D75"/>
  </w:style>
  <w:style w:type="paragraph" w:styleId="NormalWeb">
    <w:name w:val="Normal (Web)"/>
    <w:basedOn w:val="Normal"/>
    <w:link w:val="NormalWebChar"/>
    <w:uiPriority w:val="99"/>
    <w:unhideWhenUsed/>
    <w:rsid w:val="00880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880D7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0D75"/>
    <w:rPr>
      <w:color w:val="0000FF"/>
      <w:u w:val="single"/>
    </w:rPr>
  </w:style>
  <w:style w:type="paragraph" w:styleId="EndnoteText">
    <w:name w:val="endnote text"/>
    <w:basedOn w:val="Normal"/>
    <w:link w:val="EndnoteTextChar"/>
    <w:uiPriority w:val="99"/>
    <w:unhideWhenUsed/>
    <w:rsid w:val="00880D75"/>
    <w:pPr>
      <w:spacing w:after="0" w:line="240" w:lineRule="auto"/>
    </w:pPr>
    <w:rPr>
      <w:sz w:val="20"/>
      <w:szCs w:val="20"/>
    </w:rPr>
  </w:style>
  <w:style w:type="character" w:customStyle="1" w:styleId="EndnoteTextChar">
    <w:name w:val="Endnote Text Char"/>
    <w:basedOn w:val="DefaultParagraphFont"/>
    <w:link w:val="EndnoteText"/>
    <w:uiPriority w:val="99"/>
    <w:rsid w:val="00880D75"/>
    <w:rPr>
      <w:sz w:val="20"/>
      <w:szCs w:val="20"/>
    </w:rPr>
  </w:style>
  <w:style w:type="character" w:styleId="EndnoteReference">
    <w:name w:val="endnote reference"/>
    <w:basedOn w:val="DefaultParagraphFont"/>
    <w:uiPriority w:val="99"/>
    <w:semiHidden/>
    <w:unhideWhenUsed/>
    <w:rsid w:val="00880D75"/>
    <w:rPr>
      <w:vertAlign w:val="superscript"/>
    </w:rPr>
  </w:style>
  <w:style w:type="paragraph" w:styleId="BalloonText">
    <w:name w:val="Balloon Text"/>
    <w:basedOn w:val="Normal"/>
    <w:link w:val="BalloonTextChar"/>
    <w:uiPriority w:val="99"/>
    <w:semiHidden/>
    <w:unhideWhenUsed/>
    <w:rsid w:val="008A0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7A"/>
    <w:rPr>
      <w:rFonts w:ascii="Segoe UI" w:hAnsi="Segoe UI" w:cs="Segoe UI"/>
      <w:sz w:val="18"/>
      <w:szCs w:val="18"/>
    </w:rPr>
  </w:style>
  <w:style w:type="character" w:styleId="CommentReference">
    <w:name w:val="annotation reference"/>
    <w:basedOn w:val="DefaultParagraphFont"/>
    <w:uiPriority w:val="99"/>
    <w:semiHidden/>
    <w:unhideWhenUsed/>
    <w:rsid w:val="006E25C4"/>
    <w:rPr>
      <w:sz w:val="16"/>
      <w:szCs w:val="16"/>
    </w:rPr>
  </w:style>
  <w:style w:type="paragraph" w:styleId="CommentText">
    <w:name w:val="annotation text"/>
    <w:basedOn w:val="Normal"/>
    <w:link w:val="CommentTextChar"/>
    <w:uiPriority w:val="99"/>
    <w:semiHidden/>
    <w:unhideWhenUsed/>
    <w:rsid w:val="006E25C4"/>
    <w:pPr>
      <w:spacing w:line="240" w:lineRule="auto"/>
    </w:pPr>
    <w:rPr>
      <w:sz w:val="20"/>
      <w:szCs w:val="20"/>
    </w:rPr>
  </w:style>
  <w:style w:type="character" w:customStyle="1" w:styleId="CommentTextChar">
    <w:name w:val="Comment Text Char"/>
    <w:basedOn w:val="DefaultParagraphFont"/>
    <w:link w:val="CommentText"/>
    <w:uiPriority w:val="99"/>
    <w:semiHidden/>
    <w:rsid w:val="006E25C4"/>
    <w:rPr>
      <w:sz w:val="20"/>
      <w:szCs w:val="20"/>
    </w:rPr>
  </w:style>
  <w:style w:type="paragraph" w:styleId="CommentSubject">
    <w:name w:val="annotation subject"/>
    <w:basedOn w:val="CommentText"/>
    <w:next w:val="CommentText"/>
    <w:link w:val="CommentSubjectChar"/>
    <w:uiPriority w:val="99"/>
    <w:semiHidden/>
    <w:unhideWhenUsed/>
    <w:rsid w:val="006E25C4"/>
    <w:rPr>
      <w:b/>
      <w:bCs/>
    </w:rPr>
  </w:style>
  <w:style w:type="character" w:customStyle="1" w:styleId="CommentSubjectChar">
    <w:name w:val="Comment Subject Char"/>
    <w:basedOn w:val="CommentTextChar"/>
    <w:link w:val="CommentSubject"/>
    <w:uiPriority w:val="99"/>
    <w:semiHidden/>
    <w:rsid w:val="006E25C4"/>
    <w:rPr>
      <w:b/>
      <w:bCs/>
      <w:sz w:val="20"/>
      <w:szCs w:val="20"/>
    </w:rPr>
  </w:style>
  <w:style w:type="paragraph" w:styleId="ListParagraph">
    <w:name w:val="List Paragraph"/>
    <w:basedOn w:val="Normal"/>
    <w:uiPriority w:val="34"/>
    <w:qFormat/>
    <w:rsid w:val="00F91175"/>
    <w:pPr>
      <w:ind w:left="720"/>
      <w:contextualSpacing/>
    </w:pPr>
  </w:style>
  <w:style w:type="paragraph" w:styleId="Header">
    <w:name w:val="header"/>
    <w:basedOn w:val="Normal"/>
    <w:link w:val="HeaderChar"/>
    <w:uiPriority w:val="99"/>
    <w:unhideWhenUsed/>
    <w:rsid w:val="0069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97"/>
  </w:style>
  <w:style w:type="paragraph" w:styleId="Footer">
    <w:name w:val="footer"/>
    <w:basedOn w:val="Normal"/>
    <w:link w:val="FooterChar"/>
    <w:uiPriority w:val="99"/>
    <w:unhideWhenUsed/>
    <w:rsid w:val="0069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35197">
      <w:bodyDiv w:val="1"/>
      <w:marLeft w:val="0"/>
      <w:marRight w:val="0"/>
      <w:marTop w:val="0"/>
      <w:marBottom w:val="0"/>
      <w:divBdr>
        <w:top w:val="none" w:sz="0" w:space="0" w:color="auto"/>
        <w:left w:val="none" w:sz="0" w:space="0" w:color="auto"/>
        <w:bottom w:val="none" w:sz="0" w:space="0" w:color="auto"/>
        <w:right w:val="none" w:sz="0" w:space="0" w:color="auto"/>
      </w:divBdr>
      <w:divsChild>
        <w:div w:id="1995597215">
          <w:marLeft w:val="0"/>
          <w:marRight w:val="0"/>
          <w:marTop w:val="0"/>
          <w:marBottom w:val="0"/>
          <w:divBdr>
            <w:top w:val="single" w:sz="36" w:space="0" w:color="075290"/>
            <w:left w:val="none" w:sz="0" w:space="0" w:color="auto"/>
            <w:bottom w:val="none" w:sz="0" w:space="0" w:color="auto"/>
            <w:right w:val="none" w:sz="0" w:space="0" w:color="auto"/>
          </w:divBdr>
          <w:divsChild>
            <w:div w:id="2056856124">
              <w:marLeft w:val="0"/>
              <w:marRight w:val="0"/>
              <w:marTop w:val="0"/>
              <w:marBottom w:val="0"/>
              <w:divBdr>
                <w:top w:val="none" w:sz="0" w:space="0" w:color="auto"/>
                <w:left w:val="none" w:sz="0" w:space="0" w:color="auto"/>
                <w:bottom w:val="none" w:sz="0" w:space="0" w:color="auto"/>
                <w:right w:val="none" w:sz="0" w:space="0" w:color="auto"/>
              </w:divBdr>
              <w:divsChild>
                <w:div w:id="1613509499">
                  <w:marLeft w:val="0"/>
                  <w:marRight w:val="0"/>
                  <w:marTop w:val="150"/>
                  <w:marBottom w:val="0"/>
                  <w:divBdr>
                    <w:top w:val="none" w:sz="0" w:space="0" w:color="auto"/>
                    <w:left w:val="none" w:sz="0" w:space="0" w:color="auto"/>
                    <w:bottom w:val="none" w:sz="0" w:space="0" w:color="auto"/>
                    <w:right w:val="none" w:sz="0" w:space="0" w:color="auto"/>
                  </w:divBdr>
                  <w:divsChild>
                    <w:div w:id="597836210">
                      <w:marLeft w:val="-150"/>
                      <w:marRight w:val="0"/>
                      <w:marTop w:val="0"/>
                      <w:marBottom w:val="0"/>
                      <w:divBdr>
                        <w:top w:val="none" w:sz="0" w:space="0" w:color="auto"/>
                        <w:left w:val="none" w:sz="0" w:space="0" w:color="auto"/>
                        <w:bottom w:val="none" w:sz="0" w:space="0" w:color="auto"/>
                        <w:right w:val="none" w:sz="0" w:space="0" w:color="auto"/>
                      </w:divBdr>
                      <w:divsChild>
                        <w:div w:id="6946927">
                          <w:marLeft w:val="0"/>
                          <w:marRight w:val="0"/>
                          <w:marTop w:val="0"/>
                          <w:marBottom w:val="0"/>
                          <w:divBdr>
                            <w:top w:val="none" w:sz="0" w:space="0" w:color="auto"/>
                            <w:left w:val="none" w:sz="0" w:space="0" w:color="auto"/>
                            <w:bottom w:val="none" w:sz="0" w:space="0" w:color="auto"/>
                            <w:right w:val="none" w:sz="0" w:space="0" w:color="auto"/>
                          </w:divBdr>
                          <w:divsChild>
                            <w:div w:id="616564553">
                              <w:marLeft w:val="0"/>
                              <w:marRight w:val="0"/>
                              <w:marTop w:val="0"/>
                              <w:marBottom w:val="0"/>
                              <w:divBdr>
                                <w:top w:val="none" w:sz="0" w:space="0" w:color="auto"/>
                                <w:left w:val="none" w:sz="0" w:space="0" w:color="auto"/>
                                <w:bottom w:val="none" w:sz="0" w:space="0" w:color="auto"/>
                                <w:right w:val="none" w:sz="0" w:space="0" w:color="auto"/>
                              </w:divBdr>
                              <w:divsChild>
                                <w:div w:id="2027099385">
                                  <w:marLeft w:val="0"/>
                                  <w:marRight w:val="0"/>
                                  <w:marTop w:val="0"/>
                                  <w:marBottom w:val="0"/>
                                  <w:divBdr>
                                    <w:top w:val="none" w:sz="0" w:space="0" w:color="auto"/>
                                    <w:left w:val="none" w:sz="0" w:space="0" w:color="auto"/>
                                    <w:bottom w:val="none" w:sz="0" w:space="0" w:color="auto"/>
                                    <w:right w:val="none" w:sz="0" w:space="0" w:color="auto"/>
                                  </w:divBdr>
                                  <w:divsChild>
                                    <w:div w:id="321734621">
                                      <w:marLeft w:val="-150"/>
                                      <w:marRight w:val="0"/>
                                      <w:marTop w:val="0"/>
                                      <w:marBottom w:val="0"/>
                                      <w:divBdr>
                                        <w:top w:val="none" w:sz="0" w:space="0" w:color="auto"/>
                                        <w:left w:val="none" w:sz="0" w:space="0" w:color="auto"/>
                                        <w:bottom w:val="none" w:sz="0" w:space="0" w:color="auto"/>
                                        <w:right w:val="none" w:sz="0" w:space="0" w:color="auto"/>
                                      </w:divBdr>
                                      <w:divsChild>
                                        <w:div w:id="701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schedules/hcp/imz/adult-conditions.html" TargetMode="External"/><Relationship Id="rId3" Type="http://schemas.openxmlformats.org/officeDocument/2006/relationships/settings" Target="settings.xml"/><Relationship Id="rId7" Type="http://schemas.openxmlformats.org/officeDocument/2006/relationships/hyperlink" Target="https://www.cdc.gov/infectioncontrol/guidelines/isolation/appendix/type-duration-precau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cbi.nlm.nih.gov/pubmed/11706141" TargetMode="External"/><Relationship Id="rId4" Type="http://schemas.openxmlformats.org/officeDocument/2006/relationships/webSettings" Target="webSettings.xml"/><Relationship Id="rId9" Type="http://schemas.openxmlformats.org/officeDocument/2006/relationships/hyperlink" Target="https://www.ncbi.nlm.nih.gov/pubmed/8862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Noele (CDC/OID/NCHHSTP)</dc:creator>
  <cp:keywords/>
  <dc:description/>
  <cp:lastModifiedBy>Nelson, Noele (CDC/DDID/NCHHSTP)</cp:lastModifiedBy>
  <cp:revision>2</cp:revision>
  <cp:lastPrinted>2018-10-23T03:46:00Z</cp:lastPrinted>
  <dcterms:created xsi:type="dcterms:W3CDTF">2018-10-31T10:23:00Z</dcterms:created>
  <dcterms:modified xsi:type="dcterms:W3CDTF">2018-10-31T10:23:00Z</dcterms:modified>
</cp:coreProperties>
</file>