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C5" w:rsidRPr="00247048" w:rsidRDefault="002D27C5" w:rsidP="002D27C5">
      <w:pPr>
        <w:spacing w:after="400"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Differences</w:t>
      </w:r>
      <w:r w:rsidRPr="0024704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 antigenic sites and other functional regions between genotype A and G mumps virus surface proteins</w:t>
      </w:r>
    </w:p>
    <w:p w:rsidR="002D27C5" w:rsidRPr="00F36194" w:rsidRDefault="002D27C5" w:rsidP="002D27C5">
      <w:pPr>
        <w:spacing w:after="400" w:line="480" w:lineRule="auto"/>
        <w:rPr>
          <w:sz w:val="24"/>
          <w:szCs w:val="24"/>
        </w:rPr>
      </w:pPr>
      <w:r w:rsidRPr="00F36194">
        <w:rPr>
          <w:sz w:val="24"/>
          <w:szCs w:val="24"/>
        </w:rPr>
        <w:t>Sigrid Gouma</w:t>
      </w:r>
      <w:r w:rsidRPr="00F36194">
        <w:rPr>
          <w:sz w:val="24"/>
          <w:szCs w:val="24"/>
          <w:vertAlign w:val="superscript"/>
        </w:rPr>
        <w:t>1, 2, 3#</w:t>
      </w:r>
      <w:r w:rsidRPr="00F36194">
        <w:rPr>
          <w:sz w:val="24"/>
          <w:szCs w:val="24"/>
        </w:rPr>
        <w:t>, Tessa Vermeire</w:t>
      </w:r>
      <w:r w:rsidRPr="00F36194">
        <w:rPr>
          <w:sz w:val="24"/>
          <w:szCs w:val="24"/>
          <w:vertAlign w:val="superscript"/>
        </w:rPr>
        <w:t>4, 5, 6#</w:t>
      </w:r>
      <w:r w:rsidRPr="00F36194">
        <w:rPr>
          <w:sz w:val="24"/>
          <w:szCs w:val="24"/>
        </w:rPr>
        <w:t>, Steven Van Gucht</w:t>
      </w:r>
      <w:r w:rsidRPr="00F36194">
        <w:rPr>
          <w:sz w:val="24"/>
          <w:szCs w:val="24"/>
          <w:vertAlign w:val="superscript"/>
        </w:rPr>
        <w:t>4</w:t>
      </w:r>
      <w:r w:rsidRPr="00F36194">
        <w:rPr>
          <w:sz w:val="24"/>
          <w:szCs w:val="24"/>
        </w:rPr>
        <w:t>*, Lennart Martens</w:t>
      </w:r>
      <w:r w:rsidRPr="00F36194">
        <w:rPr>
          <w:sz w:val="24"/>
          <w:szCs w:val="24"/>
          <w:vertAlign w:val="superscript"/>
        </w:rPr>
        <w:t>5, 6</w:t>
      </w:r>
      <w:r>
        <w:rPr>
          <w:sz w:val="24"/>
          <w:szCs w:val="24"/>
        </w:rPr>
        <w:t>, Veronik Huts</w:t>
      </w:r>
      <w:r w:rsidRPr="00F36194">
        <w:rPr>
          <w:sz w:val="24"/>
          <w:szCs w:val="24"/>
        </w:rPr>
        <w:t>e</w:t>
      </w:r>
      <w:r>
        <w:rPr>
          <w:sz w:val="24"/>
          <w:szCs w:val="24"/>
          <w:vertAlign w:val="superscript"/>
        </w:rPr>
        <w:t>4</w:t>
      </w:r>
      <w:r w:rsidRPr="00F36194">
        <w:rPr>
          <w:sz w:val="24"/>
          <w:szCs w:val="24"/>
        </w:rPr>
        <w:t>, Jeroen Cremer</w:t>
      </w:r>
      <w:r>
        <w:rPr>
          <w:sz w:val="24"/>
          <w:szCs w:val="24"/>
          <w:vertAlign w:val="superscript"/>
        </w:rPr>
        <w:t>1</w:t>
      </w:r>
      <w:r w:rsidRPr="00F36194">
        <w:rPr>
          <w:sz w:val="24"/>
          <w:szCs w:val="24"/>
        </w:rPr>
        <w:t>, Paul A. Rota</w:t>
      </w:r>
      <w:r>
        <w:rPr>
          <w:sz w:val="24"/>
          <w:szCs w:val="24"/>
          <w:vertAlign w:val="superscript"/>
        </w:rPr>
        <w:t>7</w:t>
      </w:r>
      <w:r w:rsidRPr="00F36194">
        <w:rPr>
          <w:sz w:val="24"/>
          <w:szCs w:val="24"/>
          <w:vertAlign w:val="superscript"/>
        </w:rPr>
        <w:t>§</w:t>
      </w:r>
      <w:r w:rsidRPr="00F36194">
        <w:rPr>
          <w:sz w:val="24"/>
          <w:szCs w:val="24"/>
        </w:rPr>
        <w:t>, Geert Leroux-Roels</w:t>
      </w:r>
      <w:r>
        <w:rPr>
          <w:sz w:val="24"/>
          <w:szCs w:val="24"/>
          <w:vertAlign w:val="superscript"/>
        </w:rPr>
        <w:t>8</w:t>
      </w:r>
      <w:r w:rsidRPr="00F36194">
        <w:rPr>
          <w:sz w:val="24"/>
          <w:szCs w:val="24"/>
        </w:rPr>
        <w:t>,</w:t>
      </w:r>
      <w:r w:rsidRPr="00F36194">
        <w:rPr>
          <w:sz w:val="24"/>
          <w:szCs w:val="24"/>
          <w:vertAlign w:val="subscript"/>
        </w:rPr>
        <w:t xml:space="preserve"> </w:t>
      </w:r>
      <w:r w:rsidRPr="00F36194">
        <w:rPr>
          <w:sz w:val="24"/>
          <w:szCs w:val="24"/>
        </w:rPr>
        <w:t>Marion Koopmans</w:t>
      </w:r>
      <w:r>
        <w:rPr>
          <w:sz w:val="24"/>
          <w:szCs w:val="24"/>
          <w:vertAlign w:val="superscript"/>
        </w:rPr>
        <w:t>1,2</w:t>
      </w:r>
      <w:r w:rsidRPr="00F36194">
        <w:rPr>
          <w:sz w:val="24"/>
          <w:szCs w:val="24"/>
        </w:rPr>
        <w:t>, Rob van Binnendijk</w:t>
      </w:r>
      <w:r>
        <w:rPr>
          <w:sz w:val="24"/>
          <w:szCs w:val="24"/>
          <w:vertAlign w:val="superscript"/>
        </w:rPr>
        <w:t>1</w:t>
      </w:r>
      <w:r w:rsidRPr="00F36194">
        <w:rPr>
          <w:sz w:val="24"/>
          <w:szCs w:val="24"/>
        </w:rPr>
        <w:t>, Elien Vandermarliere</w:t>
      </w:r>
      <w:r>
        <w:rPr>
          <w:sz w:val="24"/>
          <w:szCs w:val="24"/>
          <w:vertAlign w:val="superscript"/>
        </w:rPr>
        <w:t>5,6</w:t>
      </w:r>
    </w:p>
    <w:p w:rsidR="002D27C5" w:rsidRPr="00CA1511" w:rsidRDefault="002D27C5" w:rsidP="002D27C5">
      <w:pPr>
        <w:spacing w:line="480" w:lineRule="auto"/>
        <w:rPr>
          <w:sz w:val="18"/>
          <w:szCs w:val="24"/>
          <w:lang w:val="en-US"/>
        </w:rPr>
      </w:pPr>
      <w:r>
        <w:rPr>
          <w:sz w:val="18"/>
          <w:szCs w:val="24"/>
          <w:vertAlign w:val="superscript"/>
          <w:lang w:val="en-US"/>
        </w:rPr>
        <w:t>1</w:t>
      </w:r>
      <w:r w:rsidRPr="00CA1511">
        <w:rPr>
          <w:sz w:val="18"/>
          <w:szCs w:val="24"/>
          <w:lang w:val="en-US"/>
        </w:rPr>
        <w:t xml:space="preserve">Centre for Infectious Disease Control, </w:t>
      </w:r>
      <w:proofErr w:type="spellStart"/>
      <w:r w:rsidRPr="00CA1511">
        <w:rPr>
          <w:sz w:val="18"/>
          <w:szCs w:val="24"/>
          <w:lang w:val="en-US"/>
        </w:rPr>
        <w:t>RIVM</w:t>
      </w:r>
      <w:proofErr w:type="spellEnd"/>
      <w:r w:rsidRPr="00CA1511">
        <w:rPr>
          <w:sz w:val="18"/>
          <w:szCs w:val="24"/>
          <w:lang w:val="en-US"/>
        </w:rPr>
        <w:t xml:space="preserve">, </w:t>
      </w:r>
      <w:proofErr w:type="spellStart"/>
      <w:r w:rsidRPr="00CA1511">
        <w:rPr>
          <w:sz w:val="18"/>
          <w:szCs w:val="24"/>
          <w:lang w:val="en-US"/>
        </w:rPr>
        <w:t>Bilthoven</w:t>
      </w:r>
      <w:proofErr w:type="spellEnd"/>
      <w:r w:rsidRPr="00CA1511">
        <w:rPr>
          <w:sz w:val="18"/>
          <w:szCs w:val="24"/>
          <w:lang w:val="en-US"/>
        </w:rPr>
        <w:t xml:space="preserve">, the Netherlands; </w:t>
      </w:r>
      <w:r>
        <w:rPr>
          <w:sz w:val="18"/>
          <w:szCs w:val="24"/>
          <w:vertAlign w:val="superscript"/>
          <w:lang w:val="en-US"/>
        </w:rPr>
        <w:t>2</w:t>
      </w:r>
      <w:r w:rsidRPr="00CA1511">
        <w:rPr>
          <w:sz w:val="18"/>
          <w:szCs w:val="24"/>
          <w:lang w:val="en-US"/>
        </w:rPr>
        <w:t xml:space="preserve">Department of </w:t>
      </w:r>
      <w:proofErr w:type="spellStart"/>
      <w:r w:rsidRPr="00CA1511">
        <w:rPr>
          <w:sz w:val="18"/>
          <w:szCs w:val="24"/>
          <w:lang w:val="en-US"/>
        </w:rPr>
        <w:t>Viroscience</w:t>
      </w:r>
      <w:proofErr w:type="spellEnd"/>
      <w:r w:rsidRPr="00CA1511">
        <w:rPr>
          <w:sz w:val="18"/>
          <w:szCs w:val="24"/>
          <w:lang w:val="en-US"/>
        </w:rPr>
        <w:t xml:space="preserve">, Erasmus MC, Rotterdam, the Netherlands; </w:t>
      </w:r>
      <w:r>
        <w:rPr>
          <w:sz w:val="18"/>
          <w:szCs w:val="24"/>
          <w:vertAlign w:val="superscript"/>
          <w:lang w:val="en-GB"/>
        </w:rPr>
        <w:t>3</w:t>
      </w:r>
      <w:r w:rsidRPr="00CA1511">
        <w:rPr>
          <w:sz w:val="18"/>
          <w:szCs w:val="24"/>
          <w:lang w:val="en-US"/>
        </w:rPr>
        <w:t xml:space="preserve">Microbiology Department, Perelman School of Medicine, University of Pennsylvania, Philadelphia, USA, </w:t>
      </w:r>
      <w:r>
        <w:rPr>
          <w:sz w:val="18"/>
          <w:szCs w:val="24"/>
          <w:vertAlign w:val="superscript"/>
          <w:lang w:val="en-US"/>
        </w:rPr>
        <w:t>4</w:t>
      </w:r>
      <w:r w:rsidRPr="00CA1511">
        <w:rPr>
          <w:sz w:val="18"/>
          <w:szCs w:val="24"/>
          <w:lang w:val="en-GB"/>
        </w:rPr>
        <w:t>National Reference Centre for Measles, Mumps and Rubella, Scientific Institute of Public Health (</w:t>
      </w:r>
      <w:proofErr w:type="spellStart"/>
      <w:r>
        <w:rPr>
          <w:sz w:val="18"/>
          <w:szCs w:val="24"/>
          <w:lang w:val="en-GB"/>
        </w:rPr>
        <w:t>Sciensano</w:t>
      </w:r>
      <w:proofErr w:type="spellEnd"/>
      <w:r w:rsidRPr="00CA1511">
        <w:rPr>
          <w:sz w:val="18"/>
          <w:szCs w:val="24"/>
          <w:lang w:val="en-GB"/>
        </w:rPr>
        <w:t xml:space="preserve">), Brussels, Belgium; </w:t>
      </w:r>
      <w:r>
        <w:rPr>
          <w:sz w:val="18"/>
          <w:szCs w:val="24"/>
          <w:vertAlign w:val="superscript"/>
          <w:lang w:val="en-US"/>
        </w:rPr>
        <w:t>5</w:t>
      </w:r>
      <w:r w:rsidRPr="00CA1511">
        <w:rPr>
          <w:sz w:val="18"/>
          <w:szCs w:val="24"/>
          <w:lang w:val="en-US"/>
        </w:rPr>
        <w:t xml:space="preserve">Department of Biochemistry, Ghent University, Ghent, Belgium; </w:t>
      </w:r>
      <w:r>
        <w:rPr>
          <w:sz w:val="18"/>
          <w:szCs w:val="24"/>
          <w:vertAlign w:val="superscript"/>
          <w:lang w:val="en-US"/>
        </w:rPr>
        <w:t>6</w:t>
      </w:r>
      <w:r w:rsidRPr="00CA1511">
        <w:rPr>
          <w:sz w:val="18"/>
          <w:szCs w:val="24"/>
          <w:lang w:val="en-US"/>
        </w:rPr>
        <w:t xml:space="preserve">VIB-UGent Center for Medical Biotechnology, </w:t>
      </w:r>
      <w:proofErr w:type="spellStart"/>
      <w:r w:rsidRPr="00CA1511">
        <w:rPr>
          <w:sz w:val="18"/>
          <w:szCs w:val="24"/>
          <w:lang w:val="en-US"/>
        </w:rPr>
        <w:t>VIB</w:t>
      </w:r>
      <w:proofErr w:type="spellEnd"/>
      <w:r w:rsidRPr="00CA1511">
        <w:rPr>
          <w:sz w:val="18"/>
          <w:szCs w:val="24"/>
          <w:lang w:val="en-US"/>
        </w:rPr>
        <w:t xml:space="preserve">, Ghent, Belgium; </w:t>
      </w:r>
      <w:r>
        <w:rPr>
          <w:sz w:val="18"/>
          <w:szCs w:val="24"/>
          <w:vertAlign w:val="superscript"/>
          <w:lang w:val="en-US"/>
        </w:rPr>
        <w:t>7</w:t>
      </w:r>
      <w:r w:rsidRPr="00CA1511">
        <w:rPr>
          <w:sz w:val="18"/>
          <w:szCs w:val="24"/>
          <w:lang w:val="en-US"/>
        </w:rPr>
        <w:t xml:space="preserve">National Center for Immunization and Respiratory Diseases, Centers for Disease Control and Prevention (CDC), Atlanta, USA; </w:t>
      </w:r>
      <w:r>
        <w:rPr>
          <w:sz w:val="18"/>
          <w:szCs w:val="24"/>
          <w:vertAlign w:val="superscript"/>
          <w:lang w:val="en-US"/>
        </w:rPr>
        <w:t>8</w:t>
      </w:r>
      <w:r w:rsidRPr="00CA1511">
        <w:rPr>
          <w:sz w:val="18"/>
          <w:szCs w:val="24"/>
          <w:lang w:val="en-US"/>
        </w:rPr>
        <w:t>Center for Vaccinology, Ghent University, Ghent, Belgium</w:t>
      </w:r>
      <w:bookmarkStart w:id="0" w:name="_GoBack"/>
      <w:bookmarkEnd w:id="0"/>
    </w:p>
    <w:p w:rsidR="002D27C5" w:rsidRDefault="002D27C5" w:rsidP="002D27C5">
      <w:pPr>
        <w:spacing w:line="480" w:lineRule="auto"/>
        <w:rPr>
          <w:sz w:val="24"/>
          <w:szCs w:val="24"/>
          <w:lang w:val="en-US"/>
        </w:rPr>
      </w:pPr>
    </w:p>
    <w:p w:rsidR="002D27C5" w:rsidRPr="00F5647A" w:rsidRDefault="002D27C5" w:rsidP="002D27C5">
      <w:pPr>
        <w:spacing w:after="120" w:line="480" w:lineRule="auto"/>
        <w:rPr>
          <w:szCs w:val="24"/>
          <w:lang w:val="en-GB"/>
        </w:rPr>
      </w:pPr>
      <w:r>
        <w:rPr>
          <w:szCs w:val="24"/>
          <w:lang w:val="en-US"/>
        </w:rPr>
        <w:t xml:space="preserve"># </w:t>
      </w:r>
      <w:r w:rsidRPr="00F5647A">
        <w:rPr>
          <w:szCs w:val="24"/>
          <w:lang w:val="en-US"/>
        </w:rPr>
        <w:t>these authors contributed equally to this work</w:t>
      </w:r>
    </w:p>
    <w:p w:rsidR="002D27C5" w:rsidRPr="007C4301" w:rsidRDefault="002D27C5" w:rsidP="002D27C5">
      <w:pPr>
        <w:spacing w:after="120" w:line="480" w:lineRule="auto"/>
        <w:rPr>
          <w:szCs w:val="24"/>
          <w:lang w:val="en-US"/>
        </w:rPr>
      </w:pPr>
      <w:r w:rsidRPr="007C4301">
        <w:rPr>
          <w:szCs w:val="24"/>
          <w:lang w:val="en-US"/>
        </w:rPr>
        <w:t>*Corresponding author</w:t>
      </w:r>
      <w:r>
        <w:rPr>
          <w:szCs w:val="24"/>
          <w:lang w:val="en-US"/>
        </w:rPr>
        <w:t>; steven.vangucht@sciensano.be</w:t>
      </w:r>
    </w:p>
    <w:p w:rsidR="002D27C5" w:rsidRPr="00F5647A" w:rsidRDefault="002D27C5" w:rsidP="002D27C5">
      <w:pPr>
        <w:spacing w:after="400" w:line="480" w:lineRule="auto"/>
        <w:rPr>
          <w:szCs w:val="24"/>
          <w:lang w:val="en-GB"/>
        </w:rPr>
      </w:pPr>
      <w:r w:rsidRPr="00F5647A">
        <w:rPr>
          <w:szCs w:val="24"/>
          <w:vertAlign w:val="superscript"/>
          <w:lang w:val="en-GB"/>
        </w:rPr>
        <w:t>§</w:t>
      </w:r>
      <w:r w:rsidRPr="00F5647A">
        <w:rPr>
          <w:szCs w:val="24"/>
          <w:lang w:val="en-GB"/>
        </w:rPr>
        <w:t xml:space="preserve">The findings and conclusions in this report are those of the authors and do not necessarily represent the official position of the </w:t>
      </w:r>
      <w:proofErr w:type="spellStart"/>
      <w:r w:rsidRPr="00F5647A">
        <w:rPr>
          <w:szCs w:val="24"/>
          <w:lang w:val="en-GB"/>
        </w:rPr>
        <w:t>Centers</w:t>
      </w:r>
      <w:proofErr w:type="spellEnd"/>
      <w:r w:rsidRPr="00F5647A">
        <w:rPr>
          <w:szCs w:val="24"/>
          <w:lang w:val="en-GB"/>
        </w:rPr>
        <w:t xml:space="preserve"> for Disease Control and Prevention.</w:t>
      </w:r>
    </w:p>
    <w:p w:rsidR="005F29DB" w:rsidRDefault="005F29DB">
      <w:pPr>
        <w:spacing w:after="200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br w:type="page"/>
      </w:r>
    </w:p>
    <w:p w:rsidR="00176616" w:rsidRPr="00287001" w:rsidRDefault="00176616" w:rsidP="00176616">
      <w:pPr>
        <w:spacing w:after="140" w:line="480" w:lineRule="auto"/>
        <w:jc w:val="both"/>
        <w:rPr>
          <w:sz w:val="24"/>
          <w:szCs w:val="24"/>
          <w:lang w:val="en-US"/>
        </w:rPr>
      </w:pPr>
      <w:r w:rsidRPr="00287001">
        <w:rPr>
          <w:b/>
          <w:i/>
          <w:sz w:val="24"/>
          <w:szCs w:val="24"/>
          <w:lang w:val="en-US"/>
        </w:rPr>
        <w:lastRenderedPageBreak/>
        <w:t>Supplementary table 1.</w:t>
      </w:r>
      <w:r w:rsidRPr="00287001">
        <w:rPr>
          <w:i/>
          <w:sz w:val="24"/>
          <w:szCs w:val="24"/>
          <w:lang w:val="en-US"/>
        </w:rPr>
        <w:t xml:space="preserve"> Overview of the </w:t>
      </w:r>
      <w:proofErr w:type="spellStart"/>
      <w:r w:rsidRPr="00287001">
        <w:rPr>
          <w:i/>
          <w:sz w:val="24"/>
          <w:szCs w:val="24"/>
          <w:lang w:val="en-US"/>
        </w:rPr>
        <w:t>GenBank</w:t>
      </w:r>
      <w:proofErr w:type="spellEnd"/>
      <w:r w:rsidRPr="00287001">
        <w:rPr>
          <w:i/>
          <w:sz w:val="24"/>
          <w:szCs w:val="24"/>
          <w:lang w:val="en-US"/>
        </w:rPr>
        <w:t xml:space="preserve"> sequences used for phylogenetic analysis and for analysis of the F and </w:t>
      </w:r>
      <w:proofErr w:type="spellStart"/>
      <w:r w:rsidRPr="00287001">
        <w:rPr>
          <w:i/>
          <w:sz w:val="24"/>
          <w:szCs w:val="24"/>
          <w:lang w:val="en-US"/>
        </w:rPr>
        <w:t>HN</w:t>
      </w:r>
      <w:proofErr w:type="spellEnd"/>
      <w:r w:rsidRPr="00287001">
        <w:rPr>
          <w:i/>
          <w:sz w:val="24"/>
          <w:szCs w:val="24"/>
          <w:lang w:val="en-US"/>
        </w:rPr>
        <w:t xml:space="preserve"> proteins.</w:t>
      </w:r>
    </w:p>
    <w:tbl>
      <w:tblPr>
        <w:tblW w:w="9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2820"/>
        <w:gridCol w:w="2740"/>
        <w:gridCol w:w="2320"/>
      </w:tblGrid>
      <w:tr w:rsidR="00176616" w:rsidTr="00C518FA">
        <w:trPr>
          <w:trHeight w:val="420"/>
        </w:trPr>
        <w:tc>
          <w:tcPr>
            <w:tcW w:w="11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Pr="00BD7187" w:rsidRDefault="00176616" w:rsidP="00C518FA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788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after="140" w:line="240" w:lineRule="auto"/>
              <w:jc w:val="center"/>
            </w:pPr>
            <w:bookmarkStart w:id="1" w:name="h.5nfbtgddlk2o" w:colFirst="0" w:colLast="0"/>
            <w:bookmarkEnd w:id="1"/>
            <w:r>
              <w:rPr>
                <w:b/>
                <w:sz w:val="16"/>
                <w:szCs w:val="16"/>
              </w:rPr>
              <w:t>GenBank accession number</w:t>
            </w: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Genotype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SH gene</w:t>
            </w:r>
          </w:p>
        </w:tc>
        <w:tc>
          <w:tcPr>
            <w:tcW w:w="274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F gene</w:t>
            </w:r>
          </w:p>
        </w:tc>
        <w:tc>
          <w:tcPr>
            <w:tcW w:w="232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HN gene</w:t>
            </w: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 xml:space="preserve">AF201473, AF338106*, AF345290, FJ211586, FN431985, GU980052*, HQ416906, HQ416907 </w:t>
            </w:r>
          </w:p>
        </w:tc>
        <w:tc>
          <w:tcPr>
            <w:tcW w:w="2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AF201473, AF338106*, AF345290, AJ010821, AJ133693, FJ211586, FN431985, HQ416906, HQ416907</w:t>
            </w:r>
          </w:p>
        </w:tc>
        <w:tc>
          <w:tcPr>
            <w:tcW w:w="2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 xml:space="preserve">AF201473, AF338106*, AF345290, AY584603, AY584604, FJ211586, FN431985, HQ416906, HQ416907, X93178, X93179, </w:t>
            </w: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AB000388*, AB823535, AB827968, JQ945269*</w:t>
            </w:r>
          </w:p>
        </w:tc>
        <w:tc>
          <w:tcPr>
            <w:tcW w:w="2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AB823535, AB827968</w:t>
            </w:r>
          </w:p>
        </w:tc>
        <w:tc>
          <w:tcPr>
            <w:tcW w:w="2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AB823535, AB827968, JQ946041*</w:t>
            </w: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Pr="004727E1" w:rsidRDefault="00176616" w:rsidP="00C518FA">
            <w:pPr>
              <w:widowControl w:val="0"/>
              <w:spacing w:line="240" w:lineRule="auto"/>
              <w:rPr>
                <w:lang w:val="fr-FR"/>
              </w:rPr>
            </w:pPr>
            <w:r w:rsidRPr="004727E1">
              <w:rPr>
                <w:sz w:val="16"/>
                <w:szCs w:val="16"/>
                <w:lang w:val="fr-FR"/>
              </w:rPr>
              <w:t>AY669145, EU370206*, JQ034465, JQ034466, JQ945268*</w:t>
            </w:r>
          </w:p>
        </w:tc>
        <w:tc>
          <w:tcPr>
            <w:tcW w:w="2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AY669145</w:t>
            </w:r>
          </w:p>
        </w:tc>
        <w:tc>
          <w:tcPr>
            <w:tcW w:w="2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AY669145, JQ034465, JQ034466, JQ999999*</w:t>
            </w: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JQ034452*, JQ945275*</w:t>
            </w:r>
          </w:p>
        </w:tc>
        <w:tc>
          <w:tcPr>
            <w:tcW w:w="2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</w:p>
        </w:tc>
        <w:tc>
          <w:tcPr>
            <w:tcW w:w="2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JQ034464*, JQ946039*</w:t>
            </w: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Pr="004727E1" w:rsidRDefault="00176616" w:rsidP="00C518FA">
            <w:pPr>
              <w:widowControl w:val="0"/>
              <w:spacing w:line="240" w:lineRule="auto"/>
              <w:rPr>
                <w:lang w:val="fr-FR"/>
              </w:rPr>
            </w:pPr>
            <w:r w:rsidRPr="004727E1">
              <w:rPr>
                <w:sz w:val="16"/>
                <w:szCs w:val="16"/>
                <w:lang w:val="fr-FR"/>
              </w:rPr>
              <w:t>DQ649478, EU780221*, EU884413,  FJ556896, HQ693823, HQ693825, JQ034459, JQ034460, JQ034461, JQ945272*</w:t>
            </w:r>
          </w:p>
        </w:tc>
        <w:tc>
          <w:tcPr>
            <w:tcW w:w="2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EU884413, FJ556896</w:t>
            </w:r>
          </w:p>
        </w:tc>
        <w:tc>
          <w:tcPr>
            <w:tcW w:w="2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DQ649478, EU884413, FJ556896, HQ693823, HQ693824, HQ693825, HQ693826, JQ034459, JQ034460, JQ034461, JQ034462, JQ034463*, JQ946034*</w:t>
            </w: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AF280799*, EU370207, EU597478*, JN012242, JN635498, JX287385, JX287387, JX287389, JX287390, JX287391, JX390987, JX390988, JX390989, JX390990, JX390991, JX390992, JX390993, JX390994, JX390995, JX878447, KF481689</w:t>
            </w:r>
          </w:p>
        </w:tc>
        <w:tc>
          <w:tcPr>
            <w:tcW w:w="2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JN012242, JN635498, JX287385, JX287387, JX287389, JX287390, JX287391, KF481689</w:t>
            </w:r>
          </w:p>
        </w:tc>
        <w:tc>
          <w:tcPr>
            <w:tcW w:w="2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EU370207, JN012242, JN635498, JQ946046*, JX287385, JX287387, JX287389, JX287390, JX287391, JX390987, JX390988, JX390989, JX390990, JX390991, JX390992, JX390993, JX390994, JX390995, JX878447, KC852187, KC852188</w:t>
            </w:r>
            <w:r w:rsidR="006F14D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KF481689</w:t>
            </w: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AB600843*, AF467767, AY681495, JN687469, JQ388690, JQ388691, JQ945273*, JX287388</w:t>
            </w:r>
          </w:p>
        </w:tc>
        <w:tc>
          <w:tcPr>
            <w:tcW w:w="2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AF467767, AY681495, JQ388690, JQ388691, JX287388</w:t>
            </w:r>
          </w:p>
        </w:tc>
        <w:tc>
          <w:tcPr>
            <w:tcW w:w="2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AF467767, AY681495, JN687469, JQ388690, JQ388691, JQ946035*, JX287388</w:t>
            </w: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JQ945274*, AY309060*</w:t>
            </w:r>
          </w:p>
        </w:tc>
        <w:tc>
          <w:tcPr>
            <w:tcW w:w="2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</w:p>
        </w:tc>
        <w:tc>
          <w:tcPr>
            <w:tcW w:w="2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JQ946037*</w:t>
            </w: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JQ945271*, AB105475*</w:t>
            </w:r>
          </w:p>
        </w:tc>
        <w:tc>
          <w:tcPr>
            <w:tcW w:w="2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</w:p>
        </w:tc>
        <w:tc>
          <w:tcPr>
            <w:tcW w:w="2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JQ946033*, JQ946044*</w:t>
            </w: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EU082458, JQ945276*, JQ945270*, JX287386, KC921200, KC921201, KC921202, KC921203, KF212191</w:t>
            </w:r>
          </w:p>
        </w:tc>
        <w:tc>
          <w:tcPr>
            <w:tcW w:w="2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JX287386</w:t>
            </w:r>
          </w:p>
        </w:tc>
        <w:tc>
          <w:tcPr>
            <w:tcW w:w="2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JQ946040*, JQ946045*, JX287386, KC921200, KC921201, KX921202, KX921203, KF212191, JF268685</w:t>
            </w: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AB105483*, AB105480*</w:t>
            </w:r>
          </w:p>
        </w:tc>
        <w:tc>
          <w:tcPr>
            <w:tcW w:w="2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</w:p>
        </w:tc>
        <w:tc>
          <w:tcPr>
            <w:tcW w:w="2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JQ946036*, JQ946043*</w:t>
            </w: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AY508995*, AY685920*</w:t>
            </w:r>
          </w:p>
        </w:tc>
        <w:tc>
          <w:tcPr>
            <w:tcW w:w="2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</w:p>
        </w:tc>
        <w:tc>
          <w:tcPr>
            <w:tcW w:w="2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</w:p>
        </w:tc>
      </w:tr>
      <w:tr w:rsidR="00176616" w:rsidTr="00C518FA">
        <w:tc>
          <w:tcPr>
            <w:tcW w:w="11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Unclassified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AF142774*, AB003415*, AY380077*</w:t>
            </w:r>
          </w:p>
        </w:tc>
        <w:tc>
          <w:tcPr>
            <w:tcW w:w="2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</w:p>
        </w:tc>
        <w:tc>
          <w:tcPr>
            <w:tcW w:w="2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616" w:rsidRDefault="00176616" w:rsidP="00C518FA">
            <w:pPr>
              <w:widowControl w:val="0"/>
              <w:spacing w:line="240" w:lineRule="auto"/>
            </w:pPr>
          </w:p>
        </w:tc>
      </w:tr>
    </w:tbl>
    <w:p w:rsidR="00176616" w:rsidRDefault="00176616" w:rsidP="00176616">
      <w:r>
        <w:rPr>
          <w:i/>
          <w:sz w:val="16"/>
          <w:szCs w:val="16"/>
        </w:rPr>
        <w:t>* WHO reference strain</w:t>
      </w:r>
    </w:p>
    <w:p w:rsidR="00B419F6" w:rsidRDefault="00B419F6"/>
    <w:sectPr w:rsidR="00B419F6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16"/>
    <w:rsid w:val="00176616"/>
    <w:rsid w:val="002D27C5"/>
    <w:rsid w:val="005F29DB"/>
    <w:rsid w:val="006F14D1"/>
    <w:rsid w:val="00B4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C91A6-FA0A-43D2-92D1-0DC5150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6616"/>
    <w:pPr>
      <w:spacing w:after="0"/>
    </w:pPr>
    <w:rPr>
      <w:rFonts w:ascii="Arial" w:eastAsia="Arial" w:hAnsi="Arial" w:cs="Arial"/>
      <w:color w:val="000000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478D65E0.dotm</Template>
  <TotalTime>5</TotalTime>
  <Pages>2</Pages>
  <Words>508</Words>
  <Characters>2897</Characters>
  <Application>Microsoft Office Word</Application>
  <DocSecurity>0</DocSecurity>
  <Lines>24</Lines>
  <Paragraphs>6</Paragraphs>
  <ScaleCrop>false</ScaleCrop>
  <Company>WIV-ISP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Vermeire, Tessa</dc:creator>
  <cp:lastModifiedBy>Vermeire, Tessa</cp:lastModifiedBy>
  <cp:revision>4</cp:revision>
  <dcterms:created xsi:type="dcterms:W3CDTF">2016-08-29T12:05:00Z</dcterms:created>
  <dcterms:modified xsi:type="dcterms:W3CDTF">2018-08-14T11:34:00Z</dcterms:modified>
</cp:coreProperties>
</file>