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30207" w14:textId="66A01750" w:rsidR="007756D8" w:rsidRDefault="00FD3BAB" w:rsidP="00FD3BAB">
      <w:pPr>
        <w:spacing w:after="0"/>
      </w:pPr>
      <w:bookmarkStart w:id="0" w:name="_GoBack"/>
      <w:bookmarkEnd w:id="0"/>
      <w:r>
        <w:t>Online Appendix</w:t>
      </w:r>
    </w:p>
    <w:p w14:paraId="5EDD7119" w14:textId="6717AA4B" w:rsidR="009422F6" w:rsidRDefault="009422F6" w:rsidP="00FD3BAB">
      <w:pPr>
        <w:spacing w:after="0"/>
      </w:pPr>
      <w:r>
        <w:t>Appendix</w:t>
      </w:r>
      <w:r w:rsidR="00B801C9">
        <w:t xml:space="preserve"> 1</w:t>
      </w:r>
      <w:r>
        <w:t xml:space="preserve"> economic search </w:t>
      </w:r>
      <w:r w:rsidR="00916281">
        <w:t>terms in search strategy</w:t>
      </w:r>
    </w:p>
    <w:p w14:paraId="32B54AFF" w14:textId="08FDCA17" w:rsidR="009422F6" w:rsidRPr="00003763" w:rsidRDefault="009422F6" w:rsidP="00FD3BAB">
      <w:pPr>
        <w:spacing w:after="0"/>
      </w:pPr>
      <w:r w:rsidRPr="00003763">
        <w:rPr>
          <w:szCs w:val="24"/>
        </w:rPr>
        <w:t>economic, cost, benefit, cost-benefit, benefit-cost, utility, cost-utility, expenditure, cost effectiveness, cost of illness, cost saving, cost averted, $, dollar, WTP, willingness to pay, net cost, increment, opportunity cost, travel cost, treatment cost, lost productivity, fixed cost, operating cost, variable cost, sensitivity analysis, breakeven, discount rate, value, QALY, DALY, capital cost, life time cost, medical cost, time cost, treatment saving, dental fee, money</w:t>
      </w:r>
    </w:p>
    <w:p w14:paraId="659DAD95" w14:textId="77777777" w:rsidR="00ED7C81" w:rsidRDefault="00E0233F" w:rsidP="00E0233F">
      <w:pPr>
        <w:tabs>
          <w:tab w:val="right" w:pos="10080"/>
        </w:tabs>
        <w:spacing w:after="0"/>
        <w:rPr>
          <w:rFonts w:eastAsiaTheme="minorHAnsi"/>
          <w:szCs w:val="24"/>
        </w:rPr>
      </w:pPr>
      <w:r w:rsidRPr="00E0233F">
        <w:rPr>
          <w:rFonts w:eastAsiaTheme="minorHAnsi"/>
          <w:szCs w:val="24"/>
        </w:rPr>
        <w:t>Appendix Figure 1</w:t>
      </w:r>
      <w:r w:rsidR="00ED7C81">
        <w:rPr>
          <w:rFonts w:eastAsiaTheme="minorHAnsi"/>
          <w:szCs w:val="24"/>
        </w:rPr>
        <w:t xml:space="preserve"> </w:t>
      </w:r>
    </w:p>
    <w:p w14:paraId="7351AC38" w14:textId="55091D2A" w:rsidR="00E0233F" w:rsidRPr="000A73A1" w:rsidRDefault="00ED7C81" w:rsidP="00ED7C81">
      <w:pPr>
        <w:tabs>
          <w:tab w:val="right" w:pos="10080"/>
        </w:tabs>
        <w:spacing w:after="0"/>
        <w:jc w:val="center"/>
        <w:rPr>
          <w:rFonts w:eastAsiaTheme="minorHAnsi"/>
          <w:szCs w:val="24"/>
          <w:vertAlign w:val="superscript"/>
        </w:rPr>
      </w:pPr>
      <w:r>
        <w:rPr>
          <w:rFonts w:eastAsiaTheme="minorHAnsi"/>
          <w:szCs w:val="24"/>
        </w:rPr>
        <w:t>Per Capita Annual Cost by Community Population Size (3% to 4% discount rate)</w:t>
      </w:r>
      <w:r w:rsidR="000A73A1">
        <w:rPr>
          <w:rFonts w:eastAsiaTheme="minorHAnsi"/>
          <w:szCs w:val="24"/>
          <w:vertAlign w:val="superscript"/>
        </w:rPr>
        <w:t>*</w:t>
      </w:r>
    </w:p>
    <w:p w14:paraId="1F48CCD8" w14:textId="57BAF6D2" w:rsidR="00E0233F" w:rsidRDefault="00FA1D89" w:rsidP="00E0233F">
      <w:pPr>
        <w:spacing w:after="0"/>
        <w:rPr>
          <w:rFonts w:eastAsiaTheme="minorHAnsi"/>
          <w:szCs w:val="24"/>
        </w:rPr>
      </w:pPr>
      <w:r>
        <w:rPr>
          <w:noProof/>
          <w:lang w:eastAsia="zh-CN"/>
        </w:rPr>
        <w:drawing>
          <wp:inline distT="0" distB="0" distL="0" distR="0" wp14:anchorId="3A9BBCA4" wp14:editId="0A8A821D">
            <wp:extent cx="5775960" cy="3535680"/>
            <wp:effectExtent l="0" t="0" r="1524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DF16D8D" w14:textId="4D1823C9" w:rsidR="00E0233F" w:rsidRDefault="000A73A1" w:rsidP="004545F0">
      <w:pPr>
        <w:spacing w:after="0" w:line="276" w:lineRule="auto"/>
        <w:rPr>
          <w:rFonts w:eastAsiaTheme="minorHAnsi"/>
          <w:szCs w:val="24"/>
        </w:rPr>
      </w:pPr>
      <w:r>
        <w:rPr>
          <w:rFonts w:eastAsiaTheme="minorHAnsi"/>
          <w:szCs w:val="24"/>
          <w:vertAlign w:val="superscript"/>
        </w:rPr>
        <w:t>*</w:t>
      </w:r>
      <w:r w:rsidR="00BD5CCB">
        <w:rPr>
          <w:rFonts w:eastAsiaTheme="minorHAnsi"/>
          <w:szCs w:val="24"/>
          <w:vertAlign w:val="superscript"/>
        </w:rPr>
        <w:t xml:space="preserve"> </w:t>
      </w:r>
      <w:r>
        <w:rPr>
          <w:rFonts w:eastAsiaTheme="minorHAnsi"/>
          <w:szCs w:val="24"/>
        </w:rPr>
        <w:t>Tchouaket et al. was not included in the graph since no community size information was reported in the paper.</w:t>
      </w:r>
      <w:r w:rsidR="00BD5CCB">
        <w:rPr>
          <w:rFonts w:eastAsiaTheme="minorHAnsi"/>
          <w:szCs w:val="24"/>
        </w:rPr>
        <w:t xml:space="preserve"> The community size in Cobiac and Vos was reported as &lt;= 1000 and was in the category of 1000-4999 in the graph.</w:t>
      </w:r>
    </w:p>
    <w:p w14:paraId="22049902" w14:textId="77777777" w:rsidR="00E0233F" w:rsidRDefault="00E0233F">
      <w:pPr>
        <w:spacing w:after="0"/>
        <w:rPr>
          <w:rFonts w:eastAsiaTheme="minorHAnsi"/>
          <w:szCs w:val="24"/>
        </w:rPr>
      </w:pPr>
      <w:r>
        <w:rPr>
          <w:rFonts w:eastAsiaTheme="minorHAnsi"/>
          <w:szCs w:val="24"/>
        </w:rPr>
        <w:br w:type="page"/>
      </w:r>
    </w:p>
    <w:p w14:paraId="256EB2F3" w14:textId="690DA0F9" w:rsidR="00E0233F" w:rsidRDefault="00E0233F" w:rsidP="00E0233F">
      <w:pPr>
        <w:spacing w:after="0"/>
        <w:rPr>
          <w:rFonts w:eastAsiaTheme="minorHAnsi"/>
          <w:szCs w:val="24"/>
        </w:rPr>
      </w:pPr>
      <w:r w:rsidRPr="00E0233F">
        <w:rPr>
          <w:rFonts w:eastAsiaTheme="minorHAnsi"/>
          <w:szCs w:val="24"/>
        </w:rPr>
        <w:lastRenderedPageBreak/>
        <w:t>Appendix Figure 2</w:t>
      </w:r>
    </w:p>
    <w:p w14:paraId="7847D3DC" w14:textId="66B1D684" w:rsidR="00B92BE5" w:rsidRPr="00E0233F" w:rsidRDefault="00B92BE5" w:rsidP="00B92BE5">
      <w:pPr>
        <w:tabs>
          <w:tab w:val="right" w:pos="10080"/>
        </w:tabs>
        <w:spacing w:after="0"/>
        <w:jc w:val="center"/>
        <w:rPr>
          <w:rFonts w:eastAsiaTheme="minorHAnsi"/>
          <w:szCs w:val="24"/>
        </w:rPr>
      </w:pPr>
      <w:r>
        <w:rPr>
          <w:rFonts w:eastAsiaTheme="minorHAnsi"/>
          <w:szCs w:val="24"/>
        </w:rPr>
        <w:t>Per Capita Annual Cost by Community Population Size (5% discount rate)</w:t>
      </w:r>
    </w:p>
    <w:p w14:paraId="22D3EA39" w14:textId="0C97B97F" w:rsidR="00E0233F" w:rsidRPr="00E0233F" w:rsidRDefault="00C71018" w:rsidP="00E0233F">
      <w:pPr>
        <w:spacing w:after="0"/>
        <w:rPr>
          <w:rFonts w:eastAsiaTheme="minorHAnsi"/>
          <w:szCs w:val="24"/>
        </w:rPr>
      </w:pPr>
      <w:r w:rsidRPr="00C71018">
        <w:rPr>
          <w:rFonts w:eastAsiaTheme="minorHAnsi"/>
          <w:noProof/>
          <w:szCs w:val="24"/>
          <w:lang w:eastAsia="zh-CN"/>
        </w:rPr>
        <mc:AlternateContent>
          <mc:Choice Requires="wpg">
            <w:drawing>
              <wp:anchor distT="0" distB="0" distL="114300" distR="114300" simplePos="0" relativeHeight="251659264" behindDoc="0" locked="0" layoutInCell="1" allowOverlap="1" wp14:anchorId="6675E392" wp14:editId="0ADBDD72">
                <wp:simplePos x="0" y="0"/>
                <wp:positionH relativeFrom="column">
                  <wp:posOffset>121920</wp:posOffset>
                </wp:positionH>
                <wp:positionV relativeFrom="paragraph">
                  <wp:posOffset>7620</wp:posOffset>
                </wp:positionV>
                <wp:extent cx="6065520" cy="3785732"/>
                <wp:effectExtent l="0" t="0" r="0" b="5715"/>
                <wp:wrapNone/>
                <wp:docPr id="4" name="Group 3"/>
                <wp:cNvGraphicFramePr/>
                <a:graphic xmlns:a="http://schemas.openxmlformats.org/drawingml/2006/main">
                  <a:graphicData uri="http://schemas.microsoft.com/office/word/2010/wordprocessingGroup">
                    <wpg:wgp>
                      <wpg:cNvGrpSpPr/>
                      <wpg:grpSpPr>
                        <a:xfrm>
                          <a:off x="0" y="0"/>
                          <a:ext cx="6065520" cy="3785732"/>
                          <a:chOff x="0" y="0"/>
                          <a:chExt cx="8113710" cy="5174217"/>
                        </a:xfrm>
                      </wpg:grpSpPr>
                      <wpg:graphicFrame>
                        <wpg:cNvPr id="2" name="Chart 2"/>
                        <wpg:cNvFrPr>
                          <a:graphicFrameLocks/>
                        </wpg:cNvFrPr>
                        <wpg:xfrm>
                          <a:off x="0" y="0"/>
                          <a:ext cx="7962900" cy="5174217"/>
                        </wpg:xfrm>
                        <a:graphic>
                          <a:graphicData uri="http://schemas.openxmlformats.org/drawingml/2006/chart">
                            <c:chart xmlns:c="http://schemas.openxmlformats.org/drawingml/2006/chart" xmlns:r="http://schemas.openxmlformats.org/officeDocument/2006/relationships" r:id="rId7"/>
                          </a:graphicData>
                        </a:graphic>
                      </wpg:graphicFrame>
                      <wps:wsp>
                        <wps:cNvPr id="3" name="TextBox 5"/>
                        <wps:cNvSpPr txBox="1"/>
                        <wps:spPr>
                          <a:xfrm>
                            <a:off x="7314811" y="2183513"/>
                            <a:ext cx="798899" cy="358442"/>
                          </a:xfrm>
                          <a:prstGeom prst="rect">
                            <a:avLst/>
                          </a:prstGeom>
                          <a:noFill/>
                        </wps:spPr>
                        <wps:txbx>
                          <w:txbxContent>
                            <w:p w14:paraId="5F4F4AC7" w14:textId="77777777" w:rsidR="00C71018" w:rsidRDefault="00C71018" w:rsidP="00C71018">
                              <w:pPr>
                                <w:pStyle w:val="NormalWeb"/>
                                <w:spacing w:before="0" w:beforeAutospacing="0" w:after="0" w:afterAutospacing="0"/>
                              </w:pPr>
                              <w:r>
                                <w:rPr>
                                  <w:rFonts w:asciiTheme="minorHAnsi" w:hAnsi="Calibri" w:cstheme="minorBidi"/>
                                  <w:color w:val="000000" w:themeColor="text1"/>
                                  <w:kern w:val="24"/>
                                  <w:sz w:val="22"/>
                                  <w:szCs w:val="22"/>
                                </w:rPr>
                                <w:t>Wright</w:t>
                              </w:r>
                            </w:p>
                          </w:txbxContent>
                        </wps:txbx>
                        <wps:bodyPr wrap="square" rtlCol="0">
                          <a:noAutofit/>
                        </wps:bodyPr>
                      </wps:wsp>
                      <wps:wsp>
                        <wps:cNvPr id="5" name="Rectangle 5"/>
                        <wps:cNvSpPr/>
                        <wps:spPr>
                          <a:xfrm>
                            <a:off x="7181850" y="2253050"/>
                            <a:ext cx="133350" cy="138500"/>
                          </a:xfrm>
                          <a:prstGeom prst="rect">
                            <a:avLst/>
                          </a:prstGeom>
                          <a:solidFill>
                            <a:schemeClr val="tx2">
                              <a:lumMod val="60000"/>
                              <a:lumOff val="40000"/>
                            </a:schemeClr>
                          </a:solidFill>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6675E392" id="Group 3" o:spid="_x0000_s1026" style="position:absolute;margin-left:9.6pt;margin-top:.6pt;width:477.6pt;height:298.1pt;z-index:251659264;mso-width-relative:margin" coordsize="81137,5174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81;top:-83;width:79831;height:519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">
                  <v:imagedata r:id="rId8" o:title=""/>
                  <o:lock v:ext="edit" aspectratio="f"/>
                </v:shape>
                <v:shapetype id="_x0000_t202" coordsize="21600,21600" o:spt="202" path="m,l,21600r21600,l21600,xe">
                  <v:stroke joinstyle="miter"/>
                  <v:path gradientshapeok="t" o:connecttype="rect"/>
                </v:shapetype>
                <v:shape id="TextBox 5" o:spid="_x0000_s1028" type="#_x0000_t202" style="position:absolute;left:73148;top:21835;width:7989;height:3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5F4F4AC7" w14:textId="77777777" w:rsidR="00C71018" w:rsidRDefault="00C71018" w:rsidP="00C71018">
                        <w:pPr>
                          <w:pStyle w:val="NormalWeb"/>
                          <w:spacing w:before="0" w:beforeAutospacing="0" w:after="0" w:afterAutospacing="0"/>
                        </w:pPr>
                        <w:r>
                          <w:rPr>
                            <w:rFonts w:asciiTheme="minorHAnsi" w:hAnsi="Calibri" w:cstheme="minorBidi"/>
                            <w:color w:val="000000" w:themeColor="text1"/>
                            <w:kern w:val="24"/>
                            <w:sz w:val="22"/>
                            <w:szCs w:val="22"/>
                          </w:rPr>
                          <w:t>Wright</w:t>
                        </w:r>
                      </w:p>
                    </w:txbxContent>
                  </v:textbox>
                </v:shape>
                <v:rect id="Rectangle 5" o:spid="_x0000_s1029" style="position:absolute;left:71818;top:22530;width:1334;height:1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ybMMA&#10;AADaAAAADwAAAGRycy9kb3ducmV2LnhtbESP3YrCMBSE7wXfIRxh7zRV8IdqlOrusuJFwZ8HOCTH&#10;tticlCar3bffCIKXw8x8w6w2na3FnVpfOVYwHiUgiLUzFRcKLufv4QKED8gGa8ek4I88bNb93gpT&#10;4x58pPspFCJC2KeooAyhSaX0uiSLfuQa4uhdXWsxRNkW0rT4iHBby0mSzKTFiuNCiQ3tStK3069V&#10;kFe5n39m2THf/oxvX5fpwWk9U+pj0GVLEIG68A6/2nujYAr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vybMMAAADaAAAADwAAAAAAAAAAAAAAAACYAgAAZHJzL2Rv&#10;d25yZXYueG1sUEsFBgAAAAAEAAQA9QAAAIgDAAAAAA==&#10;" fillcolor="#548dd4 [1951]" strokecolor="#4579b8 [3044]">
                  <v:shadow on="t" color="black" opacity="22937f" origin=",.5" offset="0,.63889mm"/>
                </v:rect>
              </v:group>
            </w:pict>
          </mc:Fallback>
        </mc:AlternateContent>
      </w:r>
    </w:p>
    <w:p w14:paraId="36CD4D4C" w14:textId="7E834269" w:rsidR="00E0233F" w:rsidRPr="00E0233F" w:rsidRDefault="00E0233F" w:rsidP="00E0233F">
      <w:pPr>
        <w:spacing w:after="0"/>
        <w:rPr>
          <w:rFonts w:eastAsiaTheme="minorHAnsi"/>
          <w:szCs w:val="24"/>
        </w:rPr>
      </w:pPr>
      <w:r w:rsidRPr="00E0233F">
        <w:rPr>
          <w:rFonts w:eastAsiaTheme="minorHAnsi"/>
          <w:szCs w:val="24"/>
        </w:rPr>
        <w:br w:type="page"/>
      </w:r>
    </w:p>
    <w:p w14:paraId="7D1B261C" w14:textId="77777777" w:rsidR="00E0233F" w:rsidRDefault="00E0233F" w:rsidP="00E0233F">
      <w:pPr>
        <w:spacing w:after="0"/>
        <w:rPr>
          <w:rFonts w:eastAsiaTheme="minorHAnsi"/>
          <w:szCs w:val="24"/>
        </w:rPr>
      </w:pPr>
      <w:r w:rsidRPr="00E0233F">
        <w:rPr>
          <w:rFonts w:eastAsiaTheme="minorHAnsi"/>
          <w:szCs w:val="24"/>
        </w:rPr>
        <w:lastRenderedPageBreak/>
        <w:t>Appendix Figure 3</w:t>
      </w:r>
    </w:p>
    <w:p w14:paraId="3221C5F7" w14:textId="6CFFACD7" w:rsidR="00BD5CCB" w:rsidRPr="001224BB" w:rsidRDefault="004545F0" w:rsidP="004545F0">
      <w:pPr>
        <w:spacing w:after="0" w:line="276" w:lineRule="auto"/>
        <w:jc w:val="center"/>
        <w:rPr>
          <w:rFonts w:eastAsiaTheme="minorHAnsi"/>
          <w:szCs w:val="24"/>
        </w:rPr>
      </w:pPr>
      <w:r w:rsidRPr="001224BB">
        <w:rPr>
          <w:rFonts w:eastAsiaTheme="minorHAnsi"/>
          <w:szCs w:val="24"/>
        </w:rPr>
        <w:t>Benefit-Cost Ratio by Community Population Size</w:t>
      </w:r>
      <w:r w:rsidRPr="001224BB">
        <w:rPr>
          <w:rFonts w:eastAsiaTheme="minorHAnsi"/>
          <w:szCs w:val="24"/>
          <w:vertAlign w:val="superscript"/>
        </w:rPr>
        <w:t>*</w:t>
      </w:r>
    </w:p>
    <w:p w14:paraId="52BBDB9D" w14:textId="03E142CE" w:rsidR="004545F0" w:rsidRPr="001224BB" w:rsidRDefault="004545F0" w:rsidP="004545F0">
      <w:pPr>
        <w:spacing w:after="0" w:line="276" w:lineRule="auto"/>
        <w:jc w:val="center"/>
        <w:rPr>
          <w:rFonts w:eastAsiaTheme="minorHAnsi"/>
          <w:szCs w:val="24"/>
        </w:rPr>
      </w:pPr>
      <w:r w:rsidRPr="001224BB">
        <w:rPr>
          <w:rFonts w:eastAsiaTheme="minorHAnsi"/>
          <w:szCs w:val="24"/>
        </w:rPr>
        <w:t>(</w:t>
      </w:r>
      <w:r w:rsidR="00864E9A">
        <w:rPr>
          <w:rFonts w:eastAsiaTheme="minorHAnsi"/>
          <w:szCs w:val="24"/>
        </w:rPr>
        <w:t>3% to 4% Discount Rate, 15% to 2</w:t>
      </w:r>
      <w:r w:rsidRPr="001224BB">
        <w:rPr>
          <w:rFonts w:eastAsiaTheme="minorHAnsi"/>
          <w:szCs w:val="24"/>
        </w:rPr>
        <w:t>0% caries reduction rate)</w:t>
      </w:r>
    </w:p>
    <w:p w14:paraId="159207A5" w14:textId="5F7AB8C5" w:rsidR="00E0233F" w:rsidRPr="00E0233F" w:rsidRDefault="004545F0" w:rsidP="00E0233F">
      <w:pPr>
        <w:spacing w:after="0"/>
        <w:rPr>
          <w:rFonts w:eastAsiaTheme="minorHAnsi"/>
          <w:szCs w:val="24"/>
        </w:rPr>
      </w:pPr>
      <w:r>
        <w:rPr>
          <w:noProof/>
          <w:lang w:eastAsia="zh-CN"/>
        </w:rPr>
        <w:drawing>
          <wp:inline distT="0" distB="0" distL="0" distR="0" wp14:anchorId="020F41E6" wp14:editId="710CE2FC">
            <wp:extent cx="6012180" cy="37795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04BE7A" w14:textId="77777777" w:rsidR="004545F0" w:rsidRDefault="004545F0" w:rsidP="004545F0">
      <w:pPr>
        <w:spacing w:after="0" w:line="276" w:lineRule="auto"/>
        <w:rPr>
          <w:rFonts w:eastAsiaTheme="minorHAnsi"/>
          <w:szCs w:val="24"/>
        </w:rPr>
      </w:pPr>
      <w:r>
        <w:rPr>
          <w:rFonts w:eastAsiaTheme="minorHAnsi"/>
          <w:szCs w:val="24"/>
          <w:vertAlign w:val="superscript"/>
        </w:rPr>
        <w:t xml:space="preserve">* </w:t>
      </w:r>
      <w:r>
        <w:rPr>
          <w:rFonts w:eastAsiaTheme="minorHAnsi"/>
          <w:szCs w:val="24"/>
        </w:rPr>
        <w:t>Tchouaket et al. was not included in the graph since no community size information was reported in the paper. The community size in Cobiac and Vos was reported as &lt;= 1000 and was in the category of 1000-4999 in the graph.</w:t>
      </w:r>
    </w:p>
    <w:p w14:paraId="1E3C0801" w14:textId="77777777" w:rsidR="00E0233F" w:rsidRDefault="00E0233F" w:rsidP="00E0233F">
      <w:pPr>
        <w:spacing w:after="0"/>
        <w:rPr>
          <w:rFonts w:eastAsiaTheme="minorHAnsi"/>
          <w:szCs w:val="24"/>
        </w:rPr>
      </w:pPr>
    </w:p>
    <w:p w14:paraId="000BD7A6" w14:textId="77777777" w:rsidR="00E0233F" w:rsidRDefault="00E0233F" w:rsidP="00E0233F">
      <w:pPr>
        <w:spacing w:after="0"/>
        <w:rPr>
          <w:rFonts w:eastAsiaTheme="minorHAnsi"/>
          <w:szCs w:val="24"/>
        </w:rPr>
      </w:pPr>
    </w:p>
    <w:p w14:paraId="615CA124" w14:textId="77777777" w:rsidR="00E0233F" w:rsidRDefault="00E0233F">
      <w:pPr>
        <w:spacing w:after="0"/>
        <w:rPr>
          <w:rFonts w:eastAsiaTheme="minorHAnsi"/>
          <w:szCs w:val="24"/>
        </w:rPr>
      </w:pPr>
      <w:r>
        <w:rPr>
          <w:rFonts w:eastAsiaTheme="minorHAnsi"/>
          <w:szCs w:val="24"/>
        </w:rPr>
        <w:br w:type="page"/>
      </w:r>
    </w:p>
    <w:p w14:paraId="399ED7DE" w14:textId="77777777" w:rsidR="00E0233F" w:rsidRDefault="00E0233F" w:rsidP="00E0233F">
      <w:pPr>
        <w:spacing w:after="0"/>
        <w:rPr>
          <w:rFonts w:eastAsiaTheme="minorHAnsi"/>
          <w:szCs w:val="24"/>
        </w:rPr>
      </w:pPr>
      <w:r w:rsidRPr="00E0233F">
        <w:rPr>
          <w:rFonts w:eastAsiaTheme="minorHAnsi"/>
          <w:szCs w:val="24"/>
        </w:rPr>
        <w:t>Appendix Figure 4</w:t>
      </w:r>
    </w:p>
    <w:p w14:paraId="4C44130C" w14:textId="77777777" w:rsidR="001224BB" w:rsidRPr="001224BB" w:rsidRDefault="001224BB" w:rsidP="001224BB">
      <w:pPr>
        <w:spacing w:after="0" w:line="276" w:lineRule="auto"/>
        <w:jc w:val="center"/>
        <w:rPr>
          <w:rFonts w:eastAsiaTheme="minorHAnsi"/>
          <w:szCs w:val="24"/>
        </w:rPr>
      </w:pPr>
      <w:r w:rsidRPr="001224BB">
        <w:rPr>
          <w:rFonts w:eastAsiaTheme="minorHAnsi"/>
          <w:szCs w:val="24"/>
        </w:rPr>
        <w:t>Benefit-Cost Ratio by Community Population Size</w:t>
      </w:r>
      <w:r w:rsidRPr="001224BB">
        <w:rPr>
          <w:rFonts w:eastAsiaTheme="minorHAnsi"/>
          <w:szCs w:val="24"/>
          <w:vertAlign w:val="superscript"/>
        </w:rPr>
        <w:t>*</w:t>
      </w:r>
    </w:p>
    <w:p w14:paraId="6A9B97C3" w14:textId="739BAEAD" w:rsidR="001224BB" w:rsidRPr="001224BB" w:rsidRDefault="001224BB" w:rsidP="001224BB">
      <w:pPr>
        <w:spacing w:after="0" w:line="276" w:lineRule="auto"/>
        <w:jc w:val="center"/>
        <w:rPr>
          <w:rFonts w:eastAsiaTheme="minorHAnsi"/>
          <w:szCs w:val="24"/>
        </w:rPr>
      </w:pPr>
      <w:r w:rsidRPr="001224BB">
        <w:rPr>
          <w:rFonts w:eastAsiaTheme="minorHAnsi"/>
          <w:szCs w:val="24"/>
        </w:rPr>
        <w:t>(</w:t>
      </w:r>
      <w:r>
        <w:rPr>
          <w:rFonts w:eastAsiaTheme="minorHAnsi"/>
          <w:szCs w:val="24"/>
        </w:rPr>
        <w:t>5</w:t>
      </w:r>
      <w:r w:rsidRPr="001224BB">
        <w:rPr>
          <w:rFonts w:eastAsiaTheme="minorHAnsi"/>
          <w:szCs w:val="24"/>
        </w:rPr>
        <w:t xml:space="preserve">% Discount Rate, </w:t>
      </w:r>
      <w:r>
        <w:rPr>
          <w:rFonts w:eastAsiaTheme="minorHAnsi"/>
          <w:szCs w:val="24"/>
        </w:rPr>
        <w:t>33</w:t>
      </w:r>
      <w:r w:rsidRPr="001224BB">
        <w:rPr>
          <w:rFonts w:eastAsiaTheme="minorHAnsi"/>
          <w:szCs w:val="24"/>
        </w:rPr>
        <w:t>% caries reduction rate)</w:t>
      </w:r>
    </w:p>
    <w:p w14:paraId="1DCC3572" w14:textId="04B9A394" w:rsidR="00E0233F" w:rsidRPr="00E0233F" w:rsidRDefault="001224BB" w:rsidP="00E0233F">
      <w:pPr>
        <w:spacing w:after="0"/>
        <w:rPr>
          <w:rFonts w:eastAsiaTheme="minorHAnsi"/>
          <w:szCs w:val="24"/>
        </w:rPr>
      </w:pPr>
      <w:r>
        <w:rPr>
          <w:noProof/>
          <w:lang w:eastAsia="zh-CN"/>
        </w:rPr>
        <w:drawing>
          <wp:inline distT="0" distB="0" distL="0" distR="0" wp14:anchorId="60C50E93" wp14:editId="2FAD6FD7">
            <wp:extent cx="5882640" cy="4008120"/>
            <wp:effectExtent l="0" t="0" r="381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2B0911" w14:textId="77777777" w:rsidR="00E0233F" w:rsidRDefault="00E0233F" w:rsidP="00E0233F">
      <w:pPr>
        <w:spacing w:after="0"/>
        <w:rPr>
          <w:rFonts w:eastAsiaTheme="minorHAnsi"/>
          <w:szCs w:val="24"/>
        </w:rPr>
      </w:pPr>
    </w:p>
    <w:p w14:paraId="1407A2ED" w14:textId="77777777" w:rsidR="00E0233F" w:rsidRDefault="00E0233F" w:rsidP="00E0233F">
      <w:pPr>
        <w:spacing w:after="0"/>
        <w:rPr>
          <w:rFonts w:eastAsiaTheme="minorHAnsi"/>
          <w:szCs w:val="24"/>
        </w:rPr>
      </w:pPr>
    </w:p>
    <w:p w14:paraId="04021819" w14:textId="77777777" w:rsidR="00E0233F" w:rsidRDefault="00E0233F">
      <w:pPr>
        <w:spacing w:after="0"/>
        <w:rPr>
          <w:rFonts w:eastAsiaTheme="minorHAnsi"/>
          <w:szCs w:val="24"/>
        </w:rPr>
      </w:pPr>
      <w:r>
        <w:rPr>
          <w:rFonts w:eastAsiaTheme="minorHAnsi"/>
          <w:szCs w:val="24"/>
        </w:rPr>
        <w:br w:type="page"/>
      </w:r>
    </w:p>
    <w:p w14:paraId="5F631AD2" w14:textId="1A09D25B" w:rsidR="00E0233F" w:rsidRPr="00E0233F" w:rsidRDefault="00E0233F" w:rsidP="00E0233F">
      <w:pPr>
        <w:spacing w:after="0"/>
        <w:rPr>
          <w:rFonts w:eastAsiaTheme="minorHAnsi"/>
          <w:szCs w:val="24"/>
        </w:rPr>
      </w:pPr>
      <w:r w:rsidRPr="00E0233F">
        <w:rPr>
          <w:rFonts w:eastAsiaTheme="minorHAnsi"/>
          <w:szCs w:val="24"/>
        </w:rPr>
        <w:t xml:space="preserve">Appendix Table 1. Highlighted Results from Benefit-Only Studies </w:t>
      </w:r>
    </w:p>
    <w:tbl>
      <w:tblPr>
        <w:tblStyle w:val="TableGrid"/>
        <w:tblW w:w="10638" w:type="dxa"/>
        <w:tblLook w:val="0420" w:firstRow="1" w:lastRow="0" w:firstColumn="0" w:lastColumn="0" w:noHBand="0" w:noVBand="1"/>
      </w:tblPr>
      <w:tblGrid>
        <w:gridCol w:w="2358"/>
        <w:gridCol w:w="2250"/>
        <w:gridCol w:w="6030"/>
      </w:tblGrid>
      <w:tr w:rsidR="00E0233F" w:rsidRPr="00E0233F" w14:paraId="77DBCAD3" w14:textId="77777777" w:rsidTr="00B67897">
        <w:tc>
          <w:tcPr>
            <w:tcW w:w="2358" w:type="dxa"/>
            <w:hideMark/>
          </w:tcPr>
          <w:p w14:paraId="7808DCC7" w14:textId="77777777" w:rsidR="00E0233F" w:rsidRPr="00E0233F" w:rsidRDefault="00E0233F" w:rsidP="00E0233F">
            <w:pPr>
              <w:spacing w:after="0"/>
              <w:rPr>
                <w:szCs w:val="24"/>
              </w:rPr>
            </w:pPr>
            <w:r w:rsidRPr="00E0233F">
              <w:rPr>
                <w:b/>
                <w:bCs/>
                <w:szCs w:val="24"/>
              </w:rPr>
              <w:t xml:space="preserve">Study </w:t>
            </w:r>
          </w:p>
        </w:tc>
        <w:tc>
          <w:tcPr>
            <w:tcW w:w="2250" w:type="dxa"/>
            <w:hideMark/>
          </w:tcPr>
          <w:p w14:paraId="070AAD1E" w14:textId="77777777" w:rsidR="00E0233F" w:rsidRPr="00E0233F" w:rsidRDefault="00E0233F" w:rsidP="00E0233F">
            <w:pPr>
              <w:spacing w:after="0"/>
              <w:rPr>
                <w:szCs w:val="24"/>
              </w:rPr>
            </w:pPr>
            <w:r w:rsidRPr="00E0233F">
              <w:rPr>
                <w:b/>
                <w:bCs/>
                <w:szCs w:val="24"/>
              </w:rPr>
              <w:t xml:space="preserve">Sample </w:t>
            </w:r>
          </w:p>
        </w:tc>
        <w:tc>
          <w:tcPr>
            <w:tcW w:w="6030" w:type="dxa"/>
            <w:hideMark/>
          </w:tcPr>
          <w:p w14:paraId="3F9FFDE3" w14:textId="05D7ABC7" w:rsidR="00E0233F" w:rsidRPr="00E0233F" w:rsidRDefault="00E0233F" w:rsidP="00B67897">
            <w:pPr>
              <w:spacing w:after="0"/>
              <w:rPr>
                <w:szCs w:val="24"/>
              </w:rPr>
            </w:pPr>
            <w:r w:rsidRPr="00E0233F">
              <w:rPr>
                <w:b/>
                <w:bCs/>
                <w:szCs w:val="24"/>
              </w:rPr>
              <w:t xml:space="preserve">Main </w:t>
            </w:r>
            <w:r w:rsidR="00B67897">
              <w:rPr>
                <w:b/>
                <w:bCs/>
                <w:szCs w:val="24"/>
              </w:rPr>
              <w:t>r</w:t>
            </w:r>
            <w:r w:rsidRPr="00E0233F">
              <w:rPr>
                <w:b/>
                <w:bCs/>
                <w:szCs w:val="24"/>
              </w:rPr>
              <w:t>esult</w:t>
            </w:r>
          </w:p>
        </w:tc>
      </w:tr>
      <w:tr w:rsidR="00E0233F" w:rsidRPr="00E0233F" w14:paraId="4D475905" w14:textId="77777777" w:rsidTr="00B67897">
        <w:tc>
          <w:tcPr>
            <w:tcW w:w="2358" w:type="dxa"/>
            <w:hideMark/>
          </w:tcPr>
          <w:p w14:paraId="4600E6EE" w14:textId="77777777" w:rsidR="00E0233F" w:rsidRPr="00E0233F" w:rsidRDefault="00E0233F" w:rsidP="00E0233F">
            <w:pPr>
              <w:spacing w:after="0"/>
              <w:rPr>
                <w:szCs w:val="24"/>
              </w:rPr>
            </w:pPr>
            <w:r w:rsidRPr="00E0233F">
              <w:rPr>
                <w:szCs w:val="24"/>
              </w:rPr>
              <w:t>Kumar 2010</w:t>
            </w:r>
          </w:p>
        </w:tc>
        <w:tc>
          <w:tcPr>
            <w:tcW w:w="2250" w:type="dxa"/>
            <w:hideMark/>
          </w:tcPr>
          <w:p w14:paraId="2BA8100E" w14:textId="77777777" w:rsidR="00E0233F" w:rsidRPr="00E0233F" w:rsidRDefault="00E0233F" w:rsidP="00E0233F">
            <w:pPr>
              <w:spacing w:after="0"/>
              <w:rPr>
                <w:szCs w:val="24"/>
              </w:rPr>
            </w:pPr>
            <w:r w:rsidRPr="00E0233F">
              <w:rPr>
                <w:szCs w:val="24"/>
              </w:rPr>
              <w:t>Children under 21</w:t>
            </w:r>
          </w:p>
        </w:tc>
        <w:tc>
          <w:tcPr>
            <w:tcW w:w="6030" w:type="dxa"/>
            <w:hideMark/>
          </w:tcPr>
          <w:p w14:paraId="697CA986" w14:textId="77777777" w:rsidR="00E0233F" w:rsidRDefault="00E0233F" w:rsidP="00E0233F">
            <w:pPr>
              <w:spacing w:after="0"/>
              <w:rPr>
                <w:szCs w:val="24"/>
              </w:rPr>
            </w:pPr>
            <w:r w:rsidRPr="00E0233F">
              <w:rPr>
                <w:szCs w:val="24"/>
              </w:rPr>
              <w:t>For every 10% increase in the population in fluoridated area, the number of claims per child for caries-related services declined by 0.06.</w:t>
            </w:r>
          </w:p>
          <w:p w14:paraId="6E805B9C" w14:textId="77777777" w:rsidR="00B67897" w:rsidRPr="00E0233F" w:rsidRDefault="00B67897" w:rsidP="00E0233F">
            <w:pPr>
              <w:spacing w:after="0"/>
              <w:rPr>
                <w:szCs w:val="24"/>
              </w:rPr>
            </w:pPr>
          </w:p>
        </w:tc>
      </w:tr>
      <w:tr w:rsidR="00E0233F" w:rsidRPr="00E0233F" w14:paraId="1452FFA8" w14:textId="77777777" w:rsidTr="00B67897">
        <w:tc>
          <w:tcPr>
            <w:tcW w:w="2358" w:type="dxa"/>
            <w:hideMark/>
          </w:tcPr>
          <w:p w14:paraId="452EFDA4" w14:textId="77777777" w:rsidR="00E0233F" w:rsidRPr="00E0233F" w:rsidRDefault="00E0233F" w:rsidP="00E0233F">
            <w:pPr>
              <w:spacing w:after="0"/>
              <w:rPr>
                <w:szCs w:val="24"/>
              </w:rPr>
            </w:pPr>
            <w:r w:rsidRPr="00E0233F">
              <w:rPr>
                <w:szCs w:val="24"/>
              </w:rPr>
              <w:t>Maupome 2007</w:t>
            </w:r>
          </w:p>
        </w:tc>
        <w:tc>
          <w:tcPr>
            <w:tcW w:w="2250" w:type="dxa"/>
            <w:hideMark/>
          </w:tcPr>
          <w:p w14:paraId="36C55AD7" w14:textId="77777777" w:rsidR="00E0233F" w:rsidRPr="00E0233F" w:rsidRDefault="00E0233F" w:rsidP="00E0233F">
            <w:pPr>
              <w:spacing w:after="0"/>
              <w:rPr>
                <w:szCs w:val="24"/>
              </w:rPr>
            </w:pPr>
            <w:r w:rsidRPr="00E0233F">
              <w:rPr>
                <w:szCs w:val="24"/>
              </w:rPr>
              <w:t>HMO members</w:t>
            </w:r>
          </w:p>
        </w:tc>
        <w:tc>
          <w:tcPr>
            <w:tcW w:w="6030" w:type="dxa"/>
            <w:hideMark/>
          </w:tcPr>
          <w:p w14:paraId="4C3AB0EA" w14:textId="77777777" w:rsidR="00E0233F" w:rsidRDefault="00E0233F" w:rsidP="00E0233F">
            <w:pPr>
              <w:spacing w:after="0"/>
              <w:rPr>
                <w:szCs w:val="24"/>
              </w:rPr>
            </w:pPr>
            <w:r w:rsidRPr="00E0233F">
              <w:rPr>
                <w:szCs w:val="24"/>
              </w:rPr>
              <w:t>CWF was associated with reduced total and restorative cost among members with dental visits.</w:t>
            </w:r>
          </w:p>
          <w:p w14:paraId="02A1CD70" w14:textId="77777777" w:rsidR="00B67897" w:rsidRPr="00E0233F" w:rsidRDefault="00B67897" w:rsidP="00E0233F">
            <w:pPr>
              <w:spacing w:after="0"/>
              <w:rPr>
                <w:szCs w:val="24"/>
              </w:rPr>
            </w:pPr>
          </w:p>
        </w:tc>
      </w:tr>
      <w:tr w:rsidR="00E0233F" w:rsidRPr="00E0233F" w14:paraId="73308A09" w14:textId="77777777" w:rsidTr="00B67897">
        <w:tc>
          <w:tcPr>
            <w:tcW w:w="2358" w:type="dxa"/>
            <w:hideMark/>
          </w:tcPr>
          <w:p w14:paraId="4F268BD3" w14:textId="77777777" w:rsidR="00E0233F" w:rsidRPr="00E0233F" w:rsidRDefault="00E0233F" w:rsidP="00E0233F">
            <w:pPr>
              <w:spacing w:after="0"/>
              <w:rPr>
                <w:szCs w:val="24"/>
              </w:rPr>
            </w:pPr>
            <w:r w:rsidRPr="00E0233F">
              <w:rPr>
                <w:szCs w:val="24"/>
              </w:rPr>
              <w:t>Dept of Health, TX 2000</w:t>
            </w:r>
          </w:p>
        </w:tc>
        <w:tc>
          <w:tcPr>
            <w:tcW w:w="2250" w:type="dxa"/>
            <w:hideMark/>
          </w:tcPr>
          <w:p w14:paraId="14CF0C8D" w14:textId="2E1FC90B" w:rsidR="00E0233F" w:rsidRPr="00E0233F" w:rsidRDefault="00E0233F" w:rsidP="00B67897">
            <w:pPr>
              <w:spacing w:after="0"/>
              <w:rPr>
                <w:szCs w:val="24"/>
              </w:rPr>
            </w:pPr>
            <w:r w:rsidRPr="00E0233F">
              <w:rPr>
                <w:szCs w:val="24"/>
              </w:rPr>
              <w:t xml:space="preserve">253 counties </w:t>
            </w:r>
            <w:r w:rsidR="00B67897">
              <w:rPr>
                <w:szCs w:val="24"/>
              </w:rPr>
              <w:t>with</w:t>
            </w:r>
            <w:r w:rsidR="00B67897" w:rsidRPr="00E0233F">
              <w:rPr>
                <w:szCs w:val="24"/>
              </w:rPr>
              <w:t xml:space="preserve"> </w:t>
            </w:r>
            <w:r w:rsidRPr="00E0233F">
              <w:rPr>
                <w:szCs w:val="24"/>
              </w:rPr>
              <w:t>Medicaid dental costs</w:t>
            </w:r>
          </w:p>
        </w:tc>
        <w:tc>
          <w:tcPr>
            <w:tcW w:w="6030" w:type="dxa"/>
            <w:hideMark/>
          </w:tcPr>
          <w:p w14:paraId="66212A1A" w14:textId="36D3AEE5" w:rsidR="00E0233F" w:rsidRDefault="00E0233F" w:rsidP="00E0233F">
            <w:pPr>
              <w:spacing w:after="0"/>
              <w:rPr>
                <w:szCs w:val="24"/>
              </w:rPr>
            </w:pPr>
            <w:r w:rsidRPr="00E0233F">
              <w:rPr>
                <w:szCs w:val="24"/>
              </w:rPr>
              <w:t>For a unit rise of 1 ppm fluoride, the average T</w:t>
            </w:r>
            <w:r w:rsidR="00B67897">
              <w:rPr>
                <w:szCs w:val="24"/>
              </w:rPr>
              <w:t>exas</w:t>
            </w:r>
            <w:r w:rsidRPr="00E0233F">
              <w:rPr>
                <w:szCs w:val="24"/>
              </w:rPr>
              <w:t xml:space="preserve"> Medicaid dental treatment cost per child across the entire state fell by $33.56.</w:t>
            </w:r>
          </w:p>
          <w:p w14:paraId="21592015" w14:textId="77777777" w:rsidR="00B67897" w:rsidRPr="00E0233F" w:rsidRDefault="00B67897" w:rsidP="00E0233F">
            <w:pPr>
              <w:spacing w:after="0"/>
              <w:rPr>
                <w:szCs w:val="24"/>
              </w:rPr>
            </w:pPr>
          </w:p>
        </w:tc>
      </w:tr>
      <w:tr w:rsidR="00E0233F" w:rsidRPr="00E0233F" w14:paraId="2FCCF7EF" w14:textId="77777777" w:rsidTr="00B67897">
        <w:tc>
          <w:tcPr>
            <w:tcW w:w="2358" w:type="dxa"/>
            <w:hideMark/>
          </w:tcPr>
          <w:p w14:paraId="282C7541" w14:textId="77777777" w:rsidR="00E0233F" w:rsidRPr="00E0233F" w:rsidRDefault="00E0233F" w:rsidP="00E0233F">
            <w:pPr>
              <w:spacing w:after="0"/>
              <w:rPr>
                <w:szCs w:val="24"/>
              </w:rPr>
            </w:pPr>
            <w:r w:rsidRPr="00E0233F">
              <w:rPr>
                <w:szCs w:val="24"/>
              </w:rPr>
              <w:t>CDC, MMWR 1999</w:t>
            </w:r>
          </w:p>
        </w:tc>
        <w:tc>
          <w:tcPr>
            <w:tcW w:w="2250" w:type="dxa"/>
            <w:hideMark/>
          </w:tcPr>
          <w:p w14:paraId="4C9B0D5D" w14:textId="77777777" w:rsidR="00E0233F" w:rsidRPr="00E0233F" w:rsidRDefault="00E0233F" w:rsidP="00E0233F">
            <w:pPr>
              <w:spacing w:after="0"/>
              <w:rPr>
                <w:szCs w:val="24"/>
              </w:rPr>
            </w:pPr>
            <w:r w:rsidRPr="00E0233F">
              <w:rPr>
                <w:szCs w:val="24"/>
              </w:rPr>
              <w:t>Medicaid-eligible children</w:t>
            </w:r>
          </w:p>
        </w:tc>
        <w:tc>
          <w:tcPr>
            <w:tcW w:w="6030" w:type="dxa"/>
            <w:hideMark/>
          </w:tcPr>
          <w:p w14:paraId="735C7EF3" w14:textId="77777777" w:rsidR="00E0233F" w:rsidRDefault="00E0233F" w:rsidP="00E0233F">
            <w:pPr>
              <w:spacing w:after="0"/>
              <w:rPr>
                <w:szCs w:val="24"/>
              </w:rPr>
            </w:pPr>
            <w:r w:rsidRPr="00E0233F">
              <w:rPr>
                <w:szCs w:val="24"/>
              </w:rPr>
              <w:t>On average, fluoridated parishes have $55.46 less treatment cost than non-fluoridated parishes.</w:t>
            </w:r>
          </w:p>
          <w:p w14:paraId="3E7F2C22" w14:textId="77777777" w:rsidR="00B67897" w:rsidRPr="00E0233F" w:rsidRDefault="00B67897" w:rsidP="00E0233F">
            <w:pPr>
              <w:spacing w:after="0"/>
              <w:rPr>
                <w:szCs w:val="24"/>
              </w:rPr>
            </w:pPr>
          </w:p>
        </w:tc>
      </w:tr>
    </w:tbl>
    <w:p w14:paraId="65504EA9" w14:textId="0FD9F230" w:rsidR="00E0233F" w:rsidRPr="00E0233F" w:rsidRDefault="00B67897" w:rsidP="00E0233F">
      <w:pPr>
        <w:spacing w:after="0"/>
        <w:rPr>
          <w:rFonts w:eastAsiaTheme="minorHAnsi"/>
          <w:szCs w:val="24"/>
        </w:rPr>
      </w:pPr>
      <w:r>
        <w:rPr>
          <w:rFonts w:eastAsiaTheme="minorHAnsi"/>
          <w:szCs w:val="24"/>
        </w:rPr>
        <w:t xml:space="preserve">CWF, community water fluoridation; </w:t>
      </w:r>
      <w:r w:rsidR="00E0233F" w:rsidRPr="00E0233F">
        <w:rPr>
          <w:rFonts w:eastAsiaTheme="minorHAnsi"/>
          <w:szCs w:val="24"/>
        </w:rPr>
        <w:t>ppm</w:t>
      </w:r>
      <w:r>
        <w:rPr>
          <w:rFonts w:eastAsiaTheme="minorHAnsi"/>
          <w:szCs w:val="24"/>
        </w:rPr>
        <w:t xml:space="preserve">, </w:t>
      </w:r>
      <w:r w:rsidR="00E0233F" w:rsidRPr="00E0233F">
        <w:rPr>
          <w:rFonts w:eastAsiaTheme="minorHAnsi"/>
          <w:szCs w:val="24"/>
        </w:rPr>
        <w:t>parts per million.</w:t>
      </w:r>
    </w:p>
    <w:p w14:paraId="54E68422" w14:textId="77777777" w:rsidR="00E0233F" w:rsidRPr="00E0233F" w:rsidRDefault="00E0233F" w:rsidP="00E0233F">
      <w:pPr>
        <w:spacing w:line="276" w:lineRule="auto"/>
        <w:rPr>
          <w:rFonts w:eastAsiaTheme="minorHAnsi"/>
          <w:szCs w:val="24"/>
        </w:rPr>
      </w:pPr>
      <w:r w:rsidRPr="00E0233F">
        <w:rPr>
          <w:rFonts w:eastAsiaTheme="minorHAnsi"/>
          <w:szCs w:val="24"/>
        </w:rPr>
        <w:br w:type="page"/>
      </w:r>
    </w:p>
    <w:p w14:paraId="2A67E4EB" w14:textId="372CD821" w:rsidR="00E0233F" w:rsidRPr="00E0233F" w:rsidRDefault="00E0233F" w:rsidP="00E0233F">
      <w:pPr>
        <w:spacing w:after="0"/>
        <w:rPr>
          <w:rFonts w:eastAsiaTheme="minorHAnsi"/>
          <w:szCs w:val="24"/>
        </w:rPr>
      </w:pPr>
      <w:r w:rsidRPr="00E0233F">
        <w:rPr>
          <w:rFonts w:eastAsiaTheme="minorHAnsi"/>
          <w:szCs w:val="24"/>
        </w:rPr>
        <w:t>Appendix Table 2. CWF Benefit Components</w:t>
      </w:r>
    </w:p>
    <w:tbl>
      <w:tblPr>
        <w:tblStyle w:val="TableGrid1"/>
        <w:tblW w:w="11033" w:type="dxa"/>
        <w:tblInd w:w="-432" w:type="dxa"/>
        <w:tblLook w:val="0420" w:firstRow="1" w:lastRow="0" w:firstColumn="0" w:lastColumn="0" w:noHBand="0" w:noVBand="1"/>
      </w:tblPr>
      <w:tblGrid>
        <w:gridCol w:w="1908"/>
        <w:gridCol w:w="1537"/>
        <w:gridCol w:w="1536"/>
        <w:gridCol w:w="1337"/>
        <w:gridCol w:w="1429"/>
        <w:gridCol w:w="1496"/>
        <w:gridCol w:w="1790"/>
      </w:tblGrid>
      <w:tr w:rsidR="00E0233F" w:rsidRPr="00E0233F" w14:paraId="041B9AF6" w14:textId="77777777" w:rsidTr="00210334">
        <w:trPr>
          <w:trHeight w:hRule="exact" w:val="576"/>
        </w:trPr>
        <w:tc>
          <w:tcPr>
            <w:tcW w:w="1908" w:type="dxa"/>
            <w:vMerge w:val="restart"/>
            <w:hideMark/>
          </w:tcPr>
          <w:p w14:paraId="6EC5D9AB" w14:textId="77777777" w:rsidR="00E0233F" w:rsidRPr="00E0233F" w:rsidRDefault="00E0233F" w:rsidP="00E0233F">
            <w:pPr>
              <w:spacing w:after="0"/>
              <w:rPr>
                <w:szCs w:val="24"/>
              </w:rPr>
            </w:pPr>
            <w:r w:rsidRPr="00E0233F">
              <w:rPr>
                <w:b/>
                <w:bCs/>
                <w:szCs w:val="24"/>
              </w:rPr>
              <w:t>Study</w:t>
            </w:r>
          </w:p>
        </w:tc>
        <w:tc>
          <w:tcPr>
            <w:tcW w:w="5839" w:type="dxa"/>
            <w:gridSpan w:val="4"/>
            <w:hideMark/>
          </w:tcPr>
          <w:p w14:paraId="373C6E35" w14:textId="7595E583" w:rsidR="00E0233F" w:rsidRPr="00E0233F" w:rsidRDefault="00E0233F" w:rsidP="004333F8">
            <w:pPr>
              <w:spacing w:after="0"/>
              <w:jc w:val="center"/>
              <w:rPr>
                <w:szCs w:val="24"/>
              </w:rPr>
            </w:pPr>
            <w:r w:rsidRPr="00E0233F">
              <w:rPr>
                <w:b/>
                <w:bCs/>
                <w:szCs w:val="24"/>
              </w:rPr>
              <w:t xml:space="preserve">Healthcare </w:t>
            </w:r>
            <w:r w:rsidR="00B67897">
              <w:rPr>
                <w:b/>
                <w:bCs/>
                <w:szCs w:val="24"/>
              </w:rPr>
              <w:t>c</w:t>
            </w:r>
            <w:r w:rsidRPr="00E0233F">
              <w:rPr>
                <w:b/>
                <w:bCs/>
                <w:szCs w:val="24"/>
              </w:rPr>
              <w:t xml:space="preserve">ost </w:t>
            </w:r>
            <w:r w:rsidR="00B67897">
              <w:rPr>
                <w:b/>
                <w:bCs/>
                <w:szCs w:val="24"/>
              </w:rPr>
              <w:t>a</w:t>
            </w:r>
            <w:r w:rsidRPr="00E0233F">
              <w:rPr>
                <w:b/>
                <w:bCs/>
                <w:szCs w:val="24"/>
              </w:rPr>
              <w:t>verted</w:t>
            </w:r>
          </w:p>
        </w:tc>
        <w:tc>
          <w:tcPr>
            <w:tcW w:w="3286" w:type="dxa"/>
            <w:gridSpan w:val="2"/>
            <w:hideMark/>
          </w:tcPr>
          <w:p w14:paraId="245CAF1D" w14:textId="24B0DC20" w:rsidR="00E0233F" w:rsidRPr="00E0233F" w:rsidRDefault="00E0233F" w:rsidP="00E0233F">
            <w:pPr>
              <w:spacing w:after="0"/>
              <w:jc w:val="center"/>
              <w:rPr>
                <w:b/>
                <w:bCs/>
                <w:szCs w:val="24"/>
              </w:rPr>
            </w:pPr>
            <w:r w:rsidRPr="00E0233F">
              <w:rPr>
                <w:b/>
                <w:bCs/>
                <w:szCs w:val="24"/>
              </w:rPr>
              <w:t xml:space="preserve">Productivity </w:t>
            </w:r>
            <w:r w:rsidR="00B67897">
              <w:rPr>
                <w:b/>
                <w:bCs/>
                <w:szCs w:val="24"/>
              </w:rPr>
              <w:t>l</w:t>
            </w:r>
            <w:r w:rsidRPr="00E0233F">
              <w:rPr>
                <w:b/>
                <w:bCs/>
                <w:szCs w:val="24"/>
              </w:rPr>
              <w:t xml:space="preserve">osses </w:t>
            </w:r>
            <w:r w:rsidR="00B67897">
              <w:rPr>
                <w:b/>
                <w:bCs/>
                <w:szCs w:val="24"/>
              </w:rPr>
              <w:t>a</w:t>
            </w:r>
            <w:r w:rsidRPr="00E0233F">
              <w:rPr>
                <w:b/>
                <w:bCs/>
                <w:szCs w:val="24"/>
              </w:rPr>
              <w:t>verted</w:t>
            </w:r>
          </w:p>
          <w:p w14:paraId="12B6A66F" w14:textId="77777777" w:rsidR="00E0233F" w:rsidRPr="00E0233F" w:rsidRDefault="00E0233F" w:rsidP="00E0233F">
            <w:pPr>
              <w:spacing w:after="0"/>
              <w:jc w:val="center"/>
              <w:rPr>
                <w:szCs w:val="24"/>
              </w:rPr>
            </w:pPr>
          </w:p>
        </w:tc>
      </w:tr>
      <w:tr w:rsidR="00E0233F" w:rsidRPr="00E0233F" w14:paraId="08643192" w14:textId="77777777" w:rsidTr="00E0233F">
        <w:trPr>
          <w:trHeight w:hRule="exact" w:val="595"/>
        </w:trPr>
        <w:tc>
          <w:tcPr>
            <w:tcW w:w="1908" w:type="dxa"/>
            <w:vMerge/>
            <w:hideMark/>
          </w:tcPr>
          <w:p w14:paraId="32149068" w14:textId="77777777" w:rsidR="00E0233F" w:rsidRPr="00E0233F" w:rsidRDefault="00E0233F" w:rsidP="00E0233F">
            <w:pPr>
              <w:spacing w:after="0"/>
              <w:rPr>
                <w:szCs w:val="24"/>
              </w:rPr>
            </w:pPr>
          </w:p>
        </w:tc>
        <w:tc>
          <w:tcPr>
            <w:tcW w:w="1537" w:type="dxa"/>
            <w:hideMark/>
          </w:tcPr>
          <w:p w14:paraId="59F4B2BB" w14:textId="77777777" w:rsidR="00E0233F" w:rsidRPr="00E0233F" w:rsidRDefault="00E0233F" w:rsidP="00E0233F">
            <w:pPr>
              <w:spacing w:after="0"/>
              <w:rPr>
                <w:szCs w:val="24"/>
              </w:rPr>
            </w:pPr>
            <w:r w:rsidRPr="00E0233F">
              <w:rPr>
                <w:bCs/>
                <w:szCs w:val="24"/>
              </w:rPr>
              <w:t>Examination</w:t>
            </w:r>
          </w:p>
        </w:tc>
        <w:tc>
          <w:tcPr>
            <w:tcW w:w="1536" w:type="dxa"/>
            <w:hideMark/>
          </w:tcPr>
          <w:p w14:paraId="1B799EAE" w14:textId="11DBB019" w:rsidR="00E0233F" w:rsidRPr="00E0233F" w:rsidRDefault="00E0233F" w:rsidP="00B67897">
            <w:pPr>
              <w:spacing w:after="0"/>
              <w:rPr>
                <w:szCs w:val="24"/>
              </w:rPr>
            </w:pPr>
            <w:r w:rsidRPr="00E0233F">
              <w:rPr>
                <w:bCs/>
                <w:szCs w:val="24"/>
              </w:rPr>
              <w:t>Restoration</w:t>
            </w:r>
            <w:r w:rsidR="00B67897">
              <w:rPr>
                <w:bCs/>
                <w:szCs w:val="24"/>
                <w:vertAlign w:val="superscript"/>
              </w:rPr>
              <w:t>a</w:t>
            </w:r>
            <w:r w:rsidR="00B67897" w:rsidRPr="00E0233F">
              <w:rPr>
                <w:bCs/>
                <w:szCs w:val="24"/>
              </w:rPr>
              <w:t xml:space="preserve"> </w:t>
            </w:r>
          </w:p>
        </w:tc>
        <w:tc>
          <w:tcPr>
            <w:tcW w:w="1337" w:type="dxa"/>
            <w:hideMark/>
          </w:tcPr>
          <w:p w14:paraId="23C93E86" w14:textId="77777777" w:rsidR="00E0233F" w:rsidRPr="00E0233F" w:rsidRDefault="00E0233F" w:rsidP="00E0233F">
            <w:pPr>
              <w:spacing w:after="0"/>
              <w:rPr>
                <w:szCs w:val="24"/>
              </w:rPr>
            </w:pPr>
            <w:r w:rsidRPr="00E0233F">
              <w:rPr>
                <w:bCs/>
                <w:szCs w:val="24"/>
              </w:rPr>
              <w:t>Extraction</w:t>
            </w:r>
          </w:p>
        </w:tc>
        <w:tc>
          <w:tcPr>
            <w:tcW w:w="1429" w:type="dxa"/>
            <w:hideMark/>
          </w:tcPr>
          <w:p w14:paraId="7A704ED4" w14:textId="77777777" w:rsidR="00E0233F" w:rsidRPr="00E0233F" w:rsidRDefault="00E0233F" w:rsidP="00E0233F">
            <w:pPr>
              <w:spacing w:after="0"/>
              <w:rPr>
                <w:szCs w:val="24"/>
              </w:rPr>
            </w:pPr>
            <w:r w:rsidRPr="00E0233F">
              <w:rPr>
                <w:bCs/>
                <w:szCs w:val="24"/>
              </w:rPr>
              <w:t>Lifetime</w:t>
            </w:r>
          </w:p>
          <w:p w14:paraId="418D050A" w14:textId="33FF7225" w:rsidR="00E0233F" w:rsidRPr="00E0233F" w:rsidRDefault="00E0233F" w:rsidP="00B67897">
            <w:pPr>
              <w:spacing w:after="0"/>
              <w:rPr>
                <w:szCs w:val="24"/>
              </w:rPr>
            </w:pPr>
            <w:r w:rsidRPr="00E0233F">
              <w:rPr>
                <w:bCs/>
                <w:szCs w:val="24"/>
              </w:rPr>
              <w:t>Treatment</w:t>
            </w:r>
            <w:r w:rsidR="00B67897">
              <w:rPr>
                <w:bCs/>
                <w:szCs w:val="24"/>
                <w:vertAlign w:val="superscript"/>
              </w:rPr>
              <w:t>a</w:t>
            </w:r>
          </w:p>
        </w:tc>
        <w:tc>
          <w:tcPr>
            <w:tcW w:w="1496" w:type="dxa"/>
            <w:hideMark/>
          </w:tcPr>
          <w:p w14:paraId="5A072B5F" w14:textId="77777777" w:rsidR="00E0233F" w:rsidRPr="00E0233F" w:rsidRDefault="00E0233F" w:rsidP="00E0233F">
            <w:pPr>
              <w:spacing w:after="0"/>
              <w:rPr>
                <w:szCs w:val="24"/>
              </w:rPr>
            </w:pPr>
            <w:r w:rsidRPr="00E0233F">
              <w:rPr>
                <w:bCs/>
                <w:szCs w:val="24"/>
              </w:rPr>
              <w:t>Productivity</w:t>
            </w:r>
          </w:p>
        </w:tc>
        <w:tc>
          <w:tcPr>
            <w:tcW w:w="1790" w:type="dxa"/>
            <w:hideMark/>
          </w:tcPr>
          <w:p w14:paraId="6017B413" w14:textId="77777777" w:rsidR="00E0233F" w:rsidRPr="00E0233F" w:rsidRDefault="00E0233F" w:rsidP="00E0233F">
            <w:pPr>
              <w:spacing w:after="0"/>
              <w:rPr>
                <w:szCs w:val="24"/>
              </w:rPr>
            </w:pPr>
            <w:r w:rsidRPr="00E0233F">
              <w:rPr>
                <w:bCs/>
                <w:szCs w:val="24"/>
              </w:rPr>
              <w:t>Transportation</w:t>
            </w:r>
          </w:p>
        </w:tc>
      </w:tr>
      <w:tr w:rsidR="00E0233F" w:rsidRPr="00E0233F" w14:paraId="27710DBE" w14:textId="77777777" w:rsidTr="00210334">
        <w:trPr>
          <w:trHeight w:hRule="exact" w:val="432"/>
        </w:trPr>
        <w:tc>
          <w:tcPr>
            <w:tcW w:w="1908" w:type="dxa"/>
            <w:hideMark/>
          </w:tcPr>
          <w:p w14:paraId="06CE5A67" w14:textId="77777777" w:rsidR="00E0233F" w:rsidRPr="00E0233F" w:rsidRDefault="00E0233F" w:rsidP="00E0233F">
            <w:pPr>
              <w:spacing w:after="0"/>
              <w:rPr>
                <w:szCs w:val="24"/>
              </w:rPr>
            </w:pPr>
            <w:r w:rsidRPr="00E0233F">
              <w:rPr>
                <w:szCs w:val="24"/>
              </w:rPr>
              <w:t>Tchouaket 2013</w:t>
            </w:r>
          </w:p>
        </w:tc>
        <w:tc>
          <w:tcPr>
            <w:tcW w:w="1537" w:type="dxa"/>
            <w:hideMark/>
          </w:tcPr>
          <w:p w14:paraId="356EC2E9" w14:textId="77777777" w:rsidR="00E0233F" w:rsidRPr="00E0233F" w:rsidRDefault="00E0233F" w:rsidP="00E0233F">
            <w:pPr>
              <w:spacing w:after="0"/>
              <w:jc w:val="center"/>
              <w:rPr>
                <w:szCs w:val="24"/>
              </w:rPr>
            </w:pPr>
            <w:r w:rsidRPr="00E0233F">
              <w:rPr>
                <w:b/>
                <w:bCs/>
                <w:szCs w:val="24"/>
              </w:rPr>
              <w:sym w:font="Wingdings 2" w:char="F050"/>
            </w:r>
          </w:p>
        </w:tc>
        <w:tc>
          <w:tcPr>
            <w:tcW w:w="1536" w:type="dxa"/>
            <w:hideMark/>
          </w:tcPr>
          <w:p w14:paraId="753845E6" w14:textId="77777777" w:rsidR="00E0233F" w:rsidRPr="00E0233F" w:rsidRDefault="00E0233F" w:rsidP="00E0233F">
            <w:pPr>
              <w:spacing w:after="0"/>
              <w:jc w:val="center"/>
              <w:rPr>
                <w:szCs w:val="24"/>
              </w:rPr>
            </w:pPr>
            <w:r w:rsidRPr="00E0233F">
              <w:rPr>
                <w:b/>
                <w:bCs/>
                <w:szCs w:val="24"/>
              </w:rPr>
              <w:sym w:font="Wingdings 2" w:char="F050"/>
            </w:r>
          </w:p>
        </w:tc>
        <w:tc>
          <w:tcPr>
            <w:tcW w:w="1337" w:type="dxa"/>
            <w:hideMark/>
          </w:tcPr>
          <w:p w14:paraId="0ADE7FEB" w14:textId="77777777" w:rsidR="00E0233F" w:rsidRPr="00E0233F" w:rsidRDefault="00E0233F" w:rsidP="00E0233F">
            <w:pPr>
              <w:spacing w:after="0"/>
              <w:jc w:val="center"/>
              <w:rPr>
                <w:szCs w:val="24"/>
              </w:rPr>
            </w:pPr>
          </w:p>
        </w:tc>
        <w:tc>
          <w:tcPr>
            <w:tcW w:w="1429" w:type="dxa"/>
            <w:hideMark/>
          </w:tcPr>
          <w:p w14:paraId="14DE1B7D" w14:textId="77777777" w:rsidR="00E0233F" w:rsidRPr="00E0233F" w:rsidRDefault="00E0233F" w:rsidP="00E0233F">
            <w:pPr>
              <w:spacing w:after="0"/>
              <w:jc w:val="center"/>
              <w:rPr>
                <w:szCs w:val="24"/>
              </w:rPr>
            </w:pPr>
            <w:r w:rsidRPr="00E0233F">
              <w:rPr>
                <w:b/>
                <w:bCs/>
                <w:szCs w:val="24"/>
              </w:rPr>
              <w:sym w:font="Wingdings 2" w:char="F050"/>
            </w:r>
          </w:p>
        </w:tc>
        <w:tc>
          <w:tcPr>
            <w:tcW w:w="1496" w:type="dxa"/>
            <w:hideMark/>
          </w:tcPr>
          <w:p w14:paraId="27D137F8" w14:textId="77777777" w:rsidR="00E0233F" w:rsidRPr="00E0233F" w:rsidRDefault="00E0233F" w:rsidP="00E0233F">
            <w:pPr>
              <w:spacing w:after="0"/>
              <w:jc w:val="center"/>
              <w:rPr>
                <w:szCs w:val="24"/>
              </w:rPr>
            </w:pPr>
            <w:r w:rsidRPr="00E0233F">
              <w:rPr>
                <w:b/>
                <w:bCs/>
                <w:szCs w:val="24"/>
              </w:rPr>
              <w:sym w:font="Wingdings 2" w:char="F050"/>
            </w:r>
          </w:p>
        </w:tc>
        <w:tc>
          <w:tcPr>
            <w:tcW w:w="1790" w:type="dxa"/>
            <w:hideMark/>
          </w:tcPr>
          <w:p w14:paraId="205CE95B" w14:textId="77777777" w:rsidR="00E0233F" w:rsidRPr="00E0233F" w:rsidRDefault="00E0233F" w:rsidP="00E0233F">
            <w:pPr>
              <w:spacing w:after="0"/>
              <w:jc w:val="center"/>
              <w:rPr>
                <w:szCs w:val="24"/>
              </w:rPr>
            </w:pPr>
            <w:r w:rsidRPr="00E0233F">
              <w:rPr>
                <w:b/>
                <w:bCs/>
                <w:szCs w:val="24"/>
              </w:rPr>
              <w:sym w:font="Wingdings 2" w:char="F050"/>
            </w:r>
          </w:p>
        </w:tc>
      </w:tr>
      <w:tr w:rsidR="00E0233F" w:rsidRPr="00E0233F" w14:paraId="3A23AE75" w14:textId="77777777" w:rsidTr="00210334">
        <w:trPr>
          <w:trHeight w:hRule="exact" w:val="432"/>
        </w:trPr>
        <w:tc>
          <w:tcPr>
            <w:tcW w:w="1908" w:type="dxa"/>
            <w:hideMark/>
          </w:tcPr>
          <w:p w14:paraId="37290904" w14:textId="69CABEB8" w:rsidR="00E0233F" w:rsidRPr="00E0233F" w:rsidRDefault="00E0233F" w:rsidP="00B67897">
            <w:pPr>
              <w:spacing w:after="0"/>
              <w:rPr>
                <w:szCs w:val="24"/>
              </w:rPr>
            </w:pPr>
            <w:r w:rsidRPr="00E0233F">
              <w:rPr>
                <w:szCs w:val="24"/>
              </w:rPr>
              <w:t>Cobiac 2012</w:t>
            </w:r>
            <w:r w:rsidR="00B67897">
              <w:rPr>
                <w:szCs w:val="24"/>
                <w:vertAlign w:val="superscript"/>
              </w:rPr>
              <w:t>b</w:t>
            </w:r>
          </w:p>
        </w:tc>
        <w:tc>
          <w:tcPr>
            <w:tcW w:w="1537" w:type="dxa"/>
            <w:hideMark/>
          </w:tcPr>
          <w:p w14:paraId="3C4BB3DF" w14:textId="77777777" w:rsidR="00E0233F" w:rsidRPr="00E0233F" w:rsidRDefault="00E0233F" w:rsidP="00E0233F">
            <w:pPr>
              <w:spacing w:after="0"/>
              <w:jc w:val="center"/>
              <w:rPr>
                <w:szCs w:val="24"/>
              </w:rPr>
            </w:pPr>
            <w:r w:rsidRPr="00E0233F">
              <w:rPr>
                <w:b/>
                <w:bCs/>
                <w:szCs w:val="24"/>
              </w:rPr>
              <w:sym w:font="Wingdings 2" w:char="F050"/>
            </w:r>
          </w:p>
        </w:tc>
        <w:tc>
          <w:tcPr>
            <w:tcW w:w="1536" w:type="dxa"/>
            <w:hideMark/>
          </w:tcPr>
          <w:p w14:paraId="3F404E8C" w14:textId="77777777" w:rsidR="00E0233F" w:rsidRPr="00E0233F" w:rsidRDefault="00E0233F" w:rsidP="00E0233F">
            <w:pPr>
              <w:spacing w:after="0"/>
              <w:jc w:val="center"/>
              <w:rPr>
                <w:szCs w:val="24"/>
              </w:rPr>
            </w:pPr>
            <w:r w:rsidRPr="00E0233F">
              <w:rPr>
                <w:b/>
                <w:bCs/>
                <w:szCs w:val="24"/>
              </w:rPr>
              <w:sym w:font="Wingdings 2" w:char="F050"/>
            </w:r>
          </w:p>
        </w:tc>
        <w:tc>
          <w:tcPr>
            <w:tcW w:w="1337" w:type="dxa"/>
            <w:hideMark/>
          </w:tcPr>
          <w:p w14:paraId="21123737" w14:textId="77777777" w:rsidR="00E0233F" w:rsidRPr="00E0233F" w:rsidRDefault="00E0233F" w:rsidP="00E0233F">
            <w:pPr>
              <w:spacing w:after="0"/>
              <w:jc w:val="center"/>
              <w:rPr>
                <w:szCs w:val="24"/>
              </w:rPr>
            </w:pPr>
          </w:p>
        </w:tc>
        <w:tc>
          <w:tcPr>
            <w:tcW w:w="1429" w:type="dxa"/>
            <w:hideMark/>
          </w:tcPr>
          <w:p w14:paraId="52DCF11A" w14:textId="77777777" w:rsidR="00E0233F" w:rsidRPr="00E0233F" w:rsidRDefault="00E0233F" w:rsidP="00E0233F">
            <w:pPr>
              <w:spacing w:after="0"/>
              <w:jc w:val="center"/>
              <w:rPr>
                <w:szCs w:val="24"/>
              </w:rPr>
            </w:pPr>
          </w:p>
        </w:tc>
        <w:tc>
          <w:tcPr>
            <w:tcW w:w="1496" w:type="dxa"/>
            <w:hideMark/>
          </w:tcPr>
          <w:p w14:paraId="011A4E29" w14:textId="77777777" w:rsidR="00E0233F" w:rsidRPr="00E0233F" w:rsidRDefault="00E0233F" w:rsidP="00E0233F">
            <w:pPr>
              <w:spacing w:after="0"/>
              <w:jc w:val="center"/>
              <w:rPr>
                <w:szCs w:val="24"/>
              </w:rPr>
            </w:pPr>
          </w:p>
        </w:tc>
        <w:tc>
          <w:tcPr>
            <w:tcW w:w="1790" w:type="dxa"/>
            <w:hideMark/>
          </w:tcPr>
          <w:p w14:paraId="69353AF5" w14:textId="77777777" w:rsidR="00E0233F" w:rsidRPr="00E0233F" w:rsidRDefault="00E0233F" w:rsidP="00E0233F">
            <w:pPr>
              <w:spacing w:after="0"/>
              <w:jc w:val="center"/>
              <w:rPr>
                <w:szCs w:val="24"/>
              </w:rPr>
            </w:pPr>
          </w:p>
        </w:tc>
      </w:tr>
      <w:tr w:rsidR="00E0233F" w:rsidRPr="00E0233F" w14:paraId="4E1CBDF2" w14:textId="77777777" w:rsidTr="00210334">
        <w:trPr>
          <w:trHeight w:hRule="exact" w:val="432"/>
        </w:trPr>
        <w:tc>
          <w:tcPr>
            <w:tcW w:w="1908" w:type="dxa"/>
            <w:hideMark/>
          </w:tcPr>
          <w:p w14:paraId="05E8A190" w14:textId="22038B69" w:rsidR="00E0233F" w:rsidRPr="00E0233F" w:rsidRDefault="00E0233F" w:rsidP="00B67897">
            <w:pPr>
              <w:spacing w:after="0"/>
              <w:rPr>
                <w:szCs w:val="24"/>
              </w:rPr>
            </w:pPr>
            <w:r w:rsidRPr="00E0233F">
              <w:rPr>
                <w:szCs w:val="24"/>
              </w:rPr>
              <w:t>Ciketic 2010</w:t>
            </w:r>
            <w:r w:rsidR="00B67897">
              <w:rPr>
                <w:szCs w:val="24"/>
                <w:vertAlign w:val="superscript"/>
              </w:rPr>
              <w:t>b</w:t>
            </w:r>
          </w:p>
        </w:tc>
        <w:tc>
          <w:tcPr>
            <w:tcW w:w="1537" w:type="dxa"/>
            <w:hideMark/>
          </w:tcPr>
          <w:p w14:paraId="488AC9BC" w14:textId="77777777" w:rsidR="00E0233F" w:rsidRPr="00E0233F" w:rsidRDefault="00E0233F" w:rsidP="00E0233F">
            <w:pPr>
              <w:spacing w:after="0"/>
              <w:jc w:val="center"/>
              <w:rPr>
                <w:szCs w:val="24"/>
              </w:rPr>
            </w:pPr>
          </w:p>
        </w:tc>
        <w:tc>
          <w:tcPr>
            <w:tcW w:w="1536" w:type="dxa"/>
            <w:hideMark/>
          </w:tcPr>
          <w:p w14:paraId="0F6A0286" w14:textId="77777777" w:rsidR="00E0233F" w:rsidRPr="00E0233F" w:rsidRDefault="00E0233F" w:rsidP="00E0233F">
            <w:pPr>
              <w:spacing w:after="0"/>
              <w:jc w:val="center"/>
              <w:rPr>
                <w:szCs w:val="24"/>
              </w:rPr>
            </w:pPr>
            <w:r w:rsidRPr="00E0233F">
              <w:rPr>
                <w:b/>
                <w:bCs/>
                <w:szCs w:val="24"/>
              </w:rPr>
              <w:sym w:font="Wingdings 2" w:char="F050"/>
            </w:r>
          </w:p>
        </w:tc>
        <w:tc>
          <w:tcPr>
            <w:tcW w:w="1337" w:type="dxa"/>
            <w:hideMark/>
          </w:tcPr>
          <w:p w14:paraId="70EF7E42" w14:textId="77777777" w:rsidR="00E0233F" w:rsidRPr="00E0233F" w:rsidRDefault="00E0233F" w:rsidP="00E0233F">
            <w:pPr>
              <w:spacing w:after="0"/>
              <w:jc w:val="center"/>
              <w:rPr>
                <w:szCs w:val="24"/>
              </w:rPr>
            </w:pPr>
          </w:p>
        </w:tc>
        <w:tc>
          <w:tcPr>
            <w:tcW w:w="1429" w:type="dxa"/>
            <w:hideMark/>
          </w:tcPr>
          <w:p w14:paraId="2ECB90EE" w14:textId="77777777" w:rsidR="00E0233F" w:rsidRPr="00E0233F" w:rsidRDefault="00E0233F" w:rsidP="00E0233F">
            <w:pPr>
              <w:spacing w:after="0"/>
              <w:jc w:val="center"/>
              <w:rPr>
                <w:szCs w:val="24"/>
              </w:rPr>
            </w:pPr>
          </w:p>
        </w:tc>
        <w:tc>
          <w:tcPr>
            <w:tcW w:w="1496" w:type="dxa"/>
            <w:hideMark/>
          </w:tcPr>
          <w:p w14:paraId="5283C41D" w14:textId="77777777" w:rsidR="00E0233F" w:rsidRPr="00E0233F" w:rsidRDefault="00E0233F" w:rsidP="00E0233F">
            <w:pPr>
              <w:spacing w:after="0"/>
              <w:jc w:val="center"/>
              <w:rPr>
                <w:szCs w:val="24"/>
              </w:rPr>
            </w:pPr>
          </w:p>
        </w:tc>
        <w:tc>
          <w:tcPr>
            <w:tcW w:w="1790" w:type="dxa"/>
            <w:hideMark/>
          </w:tcPr>
          <w:p w14:paraId="24077B95" w14:textId="77777777" w:rsidR="00E0233F" w:rsidRPr="00E0233F" w:rsidRDefault="00E0233F" w:rsidP="00E0233F">
            <w:pPr>
              <w:spacing w:after="0"/>
              <w:jc w:val="center"/>
              <w:rPr>
                <w:szCs w:val="24"/>
              </w:rPr>
            </w:pPr>
          </w:p>
        </w:tc>
      </w:tr>
      <w:tr w:rsidR="00E0233F" w:rsidRPr="00E0233F" w14:paraId="5CA23BF6" w14:textId="77777777" w:rsidTr="00210334">
        <w:trPr>
          <w:trHeight w:hRule="exact" w:val="432"/>
        </w:trPr>
        <w:tc>
          <w:tcPr>
            <w:tcW w:w="1908" w:type="dxa"/>
            <w:hideMark/>
          </w:tcPr>
          <w:p w14:paraId="3FAFDD4F" w14:textId="77777777" w:rsidR="00E0233F" w:rsidRPr="00E0233F" w:rsidRDefault="00E0233F" w:rsidP="00E0233F">
            <w:pPr>
              <w:spacing w:after="0"/>
              <w:rPr>
                <w:szCs w:val="24"/>
              </w:rPr>
            </w:pPr>
            <w:r w:rsidRPr="00E0233F">
              <w:rPr>
                <w:szCs w:val="24"/>
              </w:rPr>
              <w:t>O’Connell 2005</w:t>
            </w:r>
          </w:p>
        </w:tc>
        <w:tc>
          <w:tcPr>
            <w:tcW w:w="1537" w:type="dxa"/>
            <w:hideMark/>
          </w:tcPr>
          <w:p w14:paraId="58C9E4DB" w14:textId="77777777" w:rsidR="00E0233F" w:rsidRPr="00E0233F" w:rsidRDefault="00E0233F" w:rsidP="00E0233F">
            <w:pPr>
              <w:spacing w:after="0"/>
              <w:jc w:val="center"/>
              <w:rPr>
                <w:szCs w:val="24"/>
              </w:rPr>
            </w:pPr>
          </w:p>
        </w:tc>
        <w:tc>
          <w:tcPr>
            <w:tcW w:w="1536" w:type="dxa"/>
            <w:hideMark/>
          </w:tcPr>
          <w:p w14:paraId="545D987F" w14:textId="77777777" w:rsidR="00E0233F" w:rsidRPr="00E0233F" w:rsidRDefault="00E0233F" w:rsidP="00E0233F">
            <w:pPr>
              <w:spacing w:after="0"/>
              <w:jc w:val="center"/>
              <w:rPr>
                <w:szCs w:val="24"/>
              </w:rPr>
            </w:pPr>
            <w:r w:rsidRPr="00E0233F">
              <w:rPr>
                <w:b/>
                <w:bCs/>
                <w:szCs w:val="24"/>
              </w:rPr>
              <w:sym w:font="Wingdings 2" w:char="F050"/>
            </w:r>
          </w:p>
        </w:tc>
        <w:tc>
          <w:tcPr>
            <w:tcW w:w="1337" w:type="dxa"/>
            <w:hideMark/>
          </w:tcPr>
          <w:p w14:paraId="25B03267" w14:textId="77777777" w:rsidR="00E0233F" w:rsidRPr="00E0233F" w:rsidRDefault="00E0233F" w:rsidP="00E0233F">
            <w:pPr>
              <w:spacing w:after="0"/>
              <w:jc w:val="center"/>
              <w:rPr>
                <w:szCs w:val="24"/>
              </w:rPr>
            </w:pPr>
            <w:r w:rsidRPr="00E0233F">
              <w:rPr>
                <w:b/>
                <w:bCs/>
                <w:szCs w:val="24"/>
              </w:rPr>
              <w:sym w:font="Wingdings 2" w:char="F050"/>
            </w:r>
          </w:p>
        </w:tc>
        <w:tc>
          <w:tcPr>
            <w:tcW w:w="1429" w:type="dxa"/>
            <w:hideMark/>
          </w:tcPr>
          <w:p w14:paraId="738A7354" w14:textId="77777777" w:rsidR="00E0233F" w:rsidRPr="00E0233F" w:rsidRDefault="00E0233F" w:rsidP="00E0233F">
            <w:pPr>
              <w:spacing w:after="0"/>
              <w:jc w:val="center"/>
              <w:rPr>
                <w:szCs w:val="24"/>
              </w:rPr>
            </w:pPr>
            <w:r w:rsidRPr="00E0233F">
              <w:rPr>
                <w:b/>
                <w:bCs/>
                <w:szCs w:val="24"/>
              </w:rPr>
              <w:sym w:font="Wingdings 2" w:char="F050"/>
            </w:r>
          </w:p>
        </w:tc>
        <w:tc>
          <w:tcPr>
            <w:tcW w:w="1496" w:type="dxa"/>
            <w:hideMark/>
          </w:tcPr>
          <w:p w14:paraId="21775C85" w14:textId="77777777" w:rsidR="00E0233F" w:rsidRPr="00E0233F" w:rsidRDefault="00E0233F" w:rsidP="00E0233F">
            <w:pPr>
              <w:spacing w:after="0"/>
              <w:jc w:val="center"/>
              <w:rPr>
                <w:szCs w:val="24"/>
              </w:rPr>
            </w:pPr>
            <w:r w:rsidRPr="00E0233F">
              <w:rPr>
                <w:b/>
                <w:bCs/>
                <w:szCs w:val="24"/>
              </w:rPr>
              <w:sym w:font="Wingdings 2" w:char="F050"/>
            </w:r>
          </w:p>
        </w:tc>
        <w:tc>
          <w:tcPr>
            <w:tcW w:w="1790" w:type="dxa"/>
            <w:hideMark/>
          </w:tcPr>
          <w:p w14:paraId="7B252FA8" w14:textId="77777777" w:rsidR="00E0233F" w:rsidRPr="00E0233F" w:rsidRDefault="00E0233F" w:rsidP="00E0233F">
            <w:pPr>
              <w:spacing w:after="0"/>
              <w:jc w:val="center"/>
              <w:rPr>
                <w:szCs w:val="24"/>
              </w:rPr>
            </w:pPr>
          </w:p>
        </w:tc>
      </w:tr>
      <w:tr w:rsidR="00E0233F" w:rsidRPr="00E0233F" w14:paraId="5893F987" w14:textId="77777777" w:rsidTr="00210334">
        <w:trPr>
          <w:trHeight w:hRule="exact" w:val="432"/>
        </w:trPr>
        <w:tc>
          <w:tcPr>
            <w:tcW w:w="1908" w:type="dxa"/>
            <w:hideMark/>
          </w:tcPr>
          <w:p w14:paraId="56E336FD" w14:textId="77777777" w:rsidR="00E0233F" w:rsidRPr="00E0233F" w:rsidRDefault="00E0233F" w:rsidP="00E0233F">
            <w:pPr>
              <w:spacing w:after="0"/>
              <w:rPr>
                <w:szCs w:val="24"/>
              </w:rPr>
            </w:pPr>
            <w:r w:rsidRPr="00E0233F">
              <w:rPr>
                <w:szCs w:val="24"/>
              </w:rPr>
              <w:t>Wright 2001</w:t>
            </w:r>
          </w:p>
        </w:tc>
        <w:tc>
          <w:tcPr>
            <w:tcW w:w="1537" w:type="dxa"/>
            <w:hideMark/>
          </w:tcPr>
          <w:p w14:paraId="65C173F4" w14:textId="77777777" w:rsidR="00E0233F" w:rsidRPr="00E0233F" w:rsidRDefault="00E0233F" w:rsidP="00E0233F">
            <w:pPr>
              <w:spacing w:after="0"/>
              <w:jc w:val="center"/>
              <w:rPr>
                <w:szCs w:val="24"/>
              </w:rPr>
            </w:pPr>
          </w:p>
        </w:tc>
        <w:tc>
          <w:tcPr>
            <w:tcW w:w="1536" w:type="dxa"/>
            <w:hideMark/>
          </w:tcPr>
          <w:p w14:paraId="498A54FF" w14:textId="77777777" w:rsidR="00E0233F" w:rsidRPr="00E0233F" w:rsidRDefault="00E0233F" w:rsidP="00E0233F">
            <w:pPr>
              <w:spacing w:after="0"/>
              <w:jc w:val="center"/>
              <w:rPr>
                <w:szCs w:val="24"/>
              </w:rPr>
            </w:pPr>
            <w:r w:rsidRPr="00E0233F">
              <w:rPr>
                <w:b/>
                <w:bCs/>
                <w:szCs w:val="24"/>
              </w:rPr>
              <w:sym w:font="Wingdings 2" w:char="F050"/>
            </w:r>
          </w:p>
        </w:tc>
        <w:tc>
          <w:tcPr>
            <w:tcW w:w="1337" w:type="dxa"/>
            <w:hideMark/>
          </w:tcPr>
          <w:p w14:paraId="5AEB900E" w14:textId="77777777" w:rsidR="00E0233F" w:rsidRPr="00E0233F" w:rsidRDefault="00E0233F" w:rsidP="00E0233F">
            <w:pPr>
              <w:spacing w:after="0"/>
              <w:jc w:val="center"/>
              <w:rPr>
                <w:szCs w:val="24"/>
              </w:rPr>
            </w:pPr>
            <w:r w:rsidRPr="00E0233F">
              <w:rPr>
                <w:b/>
                <w:bCs/>
                <w:szCs w:val="24"/>
              </w:rPr>
              <w:sym w:font="Wingdings 2" w:char="F050"/>
            </w:r>
          </w:p>
        </w:tc>
        <w:tc>
          <w:tcPr>
            <w:tcW w:w="1429" w:type="dxa"/>
            <w:hideMark/>
          </w:tcPr>
          <w:p w14:paraId="1A0245A0" w14:textId="77777777" w:rsidR="00E0233F" w:rsidRPr="00E0233F" w:rsidRDefault="00E0233F" w:rsidP="00E0233F">
            <w:pPr>
              <w:spacing w:after="0"/>
              <w:jc w:val="center"/>
              <w:rPr>
                <w:szCs w:val="24"/>
              </w:rPr>
            </w:pPr>
          </w:p>
        </w:tc>
        <w:tc>
          <w:tcPr>
            <w:tcW w:w="1496" w:type="dxa"/>
            <w:hideMark/>
          </w:tcPr>
          <w:p w14:paraId="6435CB1D" w14:textId="77777777" w:rsidR="00E0233F" w:rsidRPr="00E0233F" w:rsidRDefault="00E0233F" w:rsidP="00E0233F">
            <w:pPr>
              <w:spacing w:after="0"/>
              <w:jc w:val="center"/>
              <w:rPr>
                <w:szCs w:val="24"/>
              </w:rPr>
            </w:pPr>
          </w:p>
        </w:tc>
        <w:tc>
          <w:tcPr>
            <w:tcW w:w="1790" w:type="dxa"/>
            <w:hideMark/>
          </w:tcPr>
          <w:p w14:paraId="7EBDF604" w14:textId="77777777" w:rsidR="00E0233F" w:rsidRPr="00E0233F" w:rsidRDefault="00E0233F" w:rsidP="00E0233F">
            <w:pPr>
              <w:spacing w:after="0"/>
              <w:jc w:val="center"/>
              <w:rPr>
                <w:szCs w:val="24"/>
              </w:rPr>
            </w:pPr>
          </w:p>
        </w:tc>
      </w:tr>
      <w:tr w:rsidR="00E0233F" w:rsidRPr="00E0233F" w14:paraId="5876DD99" w14:textId="77777777" w:rsidTr="00210334">
        <w:trPr>
          <w:trHeight w:hRule="exact" w:val="432"/>
        </w:trPr>
        <w:tc>
          <w:tcPr>
            <w:tcW w:w="1908" w:type="dxa"/>
            <w:hideMark/>
          </w:tcPr>
          <w:p w14:paraId="3FD89678" w14:textId="77777777" w:rsidR="00E0233F" w:rsidRPr="00E0233F" w:rsidRDefault="00E0233F" w:rsidP="00E0233F">
            <w:pPr>
              <w:spacing w:after="0"/>
              <w:rPr>
                <w:szCs w:val="24"/>
              </w:rPr>
            </w:pPr>
            <w:r w:rsidRPr="00E0233F">
              <w:rPr>
                <w:szCs w:val="24"/>
              </w:rPr>
              <w:t>Griffin 2001</w:t>
            </w:r>
          </w:p>
        </w:tc>
        <w:tc>
          <w:tcPr>
            <w:tcW w:w="1537" w:type="dxa"/>
            <w:hideMark/>
          </w:tcPr>
          <w:p w14:paraId="73115F0B" w14:textId="77777777" w:rsidR="00E0233F" w:rsidRPr="00E0233F" w:rsidRDefault="00E0233F" w:rsidP="00E0233F">
            <w:pPr>
              <w:spacing w:after="0"/>
              <w:jc w:val="center"/>
              <w:rPr>
                <w:szCs w:val="24"/>
              </w:rPr>
            </w:pPr>
          </w:p>
        </w:tc>
        <w:tc>
          <w:tcPr>
            <w:tcW w:w="1536" w:type="dxa"/>
            <w:hideMark/>
          </w:tcPr>
          <w:p w14:paraId="7C7826F2" w14:textId="77777777" w:rsidR="00E0233F" w:rsidRPr="00E0233F" w:rsidRDefault="00E0233F" w:rsidP="00E0233F">
            <w:pPr>
              <w:spacing w:after="0"/>
              <w:jc w:val="center"/>
              <w:rPr>
                <w:szCs w:val="24"/>
              </w:rPr>
            </w:pPr>
            <w:r w:rsidRPr="00E0233F">
              <w:rPr>
                <w:b/>
                <w:bCs/>
                <w:szCs w:val="24"/>
              </w:rPr>
              <w:sym w:font="Wingdings 2" w:char="F050"/>
            </w:r>
          </w:p>
        </w:tc>
        <w:tc>
          <w:tcPr>
            <w:tcW w:w="1337" w:type="dxa"/>
            <w:hideMark/>
          </w:tcPr>
          <w:p w14:paraId="287B1F28" w14:textId="77777777" w:rsidR="00E0233F" w:rsidRPr="00E0233F" w:rsidRDefault="00E0233F" w:rsidP="00E0233F">
            <w:pPr>
              <w:spacing w:after="0"/>
              <w:jc w:val="center"/>
              <w:rPr>
                <w:szCs w:val="24"/>
              </w:rPr>
            </w:pPr>
          </w:p>
        </w:tc>
        <w:tc>
          <w:tcPr>
            <w:tcW w:w="1429" w:type="dxa"/>
            <w:hideMark/>
          </w:tcPr>
          <w:p w14:paraId="16670425" w14:textId="77777777" w:rsidR="00E0233F" w:rsidRPr="00E0233F" w:rsidRDefault="00E0233F" w:rsidP="00E0233F">
            <w:pPr>
              <w:spacing w:after="0"/>
              <w:jc w:val="center"/>
              <w:rPr>
                <w:szCs w:val="24"/>
              </w:rPr>
            </w:pPr>
            <w:r w:rsidRPr="00E0233F">
              <w:rPr>
                <w:b/>
                <w:bCs/>
                <w:szCs w:val="24"/>
              </w:rPr>
              <w:sym w:font="Wingdings 2" w:char="F050"/>
            </w:r>
          </w:p>
        </w:tc>
        <w:tc>
          <w:tcPr>
            <w:tcW w:w="1496" w:type="dxa"/>
            <w:hideMark/>
          </w:tcPr>
          <w:p w14:paraId="0916C547" w14:textId="77777777" w:rsidR="00E0233F" w:rsidRPr="00E0233F" w:rsidRDefault="00E0233F" w:rsidP="00E0233F">
            <w:pPr>
              <w:spacing w:after="0"/>
              <w:jc w:val="center"/>
              <w:rPr>
                <w:szCs w:val="24"/>
              </w:rPr>
            </w:pPr>
            <w:r w:rsidRPr="00E0233F">
              <w:rPr>
                <w:b/>
                <w:bCs/>
                <w:szCs w:val="24"/>
              </w:rPr>
              <w:sym w:font="Wingdings 2" w:char="F050"/>
            </w:r>
          </w:p>
        </w:tc>
        <w:tc>
          <w:tcPr>
            <w:tcW w:w="1790" w:type="dxa"/>
            <w:hideMark/>
          </w:tcPr>
          <w:p w14:paraId="499AF35C" w14:textId="77777777" w:rsidR="00E0233F" w:rsidRPr="00E0233F" w:rsidRDefault="00E0233F" w:rsidP="00E0233F">
            <w:pPr>
              <w:spacing w:after="0"/>
              <w:jc w:val="center"/>
              <w:rPr>
                <w:szCs w:val="24"/>
              </w:rPr>
            </w:pPr>
          </w:p>
        </w:tc>
      </w:tr>
    </w:tbl>
    <w:p w14:paraId="632013DE" w14:textId="5C6A5BFB" w:rsidR="00E0233F" w:rsidRDefault="00834636" w:rsidP="00C100CC">
      <w:pPr>
        <w:spacing w:after="0" w:line="276" w:lineRule="auto"/>
        <w:rPr>
          <w:rFonts w:eastAsiaTheme="minorHAnsi"/>
          <w:szCs w:val="24"/>
        </w:rPr>
      </w:pPr>
      <w:r>
        <w:rPr>
          <w:rFonts w:eastAsiaTheme="minorHAnsi"/>
          <w:szCs w:val="24"/>
          <w:vertAlign w:val="superscript"/>
        </w:rPr>
        <w:t xml:space="preserve">a </w:t>
      </w:r>
      <w:r w:rsidRPr="00834636">
        <w:rPr>
          <w:rFonts w:eastAsiaTheme="minorHAnsi"/>
          <w:szCs w:val="24"/>
        </w:rPr>
        <w:t>Major benefit drivers</w:t>
      </w:r>
    </w:p>
    <w:p w14:paraId="035C34A5" w14:textId="4A897C39" w:rsidR="00E0233F" w:rsidRPr="00E0233F" w:rsidRDefault="00834636" w:rsidP="00C100CC">
      <w:pPr>
        <w:spacing w:after="0"/>
        <w:rPr>
          <w:rFonts w:eastAsiaTheme="minorHAnsi"/>
          <w:szCs w:val="24"/>
        </w:rPr>
      </w:pPr>
      <w:r>
        <w:rPr>
          <w:rFonts w:eastAsiaTheme="minorHAnsi"/>
          <w:szCs w:val="24"/>
          <w:vertAlign w:val="superscript"/>
        </w:rPr>
        <w:t xml:space="preserve">b </w:t>
      </w:r>
      <w:r>
        <w:rPr>
          <w:rFonts w:eastAsiaTheme="minorHAnsi"/>
          <w:szCs w:val="24"/>
        </w:rPr>
        <w:t>Also cost-effectiveness studies but used DALY</w:t>
      </w:r>
      <w:r w:rsidR="009F26CE">
        <w:rPr>
          <w:rFonts w:eastAsiaTheme="minorHAnsi"/>
          <w:szCs w:val="24"/>
        </w:rPr>
        <w:t>, disability-adjusted life year</w:t>
      </w:r>
      <w:r w:rsidR="00E0233F" w:rsidRPr="00E0233F">
        <w:rPr>
          <w:rFonts w:eastAsiaTheme="minorHAnsi"/>
          <w:szCs w:val="24"/>
        </w:rPr>
        <w:br w:type="page"/>
      </w:r>
    </w:p>
    <w:tbl>
      <w:tblPr>
        <w:tblStyle w:val="TableGrid2"/>
        <w:tblpPr w:leftFromText="180" w:rightFromText="180" w:vertAnchor="text" w:horzAnchor="margin" w:tblpXSpec="center" w:tblpY="469"/>
        <w:tblW w:w="11250" w:type="dxa"/>
        <w:tblLayout w:type="fixed"/>
        <w:tblLook w:val="0420" w:firstRow="1" w:lastRow="0" w:firstColumn="0" w:lastColumn="0" w:noHBand="0" w:noVBand="1"/>
      </w:tblPr>
      <w:tblGrid>
        <w:gridCol w:w="1908"/>
        <w:gridCol w:w="1800"/>
        <w:gridCol w:w="2142"/>
        <w:gridCol w:w="990"/>
        <w:gridCol w:w="1458"/>
        <w:gridCol w:w="1350"/>
        <w:gridCol w:w="1602"/>
      </w:tblGrid>
      <w:tr w:rsidR="00A743DD" w:rsidRPr="00E0137A" w14:paraId="2282B2F8" w14:textId="77777777" w:rsidTr="00A743DD">
        <w:trPr>
          <w:trHeight w:val="651"/>
        </w:trPr>
        <w:tc>
          <w:tcPr>
            <w:tcW w:w="1908" w:type="dxa"/>
            <w:hideMark/>
          </w:tcPr>
          <w:p w14:paraId="6B83622E" w14:textId="77777777" w:rsidR="00A743DD" w:rsidRPr="00E0137A" w:rsidRDefault="00A743DD" w:rsidP="00A743DD">
            <w:pPr>
              <w:spacing w:after="0"/>
              <w:rPr>
                <w:szCs w:val="24"/>
              </w:rPr>
            </w:pPr>
            <w:r w:rsidRPr="00E0137A">
              <w:rPr>
                <w:b/>
                <w:bCs/>
                <w:szCs w:val="24"/>
              </w:rPr>
              <w:t xml:space="preserve">Study </w:t>
            </w:r>
          </w:p>
        </w:tc>
        <w:tc>
          <w:tcPr>
            <w:tcW w:w="1800" w:type="dxa"/>
            <w:hideMark/>
          </w:tcPr>
          <w:p w14:paraId="2A5A70D4" w14:textId="77777777" w:rsidR="00A743DD" w:rsidRPr="00E0137A" w:rsidRDefault="00A743DD" w:rsidP="00A743DD">
            <w:pPr>
              <w:spacing w:after="0"/>
              <w:rPr>
                <w:szCs w:val="24"/>
              </w:rPr>
            </w:pPr>
            <w:r w:rsidRPr="00E0137A">
              <w:rPr>
                <w:b/>
                <w:bCs/>
                <w:szCs w:val="24"/>
              </w:rPr>
              <w:t>Examination</w:t>
            </w:r>
          </w:p>
        </w:tc>
        <w:tc>
          <w:tcPr>
            <w:tcW w:w="2142" w:type="dxa"/>
            <w:hideMark/>
          </w:tcPr>
          <w:p w14:paraId="6AA74111" w14:textId="77777777" w:rsidR="00A743DD" w:rsidRPr="00E0137A" w:rsidRDefault="00A743DD" w:rsidP="00A743DD">
            <w:pPr>
              <w:spacing w:after="0"/>
              <w:rPr>
                <w:szCs w:val="24"/>
              </w:rPr>
            </w:pPr>
            <w:r w:rsidRPr="00E0137A">
              <w:rPr>
                <w:b/>
                <w:bCs/>
                <w:szCs w:val="24"/>
              </w:rPr>
              <w:t>Restoration</w:t>
            </w:r>
          </w:p>
        </w:tc>
        <w:tc>
          <w:tcPr>
            <w:tcW w:w="990" w:type="dxa"/>
            <w:hideMark/>
          </w:tcPr>
          <w:p w14:paraId="2D781107" w14:textId="77777777" w:rsidR="00A743DD" w:rsidRPr="00E0137A" w:rsidRDefault="00A743DD" w:rsidP="00A743DD">
            <w:pPr>
              <w:spacing w:after="0"/>
              <w:rPr>
                <w:szCs w:val="24"/>
              </w:rPr>
            </w:pPr>
            <w:r w:rsidRPr="00E0137A">
              <w:rPr>
                <w:b/>
                <w:bCs/>
                <w:szCs w:val="24"/>
              </w:rPr>
              <w:t>Extract-ion</w:t>
            </w:r>
          </w:p>
        </w:tc>
        <w:tc>
          <w:tcPr>
            <w:tcW w:w="1458" w:type="dxa"/>
            <w:hideMark/>
          </w:tcPr>
          <w:p w14:paraId="723209F0" w14:textId="77777777" w:rsidR="00A743DD" w:rsidRPr="00E0137A" w:rsidRDefault="00A743DD" w:rsidP="00A743DD">
            <w:pPr>
              <w:spacing w:after="0"/>
              <w:rPr>
                <w:szCs w:val="24"/>
              </w:rPr>
            </w:pPr>
            <w:r w:rsidRPr="00E0137A">
              <w:rPr>
                <w:b/>
                <w:bCs/>
                <w:szCs w:val="24"/>
              </w:rPr>
              <w:t>Producti-vity</w:t>
            </w:r>
          </w:p>
        </w:tc>
        <w:tc>
          <w:tcPr>
            <w:tcW w:w="1350" w:type="dxa"/>
            <w:hideMark/>
          </w:tcPr>
          <w:p w14:paraId="04B43893" w14:textId="77777777" w:rsidR="00A743DD" w:rsidRPr="00E0137A" w:rsidRDefault="00A743DD" w:rsidP="00A743DD">
            <w:pPr>
              <w:spacing w:after="0"/>
              <w:rPr>
                <w:szCs w:val="24"/>
              </w:rPr>
            </w:pPr>
            <w:r w:rsidRPr="00E0137A">
              <w:rPr>
                <w:b/>
                <w:bCs/>
                <w:szCs w:val="24"/>
              </w:rPr>
              <w:t>Travel</w:t>
            </w:r>
          </w:p>
        </w:tc>
        <w:tc>
          <w:tcPr>
            <w:tcW w:w="1602" w:type="dxa"/>
            <w:hideMark/>
          </w:tcPr>
          <w:p w14:paraId="10EB0099" w14:textId="77777777" w:rsidR="00A743DD" w:rsidRPr="00E0137A" w:rsidRDefault="00A743DD" w:rsidP="00A743DD">
            <w:pPr>
              <w:spacing w:after="0"/>
              <w:rPr>
                <w:szCs w:val="24"/>
              </w:rPr>
            </w:pPr>
            <w:r w:rsidRPr="00E0137A">
              <w:rPr>
                <w:b/>
                <w:bCs/>
                <w:szCs w:val="24"/>
              </w:rPr>
              <w:t>Time per visit (hrs)</w:t>
            </w:r>
          </w:p>
        </w:tc>
      </w:tr>
      <w:tr w:rsidR="00A743DD" w:rsidRPr="00E0137A" w14:paraId="68084089" w14:textId="77777777" w:rsidTr="00A743DD">
        <w:trPr>
          <w:trHeight w:hRule="exact" w:val="360"/>
        </w:trPr>
        <w:tc>
          <w:tcPr>
            <w:tcW w:w="1908" w:type="dxa"/>
            <w:hideMark/>
          </w:tcPr>
          <w:p w14:paraId="0B188F37" w14:textId="77777777" w:rsidR="00A743DD" w:rsidRPr="00E0137A" w:rsidRDefault="00A743DD" w:rsidP="00A743DD">
            <w:pPr>
              <w:spacing w:after="0"/>
              <w:rPr>
                <w:szCs w:val="24"/>
              </w:rPr>
            </w:pPr>
            <w:r w:rsidRPr="00E0137A">
              <w:rPr>
                <w:szCs w:val="24"/>
              </w:rPr>
              <w:t>Tchouaket 2013</w:t>
            </w:r>
          </w:p>
        </w:tc>
        <w:tc>
          <w:tcPr>
            <w:tcW w:w="1800" w:type="dxa"/>
            <w:hideMark/>
          </w:tcPr>
          <w:p w14:paraId="483AF085" w14:textId="77777777" w:rsidR="00A743DD" w:rsidRPr="00E0137A" w:rsidRDefault="00A743DD" w:rsidP="00A743DD">
            <w:pPr>
              <w:spacing w:after="0"/>
              <w:jc w:val="center"/>
              <w:rPr>
                <w:szCs w:val="24"/>
                <w:vertAlign w:val="superscript"/>
              </w:rPr>
            </w:pPr>
            <w:r w:rsidRPr="00E0137A">
              <w:rPr>
                <w:szCs w:val="24"/>
              </w:rPr>
              <w:t>[36.12, 78.81]</w:t>
            </w:r>
            <w:r w:rsidRPr="00E0137A">
              <w:rPr>
                <w:szCs w:val="24"/>
                <w:vertAlign w:val="superscript"/>
              </w:rPr>
              <w:t>a</w:t>
            </w:r>
          </w:p>
        </w:tc>
        <w:tc>
          <w:tcPr>
            <w:tcW w:w="2142" w:type="dxa"/>
            <w:hideMark/>
          </w:tcPr>
          <w:p w14:paraId="1829F95B" w14:textId="77777777" w:rsidR="00A743DD" w:rsidRPr="00E0137A" w:rsidRDefault="00A743DD" w:rsidP="00A743DD">
            <w:pPr>
              <w:spacing w:after="0"/>
              <w:jc w:val="center"/>
              <w:rPr>
                <w:szCs w:val="24"/>
                <w:vertAlign w:val="superscript"/>
              </w:rPr>
            </w:pPr>
            <w:r w:rsidRPr="00E0137A">
              <w:rPr>
                <w:szCs w:val="24"/>
              </w:rPr>
              <w:t>[61.52, 116.03]</w:t>
            </w:r>
            <w:r w:rsidRPr="00E0137A">
              <w:rPr>
                <w:szCs w:val="24"/>
                <w:vertAlign w:val="superscript"/>
              </w:rPr>
              <w:t>a</w:t>
            </w:r>
          </w:p>
        </w:tc>
        <w:tc>
          <w:tcPr>
            <w:tcW w:w="990" w:type="dxa"/>
            <w:hideMark/>
          </w:tcPr>
          <w:p w14:paraId="1D4FE623" w14:textId="77777777" w:rsidR="00A743DD" w:rsidRPr="00E0137A" w:rsidRDefault="00A743DD" w:rsidP="00A743DD">
            <w:pPr>
              <w:spacing w:after="0"/>
              <w:jc w:val="center"/>
              <w:rPr>
                <w:szCs w:val="24"/>
              </w:rPr>
            </w:pPr>
            <w:r>
              <w:rPr>
                <w:b/>
                <w:bCs/>
                <w:szCs w:val="24"/>
              </w:rPr>
              <w:t>—</w:t>
            </w:r>
          </w:p>
        </w:tc>
        <w:tc>
          <w:tcPr>
            <w:tcW w:w="1458" w:type="dxa"/>
            <w:hideMark/>
          </w:tcPr>
          <w:p w14:paraId="1D3C8A88" w14:textId="77777777" w:rsidR="00A743DD" w:rsidRPr="00E0137A" w:rsidRDefault="00A743DD" w:rsidP="00A743DD">
            <w:pPr>
              <w:spacing w:after="0"/>
              <w:jc w:val="center"/>
              <w:rPr>
                <w:szCs w:val="24"/>
              </w:rPr>
            </w:pPr>
            <w:r w:rsidRPr="00E0137A">
              <w:rPr>
                <w:szCs w:val="24"/>
              </w:rPr>
              <w:t>8.45/hour</w:t>
            </w:r>
          </w:p>
        </w:tc>
        <w:tc>
          <w:tcPr>
            <w:tcW w:w="1350" w:type="dxa"/>
            <w:hideMark/>
          </w:tcPr>
          <w:p w14:paraId="369B57A0" w14:textId="77777777" w:rsidR="00A743DD" w:rsidRPr="00E0137A" w:rsidRDefault="00A743DD" w:rsidP="00A743DD">
            <w:pPr>
              <w:spacing w:after="0"/>
              <w:jc w:val="center"/>
              <w:rPr>
                <w:szCs w:val="24"/>
                <w:vertAlign w:val="superscript"/>
              </w:rPr>
            </w:pPr>
            <w:r w:rsidRPr="00E0137A">
              <w:rPr>
                <w:szCs w:val="24"/>
              </w:rPr>
              <w:t>[2.7, 5.38]</w:t>
            </w:r>
            <w:r w:rsidRPr="00E0137A">
              <w:rPr>
                <w:szCs w:val="24"/>
                <w:vertAlign w:val="superscript"/>
              </w:rPr>
              <w:t>a</w:t>
            </w:r>
          </w:p>
        </w:tc>
        <w:tc>
          <w:tcPr>
            <w:tcW w:w="1602" w:type="dxa"/>
            <w:hideMark/>
          </w:tcPr>
          <w:p w14:paraId="007D7543" w14:textId="77777777" w:rsidR="00A743DD" w:rsidRPr="00E0137A" w:rsidRDefault="00A743DD" w:rsidP="00A743DD">
            <w:pPr>
              <w:spacing w:after="0"/>
              <w:jc w:val="center"/>
              <w:rPr>
                <w:szCs w:val="24"/>
                <w:vertAlign w:val="superscript"/>
              </w:rPr>
            </w:pPr>
            <w:r w:rsidRPr="00E0137A">
              <w:rPr>
                <w:szCs w:val="24"/>
              </w:rPr>
              <w:t>[1.43, 2.84]</w:t>
            </w:r>
            <w:r w:rsidRPr="00E0137A">
              <w:rPr>
                <w:szCs w:val="24"/>
                <w:vertAlign w:val="superscript"/>
              </w:rPr>
              <w:t>a</w:t>
            </w:r>
          </w:p>
        </w:tc>
      </w:tr>
      <w:tr w:rsidR="00A743DD" w:rsidRPr="00E0137A" w14:paraId="35A5FAB8" w14:textId="77777777" w:rsidTr="00A743DD">
        <w:trPr>
          <w:trHeight w:hRule="exact" w:val="360"/>
        </w:trPr>
        <w:tc>
          <w:tcPr>
            <w:tcW w:w="1908" w:type="dxa"/>
            <w:hideMark/>
          </w:tcPr>
          <w:p w14:paraId="1FA0C6A0" w14:textId="77777777" w:rsidR="00A743DD" w:rsidRPr="00E0137A" w:rsidRDefault="00A743DD" w:rsidP="00A743DD">
            <w:pPr>
              <w:spacing w:after="0"/>
              <w:rPr>
                <w:szCs w:val="24"/>
              </w:rPr>
            </w:pPr>
            <w:r w:rsidRPr="00E0137A">
              <w:rPr>
                <w:szCs w:val="24"/>
              </w:rPr>
              <w:t>Cobiac 2012</w:t>
            </w:r>
          </w:p>
        </w:tc>
        <w:tc>
          <w:tcPr>
            <w:tcW w:w="1800" w:type="dxa"/>
            <w:hideMark/>
          </w:tcPr>
          <w:p w14:paraId="75F0BAEB" w14:textId="77777777" w:rsidR="00A743DD" w:rsidRPr="00E0137A" w:rsidRDefault="00A743DD" w:rsidP="00A743DD">
            <w:pPr>
              <w:spacing w:after="0"/>
              <w:jc w:val="center"/>
              <w:rPr>
                <w:szCs w:val="24"/>
              </w:rPr>
            </w:pPr>
            <w:r w:rsidRPr="00E0137A">
              <w:rPr>
                <w:szCs w:val="24"/>
              </w:rPr>
              <w:t>42.2 (12.2)</w:t>
            </w:r>
          </w:p>
        </w:tc>
        <w:tc>
          <w:tcPr>
            <w:tcW w:w="2142" w:type="dxa"/>
            <w:hideMark/>
          </w:tcPr>
          <w:p w14:paraId="2F3FBE8F" w14:textId="77777777" w:rsidR="00A743DD" w:rsidRPr="00E0137A" w:rsidRDefault="00A743DD" w:rsidP="00A743DD">
            <w:pPr>
              <w:spacing w:after="0"/>
              <w:jc w:val="center"/>
              <w:rPr>
                <w:szCs w:val="24"/>
              </w:rPr>
            </w:pPr>
            <w:r w:rsidRPr="00E0137A">
              <w:rPr>
                <w:szCs w:val="24"/>
              </w:rPr>
              <w:t>102.2 (19.69)</w:t>
            </w:r>
          </w:p>
        </w:tc>
        <w:tc>
          <w:tcPr>
            <w:tcW w:w="990" w:type="dxa"/>
            <w:hideMark/>
          </w:tcPr>
          <w:p w14:paraId="3B7E5116" w14:textId="77777777" w:rsidR="00A743DD" w:rsidRPr="00E0137A" w:rsidRDefault="00A743DD" w:rsidP="00A743DD">
            <w:pPr>
              <w:spacing w:after="0"/>
              <w:jc w:val="center"/>
              <w:rPr>
                <w:szCs w:val="24"/>
              </w:rPr>
            </w:pPr>
            <w:r>
              <w:rPr>
                <w:szCs w:val="24"/>
              </w:rPr>
              <w:t>—</w:t>
            </w:r>
          </w:p>
        </w:tc>
        <w:tc>
          <w:tcPr>
            <w:tcW w:w="1458" w:type="dxa"/>
            <w:hideMark/>
          </w:tcPr>
          <w:p w14:paraId="77F98A5C" w14:textId="77777777" w:rsidR="00A743DD" w:rsidRPr="00E0137A" w:rsidRDefault="00A743DD" w:rsidP="00A743DD">
            <w:pPr>
              <w:spacing w:after="0"/>
              <w:jc w:val="center"/>
              <w:rPr>
                <w:szCs w:val="24"/>
              </w:rPr>
            </w:pPr>
            <w:r>
              <w:rPr>
                <w:b/>
                <w:bCs/>
                <w:szCs w:val="24"/>
              </w:rPr>
              <w:t>—</w:t>
            </w:r>
          </w:p>
        </w:tc>
        <w:tc>
          <w:tcPr>
            <w:tcW w:w="1350" w:type="dxa"/>
            <w:hideMark/>
          </w:tcPr>
          <w:p w14:paraId="3B3DF5AA" w14:textId="77777777" w:rsidR="00A743DD" w:rsidRPr="00E0137A" w:rsidRDefault="00A743DD" w:rsidP="00A743DD">
            <w:pPr>
              <w:spacing w:after="0"/>
              <w:jc w:val="center"/>
              <w:rPr>
                <w:szCs w:val="24"/>
              </w:rPr>
            </w:pPr>
            <w:r>
              <w:rPr>
                <w:b/>
                <w:bCs/>
                <w:szCs w:val="24"/>
              </w:rPr>
              <w:t>—</w:t>
            </w:r>
          </w:p>
        </w:tc>
        <w:tc>
          <w:tcPr>
            <w:tcW w:w="1602" w:type="dxa"/>
            <w:hideMark/>
          </w:tcPr>
          <w:p w14:paraId="5306598B" w14:textId="77777777" w:rsidR="00A743DD" w:rsidRPr="00E0137A" w:rsidRDefault="00A743DD" w:rsidP="00A743DD">
            <w:pPr>
              <w:spacing w:after="0"/>
              <w:jc w:val="center"/>
              <w:rPr>
                <w:szCs w:val="24"/>
              </w:rPr>
            </w:pPr>
            <w:r>
              <w:rPr>
                <w:b/>
                <w:bCs/>
                <w:szCs w:val="24"/>
              </w:rPr>
              <w:t>—</w:t>
            </w:r>
          </w:p>
        </w:tc>
      </w:tr>
      <w:tr w:rsidR="00A743DD" w:rsidRPr="00E0137A" w14:paraId="5F6E32C2" w14:textId="77777777" w:rsidTr="00A743DD">
        <w:trPr>
          <w:trHeight w:hRule="exact" w:val="360"/>
        </w:trPr>
        <w:tc>
          <w:tcPr>
            <w:tcW w:w="1908" w:type="dxa"/>
            <w:hideMark/>
          </w:tcPr>
          <w:p w14:paraId="3B903AC9" w14:textId="77777777" w:rsidR="00A743DD" w:rsidRPr="00E0137A" w:rsidRDefault="00A743DD" w:rsidP="00A743DD">
            <w:pPr>
              <w:spacing w:after="0"/>
              <w:rPr>
                <w:szCs w:val="24"/>
              </w:rPr>
            </w:pPr>
            <w:r w:rsidRPr="00E0137A">
              <w:rPr>
                <w:szCs w:val="24"/>
              </w:rPr>
              <w:t>Ciketic 2010</w:t>
            </w:r>
          </w:p>
        </w:tc>
        <w:tc>
          <w:tcPr>
            <w:tcW w:w="1800" w:type="dxa"/>
            <w:hideMark/>
          </w:tcPr>
          <w:p w14:paraId="272C17F9" w14:textId="77777777" w:rsidR="00A743DD" w:rsidRPr="00E0137A" w:rsidRDefault="00A743DD" w:rsidP="00A743DD">
            <w:pPr>
              <w:spacing w:after="0"/>
              <w:jc w:val="center"/>
              <w:rPr>
                <w:szCs w:val="24"/>
              </w:rPr>
            </w:pPr>
            <w:r>
              <w:rPr>
                <w:b/>
                <w:bCs/>
                <w:szCs w:val="24"/>
              </w:rPr>
              <w:t>—</w:t>
            </w:r>
          </w:p>
        </w:tc>
        <w:tc>
          <w:tcPr>
            <w:tcW w:w="2142" w:type="dxa"/>
            <w:hideMark/>
          </w:tcPr>
          <w:p w14:paraId="61A074F6" w14:textId="77777777" w:rsidR="00A743DD" w:rsidRPr="00E0137A" w:rsidRDefault="00A743DD" w:rsidP="00A743DD">
            <w:pPr>
              <w:spacing w:after="0"/>
              <w:jc w:val="center"/>
              <w:rPr>
                <w:szCs w:val="24"/>
              </w:rPr>
            </w:pPr>
            <w:r w:rsidRPr="00E0137A">
              <w:rPr>
                <w:szCs w:val="24"/>
              </w:rPr>
              <w:t>143.99</w:t>
            </w:r>
          </w:p>
        </w:tc>
        <w:tc>
          <w:tcPr>
            <w:tcW w:w="990" w:type="dxa"/>
            <w:hideMark/>
          </w:tcPr>
          <w:p w14:paraId="63B3E279" w14:textId="77777777" w:rsidR="00A743DD" w:rsidRPr="00E0137A" w:rsidRDefault="00A743DD" w:rsidP="00A743DD">
            <w:pPr>
              <w:spacing w:after="0"/>
              <w:jc w:val="center"/>
              <w:rPr>
                <w:szCs w:val="24"/>
              </w:rPr>
            </w:pPr>
            <w:r>
              <w:rPr>
                <w:b/>
                <w:bCs/>
                <w:szCs w:val="24"/>
              </w:rPr>
              <w:t>—</w:t>
            </w:r>
          </w:p>
        </w:tc>
        <w:tc>
          <w:tcPr>
            <w:tcW w:w="1458" w:type="dxa"/>
            <w:hideMark/>
          </w:tcPr>
          <w:p w14:paraId="07042563" w14:textId="77777777" w:rsidR="00A743DD" w:rsidRPr="00E0137A" w:rsidRDefault="00A743DD" w:rsidP="00A743DD">
            <w:pPr>
              <w:spacing w:after="0"/>
              <w:jc w:val="center"/>
              <w:rPr>
                <w:szCs w:val="24"/>
              </w:rPr>
            </w:pPr>
            <w:r>
              <w:rPr>
                <w:b/>
                <w:bCs/>
                <w:szCs w:val="24"/>
              </w:rPr>
              <w:t>—</w:t>
            </w:r>
          </w:p>
        </w:tc>
        <w:tc>
          <w:tcPr>
            <w:tcW w:w="1350" w:type="dxa"/>
            <w:hideMark/>
          </w:tcPr>
          <w:p w14:paraId="451AE9E2" w14:textId="77777777" w:rsidR="00A743DD" w:rsidRPr="00E0137A" w:rsidRDefault="00A743DD" w:rsidP="00A743DD">
            <w:pPr>
              <w:spacing w:after="0"/>
              <w:jc w:val="center"/>
              <w:rPr>
                <w:szCs w:val="24"/>
              </w:rPr>
            </w:pPr>
            <w:r>
              <w:rPr>
                <w:b/>
                <w:bCs/>
                <w:szCs w:val="24"/>
              </w:rPr>
              <w:t>—</w:t>
            </w:r>
          </w:p>
        </w:tc>
        <w:tc>
          <w:tcPr>
            <w:tcW w:w="1602" w:type="dxa"/>
            <w:hideMark/>
          </w:tcPr>
          <w:p w14:paraId="348B4F4E" w14:textId="77777777" w:rsidR="00A743DD" w:rsidRPr="00E0137A" w:rsidRDefault="00A743DD" w:rsidP="00A743DD">
            <w:pPr>
              <w:spacing w:after="0"/>
              <w:jc w:val="center"/>
              <w:rPr>
                <w:szCs w:val="24"/>
              </w:rPr>
            </w:pPr>
            <w:r>
              <w:rPr>
                <w:b/>
                <w:bCs/>
                <w:szCs w:val="24"/>
              </w:rPr>
              <w:t>—</w:t>
            </w:r>
          </w:p>
        </w:tc>
      </w:tr>
      <w:tr w:rsidR="00A743DD" w:rsidRPr="00E0137A" w14:paraId="73316FD3" w14:textId="77777777" w:rsidTr="00A743DD">
        <w:trPr>
          <w:trHeight w:hRule="exact" w:val="360"/>
        </w:trPr>
        <w:tc>
          <w:tcPr>
            <w:tcW w:w="1908" w:type="dxa"/>
            <w:hideMark/>
          </w:tcPr>
          <w:p w14:paraId="219E2AFF" w14:textId="77777777" w:rsidR="00A743DD" w:rsidRPr="00E0137A" w:rsidRDefault="00A743DD" w:rsidP="00A743DD">
            <w:pPr>
              <w:spacing w:after="0"/>
              <w:rPr>
                <w:szCs w:val="24"/>
              </w:rPr>
            </w:pPr>
            <w:r w:rsidRPr="00E0137A">
              <w:rPr>
                <w:szCs w:val="24"/>
              </w:rPr>
              <w:t>O’Connell 2005</w:t>
            </w:r>
          </w:p>
        </w:tc>
        <w:tc>
          <w:tcPr>
            <w:tcW w:w="1800" w:type="dxa"/>
            <w:hideMark/>
          </w:tcPr>
          <w:p w14:paraId="4BE44F67" w14:textId="77777777" w:rsidR="00A743DD" w:rsidRPr="00E0137A" w:rsidRDefault="00A743DD" w:rsidP="00A743DD">
            <w:pPr>
              <w:spacing w:after="0"/>
              <w:jc w:val="center"/>
              <w:rPr>
                <w:szCs w:val="24"/>
              </w:rPr>
            </w:pPr>
            <w:r>
              <w:rPr>
                <w:b/>
                <w:bCs/>
                <w:szCs w:val="24"/>
              </w:rPr>
              <w:t>—</w:t>
            </w:r>
          </w:p>
        </w:tc>
        <w:tc>
          <w:tcPr>
            <w:tcW w:w="2142" w:type="dxa"/>
            <w:hideMark/>
          </w:tcPr>
          <w:p w14:paraId="10C7094C" w14:textId="77777777" w:rsidR="00A743DD" w:rsidRPr="00E0137A" w:rsidRDefault="00A743DD" w:rsidP="00A743DD">
            <w:pPr>
              <w:spacing w:after="0"/>
              <w:jc w:val="center"/>
              <w:rPr>
                <w:szCs w:val="24"/>
                <w:vertAlign w:val="superscript"/>
              </w:rPr>
            </w:pPr>
            <w:r w:rsidRPr="00E0137A">
              <w:rPr>
                <w:szCs w:val="24"/>
              </w:rPr>
              <w:t>[178.5, 384.86]</w:t>
            </w:r>
            <w:r w:rsidRPr="00E0137A">
              <w:rPr>
                <w:szCs w:val="24"/>
                <w:vertAlign w:val="superscript"/>
              </w:rPr>
              <w:t>b</w:t>
            </w:r>
          </w:p>
        </w:tc>
        <w:tc>
          <w:tcPr>
            <w:tcW w:w="990" w:type="dxa"/>
            <w:hideMark/>
          </w:tcPr>
          <w:p w14:paraId="3EBC6B25" w14:textId="77777777" w:rsidR="00A743DD" w:rsidRPr="00E0137A" w:rsidRDefault="00A743DD" w:rsidP="00A743DD">
            <w:pPr>
              <w:spacing w:after="0"/>
              <w:jc w:val="center"/>
              <w:rPr>
                <w:szCs w:val="24"/>
              </w:rPr>
            </w:pPr>
            <w:r w:rsidRPr="00E0137A">
              <w:rPr>
                <w:szCs w:val="24"/>
              </w:rPr>
              <w:t>121.54</w:t>
            </w:r>
          </w:p>
        </w:tc>
        <w:tc>
          <w:tcPr>
            <w:tcW w:w="1458" w:type="dxa"/>
            <w:hideMark/>
          </w:tcPr>
          <w:p w14:paraId="5D674FAB" w14:textId="77777777" w:rsidR="00A743DD" w:rsidRPr="00E0137A" w:rsidRDefault="00A743DD" w:rsidP="00A743DD">
            <w:pPr>
              <w:spacing w:after="0"/>
              <w:jc w:val="center"/>
              <w:rPr>
                <w:szCs w:val="24"/>
              </w:rPr>
            </w:pPr>
            <w:r w:rsidRPr="00E0137A">
              <w:rPr>
                <w:szCs w:val="24"/>
              </w:rPr>
              <w:t>25.46/hour</w:t>
            </w:r>
          </w:p>
        </w:tc>
        <w:tc>
          <w:tcPr>
            <w:tcW w:w="1350" w:type="dxa"/>
            <w:hideMark/>
          </w:tcPr>
          <w:p w14:paraId="5F683C2B" w14:textId="77777777" w:rsidR="00A743DD" w:rsidRPr="00E0137A" w:rsidRDefault="00A743DD" w:rsidP="00A743DD">
            <w:pPr>
              <w:spacing w:after="0"/>
              <w:jc w:val="center"/>
              <w:rPr>
                <w:szCs w:val="24"/>
              </w:rPr>
            </w:pPr>
            <w:r>
              <w:rPr>
                <w:b/>
                <w:bCs/>
                <w:szCs w:val="24"/>
              </w:rPr>
              <w:t>—</w:t>
            </w:r>
          </w:p>
        </w:tc>
        <w:tc>
          <w:tcPr>
            <w:tcW w:w="1602" w:type="dxa"/>
            <w:hideMark/>
          </w:tcPr>
          <w:p w14:paraId="3CD930C9" w14:textId="77777777" w:rsidR="00A743DD" w:rsidRPr="00E0137A" w:rsidRDefault="00A743DD" w:rsidP="00A743DD">
            <w:pPr>
              <w:spacing w:after="0"/>
              <w:jc w:val="center"/>
              <w:rPr>
                <w:szCs w:val="24"/>
              </w:rPr>
            </w:pPr>
            <w:r w:rsidRPr="00E0137A">
              <w:rPr>
                <w:szCs w:val="24"/>
              </w:rPr>
              <w:t>1.6</w:t>
            </w:r>
          </w:p>
        </w:tc>
      </w:tr>
      <w:tr w:rsidR="00A743DD" w:rsidRPr="00E0137A" w14:paraId="7DE79222" w14:textId="77777777" w:rsidTr="00A743DD">
        <w:trPr>
          <w:trHeight w:hRule="exact" w:val="360"/>
        </w:trPr>
        <w:tc>
          <w:tcPr>
            <w:tcW w:w="1908" w:type="dxa"/>
            <w:hideMark/>
          </w:tcPr>
          <w:p w14:paraId="4A9BE591" w14:textId="77777777" w:rsidR="00A743DD" w:rsidRPr="00E0137A" w:rsidRDefault="00A743DD" w:rsidP="00A743DD">
            <w:pPr>
              <w:spacing w:after="0"/>
              <w:rPr>
                <w:szCs w:val="24"/>
              </w:rPr>
            </w:pPr>
            <w:r w:rsidRPr="00E0137A">
              <w:rPr>
                <w:szCs w:val="24"/>
              </w:rPr>
              <w:t>Wright 2001</w:t>
            </w:r>
          </w:p>
        </w:tc>
        <w:tc>
          <w:tcPr>
            <w:tcW w:w="1800" w:type="dxa"/>
            <w:hideMark/>
          </w:tcPr>
          <w:p w14:paraId="59C2C583" w14:textId="77777777" w:rsidR="00A743DD" w:rsidRPr="00E0137A" w:rsidRDefault="00A743DD" w:rsidP="00A743DD">
            <w:pPr>
              <w:spacing w:after="0"/>
              <w:jc w:val="center"/>
              <w:rPr>
                <w:szCs w:val="24"/>
              </w:rPr>
            </w:pPr>
            <w:r>
              <w:rPr>
                <w:b/>
                <w:bCs/>
                <w:szCs w:val="24"/>
              </w:rPr>
              <w:t>—</w:t>
            </w:r>
          </w:p>
        </w:tc>
        <w:tc>
          <w:tcPr>
            <w:tcW w:w="2142" w:type="dxa"/>
            <w:hideMark/>
          </w:tcPr>
          <w:p w14:paraId="20202AA1" w14:textId="77777777" w:rsidR="00A743DD" w:rsidRPr="00E0137A" w:rsidRDefault="00A743DD" w:rsidP="00A743DD">
            <w:pPr>
              <w:spacing w:after="0"/>
              <w:jc w:val="center"/>
              <w:rPr>
                <w:szCs w:val="24"/>
                <w:vertAlign w:val="superscript"/>
              </w:rPr>
            </w:pPr>
            <w:r w:rsidRPr="00E0137A">
              <w:rPr>
                <w:szCs w:val="24"/>
              </w:rPr>
              <w:t>[23.47, 64.54]</w:t>
            </w:r>
            <w:r w:rsidRPr="00E0137A">
              <w:rPr>
                <w:szCs w:val="24"/>
                <w:vertAlign w:val="superscript"/>
              </w:rPr>
              <w:t>c</w:t>
            </w:r>
          </w:p>
        </w:tc>
        <w:tc>
          <w:tcPr>
            <w:tcW w:w="990" w:type="dxa"/>
            <w:hideMark/>
          </w:tcPr>
          <w:p w14:paraId="0D101585" w14:textId="77777777" w:rsidR="00A743DD" w:rsidRPr="00E0137A" w:rsidRDefault="00A743DD" w:rsidP="00A743DD">
            <w:pPr>
              <w:spacing w:after="0"/>
              <w:jc w:val="center"/>
              <w:rPr>
                <w:szCs w:val="24"/>
              </w:rPr>
            </w:pPr>
            <w:r w:rsidRPr="00E0137A">
              <w:rPr>
                <w:szCs w:val="24"/>
              </w:rPr>
              <w:t>39.11</w:t>
            </w:r>
          </w:p>
        </w:tc>
        <w:tc>
          <w:tcPr>
            <w:tcW w:w="1458" w:type="dxa"/>
            <w:hideMark/>
          </w:tcPr>
          <w:p w14:paraId="3D16372E" w14:textId="77777777" w:rsidR="00A743DD" w:rsidRPr="00E0137A" w:rsidRDefault="00A743DD" w:rsidP="00A743DD">
            <w:pPr>
              <w:spacing w:after="0"/>
              <w:jc w:val="center"/>
              <w:rPr>
                <w:szCs w:val="24"/>
              </w:rPr>
            </w:pPr>
            <w:r>
              <w:rPr>
                <w:b/>
                <w:bCs/>
                <w:szCs w:val="24"/>
              </w:rPr>
              <w:t>—</w:t>
            </w:r>
          </w:p>
        </w:tc>
        <w:tc>
          <w:tcPr>
            <w:tcW w:w="1350" w:type="dxa"/>
            <w:hideMark/>
          </w:tcPr>
          <w:p w14:paraId="184FAB77" w14:textId="77777777" w:rsidR="00A743DD" w:rsidRPr="00E0137A" w:rsidRDefault="00A743DD" w:rsidP="00A743DD">
            <w:pPr>
              <w:spacing w:after="0"/>
              <w:jc w:val="center"/>
              <w:rPr>
                <w:szCs w:val="24"/>
              </w:rPr>
            </w:pPr>
            <w:r>
              <w:rPr>
                <w:b/>
                <w:bCs/>
                <w:szCs w:val="24"/>
              </w:rPr>
              <w:t>—</w:t>
            </w:r>
          </w:p>
        </w:tc>
        <w:tc>
          <w:tcPr>
            <w:tcW w:w="1602" w:type="dxa"/>
            <w:hideMark/>
          </w:tcPr>
          <w:p w14:paraId="4371C035" w14:textId="77777777" w:rsidR="00A743DD" w:rsidRPr="00E0137A" w:rsidRDefault="00A743DD" w:rsidP="00A743DD">
            <w:pPr>
              <w:spacing w:after="0"/>
              <w:jc w:val="center"/>
              <w:rPr>
                <w:szCs w:val="24"/>
              </w:rPr>
            </w:pPr>
            <w:r>
              <w:rPr>
                <w:b/>
                <w:bCs/>
                <w:szCs w:val="24"/>
              </w:rPr>
              <w:t>—</w:t>
            </w:r>
          </w:p>
        </w:tc>
      </w:tr>
      <w:tr w:rsidR="00A743DD" w:rsidRPr="00E0137A" w14:paraId="2F79DF84" w14:textId="77777777" w:rsidTr="00A743DD">
        <w:trPr>
          <w:trHeight w:hRule="exact" w:val="360"/>
        </w:trPr>
        <w:tc>
          <w:tcPr>
            <w:tcW w:w="1908" w:type="dxa"/>
            <w:hideMark/>
          </w:tcPr>
          <w:p w14:paraId="37DE1D3C" w14:textId="77777777" w:rsidR="00A743DD" w:rsidRPr="00E0137A" w:rsidRDefault="00A743DD" w:rsidP="00A743DD">
            <w:pPr>
              <w:spacing w:after="0"/>
              <w:rPr>
                <w:szCs w:val="24"/>
              </w:rPr>
            </w:pPr>
            <w:r w:rsidRPr="00E0137A">
              <w:rPr>
                <w:szCs w:val="24"/>
              </w:rPr>
              <w:t>Griffin 2001</w:t>
            </w:r>
          </w:p>
        </w:tc>
        <w:tc>
          <w:tcPr>
            <w:tcW w:w="1800" w:type="dxa"/>
            <w:hideMark/>
          </w:tcPr>
          <w:p w14:paraId="5F145C70" w14:textId="77777777" w:rsidR="00A743DD" w:rsidRPr="00E0137A" w:rsidRDefault="00A743DD" w:rsidP="00A743DD">
            <w:pPr>
              <w:spacing w:after="0"/>
              <w:jc w:val="center"/>
              <w:rPr>
                <w:szCs w:val="24"/>
              </w:rPr>
            </w:pPr>
            <w:r>
              <w:rPr>
                <w:b/>
                <w:bCs/>
                <w:szCs w:val="24"/>
              </w:rPr>
              <w:t>—</w:t>
            </w:r>
          </w:p>
        </w:tc>
        <w:tc>
          <w:tcPr>
            <w:tcW w:w="2142" w:type="dxa"/>
            <w:hideMark/>
          </w:tcPr>
          <w:p w14:paraId="2B2B2621" w14:textId="77777777" w:rsidR="00A743DD" w:rsidRPr="00E0137A" w:rsidRDefault="00A743DD" w:rsidP="00A743DD">
            <w:pPr>
              <w:spacing w:after="0"/>
              <w:jc w:val="center"/>
              <w:rPr>
                <w:szCs w:val="24"/>
              </w:rPr>
            </w:pPr>
            <w:r w:rsidRPr="00E0137A">
              <w:rPr>
                <w:szCs w:val="24"/>
              </w:rPr>
              <w:t>82.54</w:t>
            </w:r>
          </w:p>
        </w:tc>
        <w:tc>
          <w:tcPr>
            <w:tcW w:w="990" w:type="dxa"/>
            <w:hideMark/>
          </w:tcPr>
          <w:p w14:paraId="316299FA" w14:textId="77777777" w:rsidR="00A743DD" w:rsidRPr="00E0137A" w:rsidRDefault="00A743DD" w:rsidP="00A743DD">
            <w:pPr>
              <w:spacing w:after="0"/>
              <w:jc w:val="center"/>
              <w:rPr>
                <w:szCs w:val="24"/>
              </w:rPr>
            </w:pPr>
            <w:r>
              <w:rPr>
                <w:b/>
                <w:bCs/>
                <w:szCs w:val="24"/>
              </w:rPr>
              <w:t>—</w:t>
            </w:r>
          </w:p>
        </w:tc>
        <w:tc>
          <w:tcPr>
            <w:tcW w:w="1458" w:type="dxa"/>
            <w:hideMark/>
          </w:tcPr>
          <w:p w14:paraId="2EB9EB6E" w14:textId="77777777" w:rsidR="00A743DD" w:rsidRPr="00E0137A" w:rsidRDefault="00A743DD" w:rsidP="00A743DD">
            <w:pPr>
              <w:spacing w:after="0"/>
              <w:jc w:val="center"/>
              <w:rPr>
                <w:szCs w:val="24"/>
              </w:rPr>
            </w:pPr>
            <w:r w:rsidRPr="00E0137A">
              <w:rPr>
                <w:szCs w:val="24"/>
              </w:rPr>
              <w:t>27.7/hour</w:t>
            </w:r>
          </w:p>
        </w:tc>
        <w:tc>
          <w:tcPr>
            <w:tcW w:w="1350" w:type="dxa"/>
            <w:hideMark/>
          </w:tcPr>
          <w:p w14:paraId="2D89AC1C" w14:textId="77777777" w:rsidR="00A743DD" w:rsidRPr="00E0137A" w:rsidRDefault="00A743DD" w:rsidP="00A743DD">
            <w:pPr>
              <w:spacing w:after="0"/>
              <w:jc w:val="center"/>
              <w:rPr>
                <w:szCs w:val="24"/>
              </w:rPr>
            </w:pPr>
            <w:r>
              <w:rPr>
                <w:b/>
                <w:bCs/>
                <w:szCs w:val="24"/>
              </w:rPr>
              <w:t>—</w:t>
            </w:r>
          </w:p>
        </w:tc>
        <w:tc>
          <w:tcPr>
            <w:tcW w:w="1602" w:type="dxa"/>
            <w:hideMark/>
          </w:tcPr>
          <w:p w14:paraId="159C7D26" w14:textId="77777777" w:rsidR="00A743DD" w:rsidRPr="00E0137A" w:rsidRDefault="00A743DD" w:rsidP="00A743DD">
            <w:pPr>
              <w:spacing w:after="0"/>
              <w:jc w:val="center"/>
              <w:rPr>
                <w:szCs w:val="24"/>
              </w:rPr>
            </w:pPr>
            <w:r w:rsidRPr="00E0137A">
              <w:rPr>
                <w:szCs w:val="24"/>
              </w:rPr>
              <w:t>1</w:t>
            </w:r>
          </w:p>
        </w:tc>
      </w:tr>
    </w:tbl>
    <w:p w14:paraId="035C570A" w14:textId="71809415" w:rsidR="00E0137A" w:rsidRPr="00E0137A" w:rsidRDefault="00A743DD" w:rsidP="00E0137A">
      <w:pPr>
        <w:spacing w:after="0"/>
        <w:rPr>
          <w:rFonts w:eastAsiaTheme="minorHAnsi"/>
          <w:szCs w:val="24"/>
        </w:rPr>
      </w:pPr>
      <w:r w:rsidRPr="00E0137A">
        <w:rPr>
          <w:rFonts w:eastAsiaTheme="minorHAnsi"/>
          <w:szCs w:val="24"/>
        </w:rPr>
        <w:t xml:space="preserve"> </w:t>
      </w:r>
      <w:r w:rsidR="00E0137A" w:rsidRPr="00E0137A">
        <w:rPr>
          <w:rFonts w:eastAsiaTheme="minorHAnsi"/>
          <w:szCs w:val="24"/>
        </w:rPr>
        <w:t>Appendix Table 3. Per Unit Cost for Treatment and Productivity (2013$)</w:t>
      </w:r>
    </w:p>
    <w:p w14:paraId="13079D25" w14:textId="446E95BB" w:rsidR="00210334" w:rsidRPr="00210334" w:rsidRDefault="00210334" w:rsidP="00C100CC">
      <w:pPr>
        <w:spacing w:after="0" w:line="276" w:lineRule="auto"/>
        <w:rPr>
          <w:rFonts w:eastAsiaTheme="minorHAnsi"/>
          <w:szCs w:val="24"/>
        </w:rPr>
      </w:pPr>
      <w:r>
        <w:rPr>
          <w:rFonts w:eastAsiaTheme="minorHAnsi"/>
          <w:bCs/>
          <w:szCs w:val="24"/>
        </w:rPr>
        <w:t>Note</w:t>
      </w:r>
      <w:r w:rsidRPr="00210334">
        <w:rPr>
          <w:rFonts w:eastAsiaTheme="minorHAnsi"/>
          <w:bCs/>
          <w:szCs w:val="24"/>
        </w:rPr>
        <w:t xml:space="preserve">: </w:t>
      </w:r>
      <w:r w:rsidRPr="00E0137A">
        <w:rPr>
          <w:rFonts w:eastAsiaTheme="minorHAnsi"/>
          <w:szCs w:val="24"/>
        </w:rPr>
        <w:t>Brackets indicate ranges of values</w:t>
      </w:r>
      <w:r>
        <w:rPr>
          <w:rFonts w:eastAsiaTheme="minorHAnsi"/>
          <w:szCs w:val="24"/>
        </w:rPr>
        <w:t xml:space="preserve">. </w:t>
      </w:r>
      <w:r w:rsidRPr="00E0137A">
        <w:rPr>
          <w:rFonts w:eastAsiaTheme="minorHAnsi"/>
          <w:szCs w:val="24"/>
        </w:rPr>
        <w:t xml:space="preserve">Parentheses indicate </w:t>
      </w:r>
      <w:r>
        <w:rPr>
          <w:rFonts w:eastAsiaTheme="minorHAnsi"/>
          <w:szCs w:val="24"/>
        </w:rPr>
        <w:t>SD.</w:t>
      </w:r>
    </w:p>
    <w:p w14:paraId="2624455F" w14:textId="0B7A8E09" w:rsidR="00210334" w:rsidRPr="00E0137A" w:rsidRDefault="00210334" w:rsidP="00C100CC">
      <w:pPr>
        <w:spacing w:after="0" w:line="276" w:lineRule="auto"/>
        <w:rPr>
          <w:rFonts w:eastAsiaTheme="minorHAnsi"/>
          <w:szCs w:val="24"/>
        </w:rPr>
      </w:pPr>
      <w:r w:rsidRPr="00E0137A">
        <w:rPr>
          <w:rFonts w:eastAsiaTheme="minorHAnsi"/>
          <w:szCs w:val="24"/>
          <w:vertAlign w:val="superscript"/>
        </w:rPr>
        <w:t>a</w:t>
      </w:r>
      <w:r w:rsidR="00834636">
        <w:rPr>
          <w:rFonts w:eastAsiaTheme="minorHAnsi"/>
          <w:szCs w:val="24"/>
          <w:vertAlign w:val="superscript"/>
        </w:rPr>
        <w:t xml:space="preserve"> </w:t>
      </w:r>
      <w:r w:rsidRPr="00E0137A">
        <w:rPr>
          <w:rFonts w:eastAsiaTheme="minorHAnsi"/>
          <w:szCs w:val="24"/>
        </w:rPr>
        <w:t>Range is due to different age groups</w:t>
      </w:r>
      <w:r>
        <w:rPr>
          <w:rFonts w:eastAsiaTheme="minorHAnsi"/>
          <w:szCs w:val="24"/>
        </w:rPr>
        <w:t>.</w:t>
      </w:r>
    </w:p>
    <w:p w14:paraId="58861870" w14:textId="7343EBC4" w:rsidR="00210334" w:rsidRPr="00E0137A" w:rsidRDefault="00210334" w:rsidP="00C100CC">
      <w:pPr>
        <w:spacing w:after="0" w:line="276" w:lineRule="auto"/>
        <w:rPr>
          <w:rFonts w:eastAsiaTheme="minorHAnsi"/>
          <w:szCs w:val="24"/>
        </w:rPr>
      </w:pPr>
      <w:r w:rsidRPr="00E0137A">
        <w:rPr>
          <w:rFonts w:eastAsiaTheme="minorHAnsi"/>
          <w:szCs w:val="24"/>
          <w:vertAlign w:val="superscript"/>
        </w:rPr>
        <w:t>b</w:t>
      </w:r>
      <w:r w:rsidR="00834636">
        <w:rPr>
          <w:rFonts w:eastAsiaTheme="minorHAnsi"/>
          <w:szCs w:val="24"/>
          <w:vertAlign w:val="superscript"/>
        </w:rPr>
        <w:t xml:space="preserve"> </w:t>
      </w:r>
      <w:r w:rsidRPr="00E0137A">
        <w:rPr>
          <w:rFonts w:eastAsiaTheme="minorHAnsi"/>
          <w:szCs w:val="24"/>
        </w:rPr>
        <w:t>Value depends on whether it is initial, second, third, or fourth restoration</w:t>
      </w:r>
      <w:r>
        <w:rPr>
          <w:rFonts w:eastAsiaTheme="minorHAnsi"/>
          <w:szCs w:val="24"/>
        </w:rPr>
        <w:t>.</w:t>
      </w:r>
    </w:p>
    <w:p w14:paraId="2B64731B" w14:textId="77A79675" w:rsidR="00B67897" w:rsidRPr="00E0137A" w:rsidRDefault="00B67897" w:rsidP="00C100CC">
      <w:pPr>
        <w:spacing w:after="0" w:line="276" w:lineRule="auto"/>
        <w:rPr>
          <w:rFonts w:eastAsiaTheme="minorHAnsi"/>
          <w:szCs w:val="24"/>
        </w:rPr>
      </w:pPr>
      <w:r w:rsidRPr="00E0137A">
        <w:rPr>
          <w:rFonts w:eastAsiaTheme="minorHAnsi"/>
          <w:szCs w:val="24"/>
          <w:vertAlign w:val="superscript"/>
        </w:rPr>
        <w:t>c</w:t>
      </w:r>
      <w:r w:rsidR="00834636">
        <w:rPr>
          <w:rFonts w:eastAsiaTheme="minorHAnsi"/>
          <w:szCs w:val="24"/>
          <w:vertAlign w:val="superscript"/>
        </w:rPr>
        <w:t xml:space="preserve"> </w:t>
      </w:r>
      <w:r w:rsidRPr="00E0137A">
        <w:rPr>
          <w:rFonts w:eastAsiaTheme="minorHAnsi"/>
          <w:szCs w:val="24"/>
        </w:rPr>
        <w:t>Lower bound is the restoration cost for an adolescent and upper bound is that for an adult.</w:t>
      </w:r>
    </w:p>
    <w:p w14:paraId="47A0944C" w14:textId="77777777" w:rsidR="00E0137A" w:rsidRPr="00E0137A" w:rsidRDefault="00DF029D" w:rsidP="00C100CC">
      <w:pPr>
        <w:spacing w:after="0" w:line="276" w:lineRule="auto"/>
        <w:rPr>
          <w:rFonts w:eastAsiaTheme="minorHAnsi"/>
          <w:szCs w:val="24"/>
        </w:rPr>
      </w:pPr>
      <w:r>
        <w:rPr>
          <w:rFonts w:eastAsiaTheme="minorHAnsi"/>
          <w:b/>
          <w:bCs/>
          <w:szCs w:val="24"/>
        </w:rPr>
        <w:t>—</w:t>
      </w:r>
      <w:r w:rsidR="00E0137A" w:rsidRPr="00E0137A">
        <w:rPr>
          <w:rFonts w:eastAsiaTheme="minorHAnsi"/>
          <w:b/>
          <w:bCs/>
          <w:szCs w:val="24"/>
        </w:rPr>
        <w:t xml:space="preserve">   </w:t>
      </w:r>
      <w:r w:rsidR="00E0137A" w:rsidRPr="00E0137A">
        <w:rPr>
          <w:rFonts w:eastAsiaTheme="minorHAnsi"/>
          <w:szCs w:val="24"/>
        </w:rPr>
        <w:t>Not reported</w:t>
      </w:r>
    </w:p>
    <w:p w14:paraId="7665F801" w14:textId="3D320ECD" w:rsidR="00E0137A" w:rsidRPr="00E0137A" w:rsidRDefault="00E0137A" w:rsidP="00E0137A">
      <w:pPr>
        <w:spacing w:after="0"/>
        <w:rPr>
          <w:rFonts w:eastAsiaTheme="minorHAnsi"/>
          <w:szCs w:val="24"/>
        </w:rPr>
      </w:pPr>
    </w:p>
    <w:p w14:paraId="40E6C217" w14:textId="77777777" w:rsidR="00E0137A" w:rsidRPr="00E0137A" w:rsidRDefault="00E0137A" w:rsidP="00E0137A">
      <w:pPr>
        <w:autoSpaceDE w:val="0"/>
        <w:autoSpaceDN w:val="0"/>
        <w:spacing w:after="0"/>
        <w:rPr>
          <w:rFonts w:eastAsiaTheme="minorHAnsi"/>
          <w:b/>
          <w:szCs w:val="24"/>
        </w:rPr>
      </w:pPr>
    </w:p>
    <w:p w14:paraId="6FB0D241" w14:textId="77777777" w:rsidR="00E0137A" w:rsidRDefault="00E0137A">
      <w:pPr>
        <w:spacing w:after="0"/>
      </w:pPr>
      <w:r>
        <w:br w:type="page"/>
      </w:r>
    </w:p>
    <w:p w14:paraId="6D7F0903" w14:textId="757B7538" w:rsidR="00E0137A" w:rsidRPr="00E0137A" w:rsidRDefault="00E0137A" w:rsidP="00E0137A">
      <w:pPr>
        <w:spacing w:after="0"/>
        <w:rPr>
          <w:rFonts w:eastAsiaTheme="minorHAnsi"/>
          <w:szCs w:val="24"/>
        </w:rPr>
      </w:pPr>
      <w:r w:rsidRPr="00E0137A">
        <w:rPr>
          <w:rFonts w:eastAsiaTheme="minorHAnsi"/>
          <w:szCs w:val="24"/>
        </w:rPr>
        <w:t>Appendix Table 4. Cost Per DALY Averted</w:t>
      </w:r>
    </w:p>
    <w:tbl>
      <w:tblPr>
        <w:tblStyle w:val="TableGrid3"/>
        <w:tblW w:w="9900" w:type="dxa"/>
        <w:tblInd w:w="108" w:type="dxa"/>
        <w:tblLook w:val="0420" w:firstRow="1" w:lastRow="0" w:firstColumn="0" w:lastColumn="0" w:noHBand="0" w:noVBand="1"/>
      </w:tblPr>
      <w:tblGrid>
        <w:gridCol w:w="1908"/>
        <w:gridCol w:w="2160"/>
        <w:gridCol w:w="1820"/>
        <w:gridCol w:w="2122"/>
        <w:gridCol w:w="1890"/>
      </w:tblGrid>
      <w:tr w:rsidR="00E0137A" w:rsidRPr="00E0137A" w14:paraId="2F7CB867" w14:textId="77777777" w:rsidTr="00210334">
        <w:trPr>
          <w:trHeight w:hRule="exact" w:val="360"/>
        </w:trPr>
        <w:tc>
          <w:tcPr>
            <w:tcW w:w="1908" w:type="dxa"/>
            <w:hideMark/>
          </w:tcPr>
          <w:p w14:paraId="3D89AC9B" w14:textId="77777777" w:rsidR="00E0137A" w:rsidRPr="00E0137A" w:rsidRDefault="00E0137A" w:rsidP="00E0137A">
            <w:pPr>
              <w:spacing w:after="0" w:line="480" w:lineRule="auto"/>
              <w:rPr>
                <w:szCs w:val="24"/>
              </w:rPr>
            </w:pPr>
            <w:r w:rsidRPr="00E0137A">
              <w:rPr>
                <w:b/>
                <w:bCs/>
                <w:szCs w:val="24"/>
              </w:rPr>
              <w:t xml:space="preserve">Study </w:t>
            </w:r>
          </w:p>
        </w:tc>
        <w:tc>
          <w:tcPr>
            <w:tcW w:w="2160" w:type="dxa"/>
            <w:hideMark/>
          </w:tcPr>
          <w:p w14:paraId="65AF7B2A" w14:textId="77777777" w:rsidR="00E0137A" w:rsidRPr="00E0137A" w:rsidRDefault="00E0137A" w:rsidP="00E0137A">
            <w:pPr>
              <w:spacing w:after="0" w:line="480" w:lineRule="auto"/>
              <w:rPr>
                <w:szCs w:val="24"/>
              </w:rPr>
            </w:pPr>
            <w:r w:rsidRPr="00E0137A">
              <w:rPr>
                <w:b/>
                <w:bCs/>
                <w:szCs w:val="24"/>
              </w:rPr>
              <w:t>Cost</w:t>
            </w:r>
          </w:p>
        </w:tc>
        <w:tc>
          <w:tcPr>
            <w:tcW w:w="1820" w:type="dxa"/>
            <w:hideMark/>
          </w:tcPr>
          <w:p w14:paraId="1814F7B1" w14:textId="77777777" w:rsidR="00E0137A" w:rsidRPr="00E0137A" w:rsidRDefault="00E0137A" w:rsidP="00E0137A">
            <w:pPr>
              <w:spacing w:after="0" w:line="480" w:lineRule="auto"/>
              <w:rPr>
                <w:szCs w:val="24"/>
              </w:rPr>
            </w:pPr>
            <w:r w:rsidRPr="00E0137A">
              <w:rPr>
                <w:b/>
                <w:bCs/>
                <w:szCs w:val="24"/>
              </w:rPr>
              <w:t xml:space="preserve">DALY Averted </w:t>
            </w:r>
          </w:p>
        </w:tc>
        <w:tc>
          <w:tcPr>
            <w:tcW w:w="2122" w:type="dxa"/>
            <w:hideMark/>
          </w:tcPr>
          <w:p w14:paraId="776EF752" w14:textId="77777777" w:rsidR="00E0137A" w:rsidRPr="00E0137A" w:rsidRDefault="00E0137A" w:rsidP="00E0137A">
            <w:pPr>
              <w:spacing w:after="0" w:line="480" w:lineRule="auto"/>
              <w:rPr>
                <w:szCs w:val="24"/>
              </w:rPr>
            </w:pPr>
            <w:r w:rsidRPr="00E0137A">
              <w:rPr>
                <w:b/>
                <w:bCs/>
                <w:szCs w:val="24"/>
              </w:rPr>
              <w:t>Cost/DALY AAAverted</w:t>
            </w:r>
          </w:p>
        </w:tc>
        <w:tc>
          <w:tcPr>
            <w:tcW w:w="1890" w:type="dxa"/>
            <w:hideMark/>
          </w:tcPr>
          <w:p w14:paraId="77130391" w14:textId="77777777" w:rsidR="00E0137A" w:rsidRPr="00E0137A" w:rsidRDefault="00E0137A" w:rsidP="00E0137A">
            <w:pPr>
              <w:spacing w:after="0" w:line="480" w:lineRule="auto"/>
              <w:rPr>
                <w:szCs w:val="24"/>
              </w:rPr>
            </w:pPr>
            <w:r w:rsidRPr="00E0137A">
              <w:rPr>
                <w:b/>
                <w:bCs/>
                <w:szCs w:val="24"/>
              </w:rPr>
              <w:t>Population</w:t>
            </w:r>
          </w:p>
        </w:tc>
      </w:tr>
      <w:tr w:rsidR="00E0137A" w:rsidRPr="00E0137A" w14:paraId="6046659C" w14:textId="77777777" w:rsidTr="00210334">
        <w:trPr>
          <w:trHeight w:hRule="exact" w:val="360"/>
        </w:trPr>
        <w:tc>
          <w:tcPr>
            <w:tcW w:w="1908" w:type="dxa"/>
            <w:hideMark/>
          </w:tcPr>
          <w:p w14:paraId="5EBB2274" w14:textId="77777777" w:rsidR="00E0137A" w:rsidRPr="00E0137A" w:rsidRDefault="00E0137A" w:rsidP="00E0137A">
            <w:pPr>
              <w:spacing w:after="0" w:line="480" w:lineRule="auto"/>
              <w:rPr>
                <w:szCs w:val="24"/>
              </w:rPr>
            </w:pPr>
            <w:r w:rsidRPr="00E0137A">
              <w:rPr>
                <w:szCs w:val="24"/>
              </w:rPr>
              <w:t>Cobiac 2012</w:t>
            </w:r>
          </w:p>
        </w:tc>
        <w:tc>
          <w:tcPr>
            <w:tcW w:w="2160" w:type="dxa"/>
            <w:hideMark/>
          </w:tcPr>
          <w:p w14:paraId="4C25B094" w14:textId="77777777" w:rsidR="00E0137A" w:rsidRPr="00E0137A" w:rsidRDefault="00E0137A" w:rsidP="00E0137A">
            <w:pPr>
              <w:spacing w:after="0" w:line="480" w:lineRule="auto"/>
              <w:rPr>
                <w:szCs w:val="24"/>
              </w:rPr>
            </w:pPr>
            <w:r w:rsidRPr="00E0137A">
              <w:rPr>
                <w:szCs w:val="24"/>
              </w:rPr>
              <w:t xml:space="preserve">$18.7 million </w:t>
            </w:r>
          </w:p>
        </w:tc>
        <w:tc>
          <w:tcPr>
            <w:tcW w:w="1820" w:type="dxa"/>
            <w:hideMark/>
          </w:tcPr>
          <w:p w14:paraId="5CF401F1" w14:textId="77777777" w:rsidR="00E0137A" w:rsidRPr="00E0137A" w:rsidRDefault="00E0137A" w:rsidP="00E0137A">
            <w:pPr>
              <w:spacing w:after="0" w:line="480" w:lineRule="auto"/>
              <w:rPr>
                <w:szCs w:val="24"/>
              </w:rPr>
            </w:pPr>
            <w:r w:rsidRPr="00E0137A">
              <w:rPr>
                <w:szCs w:val="24"/>
              </w:rPr>
              <w:t>26,000</w:t>
            </w:r>
          </w:p>
        </w:tc>
        <w:tc>
          <w:tcPr>
            <w:tcW w:w="2122" w:type="dxa"/>
            <w:hideMark/>
          </w:tcPr>
          <w:p w14:paraId="17FB7523" w14:textId="77777777" w:rsidR="00E0137A" w:rsidRPr="00E0137A" w:rsidRDefault="00E0137A" w:rsidP="00E0137A">
            <w:pPr>
              <w:spacing w:after="0" w:line="480" w:lineRule="auto"/>
              <w:rPr>
                <w:szCs w:val="24"/>
              </w:rPr>
            </w:pPr>
            <w:r w:rsidRPr="00E0137A">
              <w:rPr>
                <w:szCs w:val="24"/>
              </w:rPr>
              <w:t>$719.23</w:t>
            </w:r>
          </w:p>
        </w:tc>
        <w:tc>
          <w:tcPr>
            <w:tcW w:w="1890" w:type="dxa"/>
            <w:hideMark/>
          </w:tcPr>
          <w:p w14:paraId="24C9797D" w14:textId="77777777" w:rsidR="00E0137A" w:rsidRPr="00E0137A" w:rsidRDefault="00D904DE" w:rsidP="00E0137A">
            <w:pPr>
              <w:spacing w:after="0" w:line="480" w:lineRule="auto"/>
              <w:rPr>
                <w:szCs w:val="24"/>
              </w:rPr>
            </w:pPr>
            <w:r>
              <w:rPr>
                <w:b/>
                <w:bCs/>
                <w:szCs w:val="24"/>
              </w:rPr>
              <w:t>—</w:t>
            </w:r>
          </w:p>
        </w:tc>
      </w:tr>
      <w:tr w:rsidR="00E0137A" w:rsidRPr="00E0137A" w14:paraId="1BAD3CB6" w14:textId="77777777" w:rsidTr="00210334">
        <w:trPr>
          <w:trHeight w:hRule="exact" w:val="360"/>
        </w:trPr>
        <w:tc>
          <w:tcPr>
            <w:tcW w:w="1908" w:type="dxa"/>
            <w:hideMark/>
          </w:tcPr>
          <w:p w14:paraId="07B4EA2A" w14:textId="77777777" w:rsidR="00E0137A" w:rsidRPr="00E0137A" w:rsidRDefault="00E0137A" w:rsidP="00E0137A">
            <w:pPr>
              <w:spacing w:after="0" w:line="480" w:lineRule="auto"/>
              <w:rPr>
                <w:szCs w:val="24"/>
              </w:rPr>
            </w:pPr>
            <w:r w:rsidRPr="00E0137A">
              <w:rPr>
                <w:szCs w:val="24"/>
              </w:rPr>
              <w:t>Ciketic 2010</w:t>
            </w:r>
          </w:p>
        </w:tc>
        <w:tc>
          <w:tcPr>
            <w:tcW w:w="2160" w:type="dxa"/>
            <w:hideMark/>
          </w:tcPr>
          <w:p w14:paraId="42881497" w14:textId="77777777" w:rsidR="00E0137A" w:rsidRPr="00E0137A" w:rsidRDefault="00E0137A" w:rsidP="00E0137A">
            <w:pPr>
              <w:spacing w:after="0" w:line="480" w:lineRule="auto"/>
              <w:rPr>
                <w:szCs w:val="24"/>
              </w:rPr>
            </w:pPr>
            <w:r w:rsidRPr="00E0137A">
              <w:rPr>
                <w:szCs w:val="24"/>
              </w:rPr>
              <w:t xml:space="preserve">$34.76 million </w:t>
            </w:r>
          </w:p>
        </w:tc>
        <w:tc>
          <w:tcPr>
            <w:tcW w:w="1820" w:type="dxa"/>
            <w:hideMark/>
          </w:tcPr>
          <w:p w14:paraId="798ABBB2" w14:textId="77777777" w:rsidR="00E0137A" w:rsidRPr="00E0137A" w:rsidRDefault="00E0137A" w:rsidP="00E0137A">
            <w:pPr>
              <w:spacing w:after="0" w:line="480" w:lineRule="auto"/>
              <w:rPr>
                <w:szCs w:val="24"/>
              </w:rPr>
            </w:pPr>
            <w:r w:rsidRPr="00E0137A">
              <w:rPr>
                <w:szCs w:val="24"/>
              </w:rPr>
              <w:t>10,437</w:t>
            </w:r>
          </w:p>
        </w:tc>
        <w:tc>
          <w:tcPr>
            <w:tcW w:w="2122" w:type="dxa"/>
            <w:hideMark/>
          </w:tcPr>
          <w:p w14:paraId="5A4F8982" w14:textId="77777777" w:rsidR="00E0137A" w:rsidRPr="00E0137A" w:rsidRDefault="00E0137A" w:rsidP="00E0137A">
            <w:pPr>
              <w:spacing w:after="0" w:line="480" w:lineRule="auto"/>
              <w:rPr>
                <w:szCs w:val="24"/>
              </w:rPr>
            </w:pPr>
            <w:r w:rsidRPr="00E0137A">
              <w:rPr>
                <w:szCs w:val="24"/>
              </w:rPr>
              <w:t>$3330.46</w:t>
            </w:r>
          </w:p>
        </w:tc>
        <w:tc>
          <w:tcPr>
            <w:tcW w:w="1890" w:type="dxa"/>
            <w:hideMark/>
          </w:tcPr>
          <w:p w14:paraId="385B2528" w14:textId="77777777" w:rsidR="00E0137A" w:rsidRPr="00E0137A" w:rsidRDefault="00E0137A" w:rsidP="00E0137A">
            <w:pPr>
              <w:spacing w:after="0" w:line="480" w:lineRule="auto"/>
              <w:rPr>
                <w:szCs w:val="24"/>
              </w:rPr>
            </w:pPr>
            <w:r w:rsidRPr="00E0137A">
              <w:rPr>
                <w:szCs w:val="24"/>
              </w:rPr>
              <w:t>2.86 million</w:t>
            </w:r>
          </w:p>
        </w:tc>
      </w:tr>
    </w:tbl>
    <w:p w14:paraId="5FFEC90A" w14:textId="77777777" w:rsidR="00E0137A" w:rsidRDefault="00D904DE" w:rsidP="00E0137A">
      <w:pPr>
        <w:spacing w:after="0"/>
        <w:rPr>
          <w:rFonts w:eastAsiaTheme="minorHAnsi"/>
          <w:szCs w:val="24"/>
        </w:rPr>
      </w:pPr>
      <w:r>
        <w:rPr>
          <w:rFonts w:eastAsiaTheme="minorHAnsi"/>
          <w:b/>
          <w:bCs/>
          <w:szCs w:val="24"/>
        </w:rPr>
        <w:t>—</w:t>
      </w:r>
      <w:r w:rsidR="00E0137A" w:rsidRPr="00E0137A">
        <w:rPr>
          <w:rFonts w:eastAsiaTheme="minorHAnsi"/>
          <w:szCs w:val="24"/>
        </w:rPr>
        <w:t xml:space="preserve"> Not reported</w:t>
      </w:r>
    </w:p>
    <w:p w14:paraId="4C7363F1" w14:textId="77777777" w:rsidR="00D904DE" w:rsidRPr="00E0137A" w:rsidRDefault="00D904DE" w:rsidP="00E0137A">
      <w:pPr>
        <w:spacing w:after="0"/>
        <w:rPr>
          <w:rFonts w:eastAsiaTheme="minorHAnsi"/>
          <w:szCs w:val="24"/>
        </w:rPr>
      </w:pPr>
      <w:r>
        <w:rPr>
          <w:rFonts w:eastAsiaTheme="minorHAnsi"/>
          <w:szCs w:val="24"/>
        </w:rPr>
        <w:t>DALY, disability-adjusted life year</w:t>
      </w:r>
    </w:p>
    <w:p w14:paraId="01CDF031" w14:textId="77777777" w:rsidR="00FD3BAB" w:rsidRDefault="00FD3BAB" w:rsidP="00FD3BAB">
      <w:pPr>
        <w:spacing w:after="0"/>
      </w:pPr>
    </w:p>
    <w:sectPr w:rsidR="00FD3BAB" w:rsidSect="00FD3BAB">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E060" w14:textId="77777777" w:rsidR="00C959DA" w:rsidRDefault="00C959DA" w:rsidP="00FD3BAB">
      <w:pPr>
        <w:spacing w:after="0" w:line="240" w:lineRule="auto"/>
      </w:pPr>
      <w:r>
        <w:separator/>
      </w:r>
    </w:p>
  </w:endnote>
  <w:endnote w:type="continuationSeparator" w:id="0">
    <w:p w14:paraId="46F8CF16" w14:textId="77777777" w:rsidR="00C959DA" w:rsidRDefault="00C959DA" w:rsidP="00FD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9B4B" w14:textId="77777777" w:rsidR="00210334" w:rsidRPr="00FD3BAB" w:rsidRDefault="00210334">
    <w:pPr>
      <w:pStyle w:val="Footer"/>
      <w:rPr>
        <w:rFonts w:asciiTheme="minorHAnsi" w:hAnsiTheme="minorHAnsi"/>
        <w:sz w:val="22"/>
      </w:rPr>
    </w:pPr>
    <w:r>
      <w:tab/>
    </w:r>
    <w:r>
      <w:tab/>
    </w:r>
    <w:r w:rsidRPr="00FD3BAB">
      <w:rPr>
        <w:rFonts w:asciiTheme="minorHAnsi" w:hAnsiTheme="minorHAnsi"/>
        <w:sz w:val="22"/>
      </w:rPr>
      <w:fldChar w:fldCharType="begin"/>
    </w:r>
    <w:r w:rsidRPr="00FD3BAB">
      <w:rPr>
        <w:rFonts w:asciiTheme="minorHAnsi" w:hAnsiTheme="minorHAnsi"/>
        <w:sz w:val="22"/>
      </w:rPr>
      <w:instrText xml:space="preserve"> PAGE   \* MERGEFORMAT </w:instrText>
    </w:r>
    <w:r w:rsidRPr="00FD3BAB">
      <w:rPr>
        <w:rFonts w:asciiTheme="minorHAnsi" w:hAnsiTheme="minorHAnsi"/>
        <w:sz w:val="22"/>
      </w:rPr>
      <w:fldChar w:fldCharType="separate"/>
    </w:r>
    <w:r w:rsidR="00E40335">
      <w:rPr>
        <w:rFonts w:asciiTheme="minorHAnsi" w:hAnsiTheme="minorHAnsi"/>
        <w:noProof/>
        <w:sz w:val="22"/>
      </w:rPr>
      <w:t>2</w:t>
    </w:r>
    <w:r w:rsidRPr="00FD3BAB">
      <w:rPr>
        <w:rFonts w:asciiTheme="minorHAnsi" w:hAnsiTheme="minorHAns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5DED" w14:textId="77777777" w:rsidR="00C959DA" w:rsidRDefault="00C959DA" w:rsidP="00FD3BAB">
      <w:pPr>
        <w:spacing w:after="0" w:line="240" w:lineRule="auto"/>
      </w:pPr>
      <w:r>
        <w:separator/>
      </w:r>
    </w:p>
  </w:footnote>
  <w:footnote w:type="continuationSeparator" w:id="0">
    <w:p w14:paraId="38DE96EB" w14:textId="77777777" w:rsidR="00C959DA" w:rsidRDefault="00C959DA" w:rsidP="00FD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E1AC6" w14:textId="77777777" w:rsidR="00210334" w:rsidRDefault="00210334">
    <w:pPr>
      <w:pStyle w:val="Header"/>
    </w:pPr>
    <w:r>
      <w:t>Ran et al.</w:t>
    </w:r>
  </w:p>
  <w:p w14:paraId="45E60448" w14:textId="77777777" w:rsidR="00210334" w:rsidRDefault="00210334" w:rsidP="00FD3BAB">
    <w:pPr>
      <w:pStyle w:val="Header"/>
      <w:tabs>
        <w:tab w:val="clear" w:pos="9360"/>
        <w:tab w:val="right" w:pos="10440"/>
      </w:tabs>
      <w:ind w:right="-360"/>
    </w:pPr>
    <w:r w:rsidRPr="00D60006">
      <w:rPr>
        <w:szCs w:val="24"/>
      </w:rPr>
      <w:t>Economic Evaluation of Community Water Fluoridation: A Community Guide Systematic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AB"/>
    <w:rsid w:val="00003763"/>
    <w:rsid w:val="000A73A1"/>
    <w:rsid w:val="001224BB"/>
    <w:rsid w:val="001C1493"/>
    <w:rsid w:val="00210334"/>
    <w:rsid w:val="002160AA"/>
    <w:rsid w:val="002F75A7"/>
    <w:rsid w:val="0031796A"/>
    <w:rsid w:val="00322B85"/>
    <w:rsid w:val="004333F8"/>
    <w:rsid w:val="004545F0"/>
    <w:rsid w:val="004733D3"/>
    <w:rsid w:val="007756D8"/>
    <w:rsid w:val="00834636"/>
    <w:rsid w:val="00864E9A"/>
    <w:rsid w:val="008C2E74"/>
    <w:rsid w:val="00916281"/>
    <w:rsid w:val="009422F6"/>
    <w:rsid w:val="009F26CE"/>
    <w:rsid w:val="00A51471"/>
    <w:rsid w:val="00A644E0"/>
    <w:rsid w:val="00A743DD"/>
    <w:rsid w:val="00A779C6"/>
    <w:rsid w:val="00B35987"/>
    <w:rsid w:val="00B67897"/>
    <w:rsid w:val="00B71C80"/>
    <w:rsid w:val="00B801C9"/>
    <w:rsid w:val="00B92BE5"/>
    <w:rsid w:val="00BD5CCB"/>
    <w:rsid w:val="00C100CC"/>
    <w:rsid w:val="00C71018"/>
    <w:rsid w:val="00C959DA"/>
    <w:rsid w:val="00C97352"/>
    <w:rsid w:val="00D062B1"/>
    <w:rsid w:val="00D40CF0"/>
    <w:rsid w:val="00D77E61"/>
    <w:rsid w:val="00D904DE"/>
    <w:rsid w:val="00DE5526"/>
    <w:rsid w:val="00DF029D"/>
    <w:rsid w:val="00E0137A"/>
    <w:rsid w:val="00E0233F"/>
    <w:rsid w:val="00E40335"/>
    <w:rsid w:val="00E404D1"/>
    <w:rsid w:val="00ED7C81"/>
    <w:rsid w:val="00F43E5A"/>
    <w:rsid w:val="00FA1D89"/>
    <w:rsid w:val="00FD3BAB"/>
    <w:rsid w:val="00FE78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6405"/>
  <w15:docId w15:val="{B6245017-41B7-4E38-985C-C11FE2C4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61"/>
    <w:pPr>
      <w:spacing w:after="20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NR">
    <w:name w:val="EndNote TNR"/>
    <w:basedOn w:val="Normal"/>
    <w:next w:val="Normal"/>
    <w:qFormat/>
    <w:rsid w:val="00D77E61"/>
    <w:pPr>
      <w:spacing w:after="0"/>
      <w:ind w:left="720" w:hanging="720"/>
    </w:pPr>
    <w:rPr>
      <w:noProof/>
    </w:rPr>
  </w:style>
  <w:style w:type="paragraph" w:styleId="Header">
    <w:name w:val="header"/>
    <w:basedOn w:val="Normal"/>
    <w:link w:val="HeaderChar"/>
    <w:uiPriority w:val="99"/>
    <w:unhideWhenUsed/>
    <w:rsid w:val="00FD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BAB"/>
    <w:rPr>
      <w:rFonts w:ascii="Times New Roman" w:hAnsi="Times New Roman" w:cs="Times New Roman"/>
      <w:sz w:val="24"/>
    </w:rPr>
  </w:style>
  <w:style w:type="paragraph" w:styleId="Footer">
    <w:name w:val="footer"/>
    <w:basedOn w:val="Normal"/>
    <w:link w:val="FooterChar"/>
    <w:uiPriority w:val="99"/>
    <w:unhideWhenUsed/>
    <w:rsid w:val="00FD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AB"/>
    <w:rPr>
      <w:rFonts w:ascii="Times New Roman" w:hAnsi="Times New Roman" w:cs="Times New Roman"/>
      <w:sz w:val="24"/>
    </w:rPr>
  </w:style>
  <w:style w:type="paragraph" w:styleId="BalloonText">
    <w:name w:val="Balloon Text"/>
    <w:basedOn w:val="Normal"/>
    <w:link w:val="BalloonTextChar"/>
    <w:uiPriority w:val="99"/>
    <w:semiHidden/>
    <w:unhideWhenUsed/>
    <w:rsid w:val="00E0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3F"/>
    <w:rPr>
      <w:rFonts w:ascii="Tahoma" w:hAnsi="Tahoma" w:cs="Tahoma"/>
      <w:sz w:val="16"/>
      <w:szCs w:val="16"/>
    </w:rPr>
  </w:style>
  <w:style w:type="table" w:styleId="TableGrid">
    <w:name w:val="Table Grid"/>
    <w:basedOn w:val="TableNormal"/>
    <w:uiPriority w:val="59"/>
    <w:rsid w:val="00E0233F"/>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233F"/>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137A"/>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0137A"/>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897"/>
    <w:rPr>
      <w:sz w:val="16"/>
      <w:szCs w:val="16"/>
    </w:rPr>
  </w:style>
  <w:style w:type="paragraph" w:styleId="CommentText">
    <w:name w:val="annotation text"/>
    <w:basedOn w:val="Normal"/>
    <w:link w:val="CommentTextChar"/>
    <w:uiPriority w:val="99"/>
    <w:semiHidden/>
    <w:unhideWhenUsed/>
    <w:rsid w:val="00B67897"/>
    <w:pPr>
      <w:spacing w:line="240" w:lineRule="auto"/>
    </w:pPr>
    <w:rPr>
      <w:sz w:val="20"/>
      <w:szCs w:val="20"/>
    </w:rPr>
  </w:style>
  <w:style w:type="character" w:customStyle="1" w:styleId="CommentTextChar">
    <w:name w:val="Comment Text Char"/>
    <w:basedOn w:val="DefaultParagraphFont"/>
    <w:link w:val="CommentText"/>
    <w:uiPriority w:val="99"/>
    <w:semiHidden/>
    <w:rsid w:val="00B6789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897"/>
    <w:rPr>
      <w:b/>
      <w:bCs/>
    </w:rPr>
  </w:style>
  <w:style w:type="character" w:customStyle="1" w:styleId="CommentSubjectChar">
    <w:name w:val="Comment Subject Char"/>
    <w:basedOn w:val="CommentTextChar"/>
    <w:link w:val="CommentSubject"/>
    <w:uiPriority w:val="99"/>
    <w:semiHidden/>
    <w:rsid w:val="00B67897"/>
    <w:rPr>
      <w:rFonts w:ascii="Times New Roman" w:hAnsi="Times New Roman" w:cs="Times New Roman"/>
      <w:b/>
      <w:bCs/>
      <w:sz w:val="20"/>
      <w:szCs w:val="20"/>
    </w:rPr>
  </w:style>
  <w:style w:type="paragraph" w:styleId="NormalWeb">
    <w:name w:val="Normal (Web)"/>
    <w:basedOn w:val="Normal"/>
    <w:uiPriority w:val="99"/>
    <w:semiHidden/>
    <w:unhideWhenUsed/>
    <w:rsid w:val="00C71018"/>
    <w:pPr>
      <w:spacing w:before="100" w:beforeAutospacing="1" w:after="100" w:afterAutospacing="1" w:line="240" w:lineRule="auto"/>
    </w:pPr>
    <w:rPr>
      <w:rFonts w:eastAsiaTheme="minorEastAsia"/>
      <w:szCs w:val="24"/>
    </w:rPr>
  </w:style>
  <w:style w:type="paragraph" w:styleId="ListParagraph">
    <w:name w:val="List Paragraph"/>
    <w:basedOn w:val="Normal"/>
    <w:uiPriority w:val="34"/>
    <w:qFormat/>
    <w:rsid w:val="00BD5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xgy2\waterflouridation\reviews\cost%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xgy2\waterflouridation\reviews\cost%20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xgy2\waterflouridation\reviews\variation%20in%20BC%20rati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xgy2\waterflouridation\reviews\variation%20in%20BC%20rat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0"/>
          <c:tx>
            <c:v>Griffin</c:v>
          </c:tx>
          <c:spPr>
            <a:pattFill prst="pct60">
              <a:fgClr>
                <a:schemeClr val="accent1"/>
              </a:fgClr>
              <a:bgClr>
                <a:schemeClr val="bg1"/>
              </a:bgClr>
            </a:pattFill>
          </c:spPr>
          <c:invertIfNegative val="0"/>
          <c:val>
            <c:numRef>
              <c:f>'[cost chart.xlsx]3%-4%'!$B$9:$B$12</c:f>
              <c:numCache>
                <c:formatCode>"$"#,##0.00_);[Red]\("$"#,##0.00\)</c:formatCode>
                <c:ptCount val="4"/>
                <c:pt idx="0">
                  <c:v>4.8499999999999996</c:v>
                </c:pt>
                <c:pt idx="1">
                  <c:v>2.5099999999999998</c:v>
                </c:pt>
                <c:pt idx="2">
                  <c:v>1.62</c:v>
                </c:pt>
                <c:pt idx="3">
                  <c:v>0.76</c:v>
                </c:pt>
              </c:numCache>
            </c:numRef>
          </c:val>
        </c:ser>
        <c:ser>
          <c:idx val="0"/>
          <c:order val="1"/>
          <c:tx>
            <c:v>O'Connell</c:v>
          </c:tx>
          <c:spPr>
            <a:pattFill prst="smGrid">
              <a:fgClr>
                <a:schemeClr val="accent6">
                  <a:lumMod val="75000"/>
                </a:schemeClr>
              </a:fgClr>
              <a:bgClr>
                <a:schemeClr val="bg1"/>
              </a:bgClr>
            </a:pattFill>
          </c:spPr>
          <c:invertIfNegative val="0"/>
          <c:cat>
            <c:strRef>
              <c:f>'[cost chart.xlsx]3%-4%'!$A$1:$A$4</c:f>
              <c:strCache>
                <c:ptCount val="4"/>
                <c:pt idx="0">
                  <c:v>1000-4999</c:v>
                </c:pt>
                <c:pt idx="1">
                  <c:v>5000-9999</c:v>
                </c:pt>
                <c:pt idx="2">
                  <c:v>10000-19999</c:v>
                </c:pt>
                <c:pt idx="3">
                  <c:v>≥20000</c:v>
                </c:pt>
              </c:strCache>
            </c:strRef>
          </c:cat>
          <c:val>
            <c:numRef>
              <c:f>'[cost chart.xlsx]3%-4%'!$B$1:$B$4</c:f>
              <c:numCache>
                <c:formatCode>"$"#,##0.00_);[Red]\("$"#,##0.00\)</c:formatCode>
                <c:ptCount val="4"/>
                <c:pt idx="0">
                  <c:v>3.36</c:v>
                </c:pt>
                <c:pt idx="1">
                  <c:v>1.82</c:v>
                </c:pt>
                <c:pt idx="2">
                  <c:v>1.18</c:v>
                </c:pt>
                <c:pt idx="3">
                  <c:v>0.54</c:v>
                </c:pt>
              </c:numCache>
            </c:numRef>
          </c:val>
        </c:ser>
        <c:ser>
          <c:idx val="2"/>
          <c:order val="3"/>
          <c:tx>
            <c:v>Ciketic</c:v>
          </c:tx>
          <c:spPr>
            <a:pattFill prst="dkDnDiag">
              <a:fgClr>
                <a:srgbClr val="00B050"/>
              </a:fgClr>
              <a:bgClr>
                <a:schemeClr val="bg1"/>
              </a:bgClr>
            </a:pattFill>
          </c:spPr>
          <c:invertIfNegative val="0"/>
          <c:val>
            <c:numRef>
              <c:f>'[cost chart.xlsx]3%-4%'!$B$14</c:f>
              <c:numCache>
                <c:formatCode>"$"#,##0.00_);[Red]\("$"#,##0.00\)</c:formatCode>
                <c:ptCount val="1"/>
                <c:pt idx="0">
                  <c:v>0.81</c:v>
                </c:pt>
              </c:numCache>
            </c:numRef>
          </c:val>
        </c:ser>
        <c:ser>
          <c:idx val="1"/>
          <c:order val="4"/>
          <c:tx>
            <c:v>Cobiac</c:v>
          </c:tx>
          <c:spPr>
            <a:pattFill prst="ltUpDiag">
              <a:fgClr>
                <a:schemeClr val="accent4"/>
              </a:fgClr>
              <a:bgClr>
                <a:schemeClr val="bg1"/>
              </a:bgClr>
            </a:pattFill>
          </c:spPr>
          <c:invertIfNegative val="0"/>
          <c:val>
            <c:numRef>
              <c:f>'[cost chart.xlsx]3%-4%'!$B$13</c:f>
              <c:numCache>
                <c:formatCode>"$"#,##0.00_);[Red]\("$"#,##0.00\)</c:formatCode>
                <c:ptCount val="1"/>
                <c:pt idx="0">
                  <c:v>0.24</c:v>
                </c:pt>
              </c:numCache>
            </c:numRef>
          </c:val>
        </c:ser>
        <c:dLbls>
          <c:showLegendKey val="0"/>
          <c:showVal val="0"/>
          <c:showCatName val="0"/>
          <c:showSerName val="0"/>
          <c:showPercent val="0"/>
          <c:showBubbleSize val="0"/>
        </c:dLbls>
        <c:gapWidth val="150"/>
        <c:axId val="125896752"/>
        <c:axId val="124482392"/>
        <c:extLst>
          <c:ext xmlns:c15="http://schemas.microsoft.com/office/drawing/2012/chart" uri="{02D57815-91ED-43cb-92C2-25804820EDAC}">
            <c15:filteredBarSeries>
              <c15:ser>
                <c:idx val="3"/>
                <c:order val="2"/>
                <c:tx>
                  <c:v>Tchouaket</c:v>
                </c:tx>
                <c:spPr>
                  <a:solidFill>
                    <a:schemeClr val="accent4"/>
                  </a:solidFill>
                </c:spPr>
                <c:invertIfNegative val="0"/>
                <c:val>
                  <c:numRef>
                    <c:extLst>
                      <c:ext uri="{02D57815-91ED-43cb-92C2-25804820EDAC}">
                        <c15:formulaRef>
                          <c15:sqref>'[cost chart.xlsx]3%-4%'!$B$5:$B$8</c15:sqref>
                        </c15:formulaRef>
                      </c:ext>
                    </c:extLst>
                    <c:numCache>
                      <c:formatCode>"$"#,##0.00_);[Red]\("$"#,##0.00\)</c:formatCode>
                      <c:ptCount val="4"/>
                      <c:pt idx="0">
                        <c:v>1.69</c:v>
                      </c:pt>
                      <c:pt idx="1">
                        <c:v>1.69</c:v>
                      </c:pt>
                      <c:pt idx="2">
                        <c:v>1.69</c:v>
                      </c:pt>
                    </c:numCache>
                  </c:numRef>
                </c:val>
              </c15:ser>
            </c15:filteredBarSeries>
          </c:ext>
        </c:extLst>
      </c:barChart>
      <c:catAx>
        <c:axId val="125896752"/>
        <c:scaling>
          <c:orientation val="minMax"/>
        </c:scaling>
        <c:delete val="0"/>
        <c:axPos val="b"/>
        <c:majorTickMark val="out"/>
        <c:minorTickMark val="none"/>
        <c:tickLblPos val="nextTo"/>
        <c:crossAx val="124482392"/>
        <c:crosses val="autoZero"/>
        <c:auto val="1"/>
        <c:lblAlgn val="ctr"/>
        <c:lblOffset val="100"/>
        <c:noMultiLvlLbl val="0"/>
      </c:catAx>
      <c:valAx>
        <c:axId val="124482392"/>
        <c:scaling>
          <c:orientation val="minMax"/>
        </c:scaling>
        <c:delete val="0"/>
        <c:axPos val="l"/>
        <c:majorGridlines/>
        <c:numFmt formatCode="&quot;$&quot;#,##0.00_);[Red]\(&quot;$&quot;#,##0.00\)" sourceLinked="1"/>
        <c:majorTickMark val="out"/>
        <c:minorTickMark val="none"/>
        <c:tickLblPos val="nextTo"/>
        <c:crossAx val="1258967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36947594469349E-2"/>
          <c:y val="0.10926735388175642"/>
          <c:w val="0.82641010184731689"/>
          <c:h val="0.82924392231713517"/>
        </c:manualLayout>
      </c:layout>
      <c:barChart>
        <c:barDir val="col"/>
        <c:grouping val="clustered"/>
        <c:varyColors val="0"/>
        <c:ser>
          <c:idx val="0"/>
          <c:order val="0"/>
          <c:tx>
            <c:v>5% Discount Rate</c:v>
          </c:tx>
          <c:invertIfNegative val="0"/>
          <c:cat>
            <c:numRef>
              <c:f>all!$B$20:$B$28</c:f>
              <c:numCache>
                <c:formatCode>#,##0</c:formatCode>
                <c:ptCount val="9"/>
                <c:pt idx="0">
                  <c:v>1000</c:v>
                </c:pt>
                <c:pt idx="1">
                  <c:v>5000</c:v>
                </c:pt>
                <c:pt idx="2">
                  <c:v>10000</c:v>
                </c:pt>
                <c:pt idx="3">
                  <c:v>25000</c:v>
                </c:pt>
                <c:pt idx="4">
                  <c:v>50000</c:v>
                </c:pt>
                <c:pt idx="5">
                  <c:v>75000</c:v>
                </c:pt>
                <c:pt idx="6">
                  <c:v>100000</c:v>
                </c:pt>
                <c:pt idx="7">
                  <c:v>200000</c:v>
                </c:pt>
                <c:pt idx="8">
                  <c:v>300000</c:v>
                </c:pt>
              </c:numCache>
            </c:numRef>
          </c:cat>
          <c:val>
            <c:numRef>
              <c:f>all!$C$20:$C$28</c:f>
              <c:numCache>
                <c:formatCode>"$"#,##0.00_);[Red]\("$"#,##0.00\)</c:formatCode>
                <c:ptCount val="9"/>
                <c:pt idx="0">
                  <c:v>4.8899999999999997</c:v>
                </c:pt>
                <c:pt idx="1">
                  <c:v>1.05</c:v>
                </c:pt>
                <c:pt idx="2">
                  <c:v>0.56999999999999995</c:v>
                </c:pt>
                <c:pt idx="3">
                  <c:v>0.28999999999999998</c:v>
                </c:pt>
                <c:pt idx="4">
                  <c:v>0.2</c:v>
                </c:pt>
                <c:pt idx="5">
                  <c:v>0.16</c:v>
                </c:pt>
                <c:pt idx="6">
                  <c:v>0.14000000000000001</c:v>
                </c:pt>
                <c:pt idx="7">
                  <c:v>0.12</c:v>
                </c:pt>
                <c:pt idx="8">
                  <c:v>0.11</c:v>
                </c:pt>
              </c:numCache>
            </c:numRef>
          </c:val>
        </c:ser>
        <c:dLbls>
          <c:showLegendKey val="0"/>
          <c:showVal val="0"/>
          <c:showCatName val="0"/>
          <c:showSerName val="0"/>
          <c:showPercent val="0"/>
          <c:showBubbleSize val="0"/>
        </c:dLbls>
        <c:gapWidth val="150"/>
        <c:axId val="124483568"/>
        <c:axId val="124483960"/>
      </c:barChart>
      <c:catAx>
        <c:axId val="124483568"/>
        <c:scaling>
          <c:orientation val="minMax"/>
        </c:scaling>
        <c:delete val="0"/>
        <c:axPos val="b"/>
        <c:numFmt formatCode="#,##0" sourceLinked="1"/>
        <c:majorTickMark val="out"/>
        <c:minorTickMark val="none"/>
        <c:tickLblPos val="nextTo"/>
        <c:crossAx val="124483960"/>
        <c:crosses val="autoZero"/>
        <c:auto val="1"/>
        <c:lblAlgn val="ctr"/>
        <c:lblOffset val="100"/>
        <c:noMultiLvlLbl val="0"/>
      </c:catAx>
      <c:valAx>
        <c:axId val="124483960"/>
        <c:scaling>
          <c:orientation val="minMax"/>
        </c:scaling>
        <c:delete val="0"/>
        <c:axPos val="l"/>
        <c:majorGridlines/>
        <c:numFmt formatCode="&quot;$&quot;#,##0.00_);[Red]\(&quot;$&quot;#,##0.00\)" sourceLinked="1"/>
        <c:majorTickMark val="out"/>
        <c:minorTickMark val="none"/>
        <c:tickLblPos val="nextTo"/>
        <c:crossAx val="1244835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Griffin</c:v>
          </c:tx>
          <c:spPr>
            <a:pattFill prst="smGrid">
              <a:fgClr>
                <a:srgbClr val="C00000"/>
              </a:fgClr>
              <a:bgClr>
                <a:schemeClr val="bg1"/>
              </a:bgClr>
            </a:pattFill>
            <a:ln w="28575">
              <a:noFill/>
            </a:ln>
          </c:spPr>
          <c:invertIfNegative val="0"/>
          <c:cat>
            <c:strRef>
              <c:f>'B-C ratio combined'!$A$7:$A$10</c:f>
              <c:strCache>
                <c:ptCount val="4"/>
                <c:pt idx="0">
                  <c:v>1000-4999</c:v>
                </c:pt>
                <c:pt idx="1">
                  <c:v>5000-9999</c:v>
                </c:pt>
                <c:pt idx="2">
                  <c:v>10000-19999</c:v>
                </c:pt>
                <c:pt idx="3">
                  <c:v>≥20000</c:v>
                </c:pt>
              </c:strCache>
            </c:strRef>
          </c:cat>
          <c:val>
            <c:numRef>
              <c:f>'B-C ratio combined'!$B$7:$B$10</c:f>
              <c:numCache>
                <c:formatCode>General</c:formatCode>
                <c:ptCount val="4"/>
                <c:pt idx="0">
                  <c:v>6.03</c:v>
                </c:pt>
                <c:pt idx="1">
                  <c:v>11.66</c:v>
                </c:pt>
                <c:pt idx="2">
                  <c:v>18.04</c:v>
                </c:pt>
                <c:pt idx="3">
                  <c:v>38.24</c:v>
                </c:pt>
              </c:numCache>
            </c:numRef>
          </c:val>
        </c:ser>
        <c:ser>
          <c:idx val="0"/>
          <c:order val="1"/>
          <c:tx>
            <c:v>Oconnell</c:v>
          </c:tx>
          <c:spPr>
            <a:pattFill prst="pct60">
              <a:fgClr>
                <a:schemeClr val="tx1"/>
              </a:fgClr>
              <a:bgClr>
                <a:schemeClr val="bg1"/>
              </a:bgClr>
            </a:pattFill>
            <a:ln w="28575">
              <a:noFill/>
            </a:ln>
          </c:spPr>
          <c:invertIfNegative val="0"/>
          <c:cat>
            <c:strRef>
              <c:f>'B-C ratio combined'!$A$7:$A$10</c:f>
              <c:strCache>
                <c:ptCount val="4"/>
                <c:pt idx="0">
                  <c:v>1000-4999</c:v>
                </c:pt>
                <c:pt idx="1">
                  <c:v>5000-9999</c:v>
                </c:pt>
                <c:pt idx="2">
                  <c:v>10000-19999</c:v>
                </c:pt>
                <c:pt idx="3">
                  <c:v>≥20000</c:v>
                </c:pt>
              </c:strCache>
            </c:strRef>
          </c:cat>
          <c:val>
            <c:numRef>
              <c:f>'B-C ratio combined'!$B$2:$B$5</c:f>
              <c:numCache>
                <c:formatCode>General</c:formatCode>
                <c:ptCount val="4"/>
                <c:pt idx="0">
                  <c:v>21.823308270676691</c:v>
                </c:pt>
                <c:pt idx="1">
                  <c:v>40.3125</c:v>
                </c:pt>
                <c:pt idx="2">
                  <c:v>62.41935483870968</c:v>
                </c:pt>
                <c:pt idx="3">
                  <c:v>135</c:v>
                </c:pt>
              </c:numCache>
            </c:numRef>
          </c:val>
        </c:ser>
        <c:ser>
          <c:idx val="4"/>
          <c:order val="3"/>
          <c:tx>
            <c:v>Ciketic</c:v>
          </c:tx>
          <c:spPr>
            <a:pattFill prst="ltUpDiag">
              <a:fgClr>
                <a:srgbClr val="7030A0"/>
              </a:fgClr>
              <a:bgClr>
                <a:schemeClr val="bg1"/>
              </a:bgClr>
            </a:pattFill>
          </c:spPr>
          <c:invertIfNegative val="0"/>
          <c:val>
            <c:numRef>
              <c:f>'B-C ratio combined'!$B$15</c:f>
              <c:numCache>
                <c:formatCode>General</c:formatCode>
                <c:ptCount val="1"/>
                <c:pt idx="0">
                  <c:v>16.510000000000002</c:v>
                </c:pt>
              </c:numCache>
            </c:numRef>
          </c:val>
        </c:ser>
        <c:ser>
          <c:idx val="2"/>
          <c:order val="4"/>
          <c:tx>
            <c:v>Cobiac</c:v>
          </c:tx>
          <c:spPr>
            <a:pattFill prst="dkDnDiag">
              <a:fgClr>
                <a:srgbClr val="00B050"/>
              </a:fgClr>
              <a:bgClr>
                <a:schemeClr val="bg1"/>
              </a:bgClr>
            </a:pattFill>
            <a:ln w="28575">
              <a:noFill/>
            </a:ln>
          </c:spPr>
          <c:invertIfNegative val="0"/>
          <c:cat>
            <c:strRef>
              <c:f>'B-C ratio combined'!$A$7:$A$10</c:f>
              <c:strCache>
                <c:ptCount val="4"/>
                <c:pt idx="0">
                  <c:v>1000-4999</c:v>
                </c:pt>
                <c:pt idx="1">
                  <c:v>5000-9999</c:v>
                </c:pt>
                <c:pt idx="2">
                  <c:v>10000-19999</c:v>
                </c:pt>
                <c:pt idx="3">
                  <c:v>≥20000</c:v>
                </c:pt>
              </c:strCache>
            </c:strRef>
          </c:cat>
          <c:val>
            <c:numRef>
              <c:f>'B-C ratio combined'!$B$6</c:f>
              <c:numCache>
                <c:formatCode>General</c:formatCode>
                <c:ptCount val="1"/>
                <c:pt idx="0">
                  <c:v>37.69</c:v>
                </c:pt>
              </c:numCache>
            </c:numRef>
          </c:val>
        </c:ser>
        <c:dLbls>
          <c:showLegendKey val="0"/>
          <c:showVal val="0"/>
          <c:showCatName val="0"/>
          <c:showSerName val="0"/>
          <c:showPercent val="0"/>
          <c:showBubbleSize val="0"/>
        </c:dLbls>
        <c:gapWidth val="147"/>
        <c:axId val="124484744"/>
        <c:axId val="85624624"/>
        <c:extLst>
          <c:ext xmlns:c15="http://schemas.microsoft.com/office/drawing/2012/chart" uri="{02D57815-91ED-43cb-92C2-25804820EDAC}">
            <c15:filteredBarSeries>
              <c15:ser>
                <c:idx val="3"/>
                <c:order val="2"/>
                <c:tx>
                  <c:v>Tchouaket</c:v>
                </c:tx>
                <c:invertIfNegative val="0"/>
                <c:cat>
                  <c:strRef>
                    <c:extLst>
                      <c:ext uri="{02D57815-91ED-43cb-92C2-25804820EDAC}">
                        <c15:formulaRef>
                          <c15:sqref>'B-C ratio combined'!$A$7:$A$10</c15:sqref>
                        </c15:formulaRef>
                      </c:ext>
                    </c:extLst>
                    <c:strCache>
                      <c:ptCount val="4"/>
                      <c:pt idx="0">
                        <c:v>1000-4999</c:v>
                      </c:pt>
                      <c:pt idx="1">
                        <c:v>5000-9999</c:v>
                      </c:pt>
                      <c:pt idx="2">
                        <c:v>10000-19999</c:v>
                      </c:pt>
                      <c:pt idx="3">
                        <c:v>≥20000</c:v>
                      </c:pt>
                    </c:strCache>
                  </c:strRef>
                </c:cat>
                <c:val>
                  <c:numRef>
                    <c:extLst>
                      <c:ext uri="{02D57815-91ED-43cb-92C2-25804820EDAC}">
                        <c15:formulaRef>
                          <c15:sqref>'B-C ratio combined'!$B$11:$B$14</c15:sqref>
                        </c15:formulaRef>
                      </c:ext>
                    </c:extLst>
                    <c:numCache>
                      <c:formatCode>General</c:formatCode>
                      <c:ptCount val="4"/>
                      <c:pt idx="1">
                        <c:v>82.71</c:v>
                      </c:pt>
                      <c:pt idx="2" formatCode="&quot;$&quot;#,##0.00_);[Red]\(&quot;$&quot;#,##0.00\)">
                        <c:v>82.71</c:v>
                      </c:pt>
                      <c:pt idx="3" formatCode="&quot;$&quot;#,##0.00_);[Red]\(&quot;$&quot;#,##0.00\)">
                        <c:v>82.71</c:v>
                      </c:pt>
                    </c:numCache>
                  </c:numRef>
                </c:val>
              </c15:ser>
            </c15:filteredBarSeries>
          </c:ext>
        </c:extLst>
      </c:barChart>
      <c:catAx>
        <c:axId val="124484744"/>
        <c:scaling>
          <c:orientation val="minMax"/>
        </c:scaling>
        <c:delete val="0"/>
        <c:axPos val="b"/>
        <c:numFmt formatCode="General" sourceLinked="1"/>
        <c:majorTickMark val="none"/>
        <c:minorTickMark val="none"/>
        <c:tickLblPos val="nextTo"/>
        <c:crossAx val="85624624"/>
        <c:crosses val="autoZero"/>
        <c:auto val="1"/>
        <c:lblAlgn val="ctr"/>
        <c:lblOffset val="100"/>
        <c:noMultiLvlLbl val="0"/>
      </c:catAx>
      <c:valAx>
        <c:axId val="85624624"/>
        <c:scaling>
          <c:orientation val="minMax"/>
        </c:scaling>
        <c:delete val="0"/>
        <c:axPos val="l"/>
        <c:majorGridlines/>
        <c:numFmt formatCode="General" sourceLinked="1"/>
        <c:majorTickMark val="none"/>
        <c:minorTickMark val="none"/>
        <c:tickLblPos val="nextTo"/>
        <c:spPr>
          <a:ln w="9525">
            <a:noFill/>
          </a:ln>
        </c:spPr>
        <c:crossAx val="124484744"/>
        <c:crossesAt val="0"/>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Wright</c:v>
          </c:tx>
          <c:invertIfNegative val="0"/>
          <c:cat>
            <c:numRef>
              <c:f>'B-C ratio combined'!$A$16:$A$24</c:f>
              <c:numCache>
                <c:formatCode>General</c:formatCode>
                <c:ptCount val="9"/>
                <c:pt idx="0">
                  <c:v>1000</c:v>
                </c:pt>
                <c:pt idx="1">
                  <c:v>5000</c:v>
                </c:pt>
                <c:pt idx="2">
                  <c:v>10000</c:v>
                </c:pt>
                <c:pt idx="3">
                  <c:v>25000</c:v>
                </c:pt>
                <c:pt idx="4">
                  <c:v>50000</c:v>
                </c:pt>
                <c:pt idx="5">
                  <c:v>75000</c:v>
                </c:pt>
                <c:pt idx="6">
                  <c:v>100000</c:v>
                </c:pt>
                <c:pt idx="7">
                  <c:v>200000</c:v>
                </c:pt>
                <c:pt idx="8">
                  <c:v>300000</c:v>
                </c:pt>
              </c:numCache>
            </c:numRef>
          </c:cat>
          <c:val>
            <c:numRef>
              <c:f>'B-C ratio combined'!$B$16:$B$24</c:f>
              <c:numCache>
                <c:formatCode>General</c:formatCode>
                <c:ptCount val="9"/>
                <c:pt idx="0">
                  <c:v>1.1200000000000001</c:v>
                </c:pt>
                <c:pt idx="1">
                  <c:v>5.18</c:v>
                </c:pt>
                <c:pt idx="2">
                  <c:v>9.51</c:v>
                </c:pt>
                <c:pt idx="3">
                  <c:v>19.079999999999998</c:v>
                </c:pt>
                <c:pt idx="4">
                  <c:v>27.88</c:v>
                </c:pt>
                <c:pt idx="5">
                  <c:v>33.590000000000003</c:v>
                </c:pt>
                <c:pt idx="6">
                  <c:v>37.659999999999997</c:v>
                </c:pt>
                <c:pt idx="7">
                  <c:v>45.31</c:v>
                </c:pt>
                <c:pt idx="8">
                  <c:v>48.79</c:v>
                </c:pt>
              </c:numCache>
            </c:numRef>
          </c:val>
        </c:ser>
        <c:dLbls>
          <c:showLegendKey val="0"/>
          <c:showVal val="0"/>
          <c:showCatName val="0"/>
          <c:showSerName val="0"/>
          <c:showPercent val="0"/>
          <c:showBubbleSize val="0"/>
        </c:dLbls>
        <c:gapWidth val="150"/>
        <c:axId val="126808944"/>
        <c:axId val="126809336"/>
      </c:barChart>
      <c:catAx>
        <c:axId val="126808944"/>
        <c:scaling>
          <c:orientation val="minMax"/>
        </c:scaling>
        <c:delete val="0"/>
        <c:axPos val="b"/>
        <c:numFmt formatCode="General" sourceLinked="1"/>
        <c:majorTickMark val="out"/>
        <c:minorTickMark val="none"/>
        <c:tickLblPos val="nextTo"/>
        <c:crossAx val="126809336"/>
        <c:crosses val="autoZero"/>
        <c:auto val="1"/>
        <c:lblAlgn val="ctr"/>
        <c:lblOffset val="100"/>
        <c:noMultiLvlLbl val="0"/>
      </c:catAx>
      <c:valAx>
        <c:axId val="126809336"/>
        <c:scaling>
          <c:orientation val="minMax"/>
        </c:scaling>
        <c:delete val="0"/>
        <c:axPos val="l"/>
        <c:majorGridlines/>
        <c:numFmt formatCode="General" sourceLinked="1"/>
        <c:majorTickMark val="out"/>
        <c:minorTickMark val="none"/>
        <c:tickLblPos val="nextTo"/>
        <c:crossAx val="126808944"/>
        <c:crosses val="autoZero"/>
        <c:crossBetween val="between"/>
      </c:valAx>
    </c:plotArea>
    <c:legend>
      <c:legendPos val="r"/>
      <c:layout>
        <c:manualLayout>
          <c:xMode val="edge"/>
          <c:yMode val="edge"/>
          <c:x val="0.85286198600174978"/>
          <c:y val="0.65947251385243499"/>
          <c:w val="0.12491579177602799"/>
          <c:h val="8.371719160104987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Kate</dc:creator>
  <cp:lastModifiedBy>Ran, Tao (CDC/OPHSS/CSELS) (CTR)</cp:lastModifiedBy>
  <cp:revision>2</cp:revision>
  <dcterms:created xsi:type="dcterms:W3CDTF">2015-07-02T18:22:00Z</dcterms:created>
  <dcterms:modified xsi:type="dcterms:W3CDTF">2015-07-02T18:22:00Z</dcterms:modified>
</cp:coreProperties>
</file>