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8E" w:rsidRPr="00281A8E" w:rsidRDefault="00281A8E" w:rsidP="00281A8E">
      <w:pPr>
        <w:keepNext/>
        <w:keepLines/>
        <w:spacing w:before="240" w:after="0"/>
        <w:outlineLvl w:val="0"/>
        <w:rPr>
          <w:rFonts w:asciiTheme="majorHAnsi" w:eastAsiaTheme="majorEastAsia" w:hAnsiTheme="majorHAnsi" w:cstheme="majorBidi"/>
          <w:b/>
          <w:sz w:val="28"/>
          <w:szCs w:val="32"/>
        </w:rPr>
      </w:pPr>
      <w:bookmarkStart w:id="0" w:name="_GoBack"/>
      <w:bookmarkEnd w:id="0"/>
      <w:r w:rsidRPr="00281A8E">
        <w:rPr>
          <w:rFonts w:asciiTheme="majorHAnsi" w:eastAsiaTheme="majorEastAsia" w:hAnsiTheme="majorHAnsi" w:cstheme="majorBidi"/>
          <w:b/>
          <w:sz w:val="28"/>
          <w:szCs w:val="32"/>
        </w:rPr>
        <w:t xml:space="preserve">Appendix. </w:t>
      </w:r>
    </w:p>
    <w:p w:rsidR="00281A8E" w:rsidRPr="00281A8E" w:rsidRDefault="00281A8E" w:rsidP="00281A8E">
      <w:pPr>
        <w:keepNext/>
        <w:keepLines/>
        <w:spacing w:before="40" w:after="0"/>
        <w:outlineLvl w:val="1"/>
        <w:rPr>
          <w:rFonts w:asciiTheme="majorHAnsi" w:eastAsiaTheme="majorEastAsia" w:hAnsiTheme="majorHAnsi" w:cstheme="majorBidi"/>
          <w:b/>
          <w:sz w:val="24"/>
          <w:szCs w:val="26"/>
        </w:rPr>
      </w:pPr>
      <w:r w:rsidRPr="00281A8E">
        <w:rPr>
          <w:rFonts w:asciiTheme="majorHAnsi" w:eastAsiaTheme="majorEastAsia" w:hAnsiTheme="majorHAnsi" w:cstheme="majorBidi"/>
          <w:b/>
          <w:sz w:val="24"/>
          <w:szCs w:val="26"/>
        </w:rPr>
        <w:t>TSEIR model structure</w:t>
      </w:r>
    </w:p>
    <w:p w:rsidR="00281A8E" w:rsidRPr="00281A8E" w:rsidRDefault="00281A8E" w:rsidP="00281A8E">
      <w:pPr>
        <w:spacing w:line="480" w:lineRule="auto"/>
      </w:pPr>
      <w:r w:rsidRPr="00281A8E">
        <w:t xml:space="preserve">The epidemic model was based on several published models for measles </w:t>
      </w:r>
      <w:r w:rsidRPr="00281A8E">
        <w:fldChar w:fldCharType="begin">
          <w:fldData xml:space="preserve">PEVuZE5vdGU+PENpdGU+PEF1dGhvcj5IZXRoY290ZTwvQXV0aG9yPjxZZWFyPjIwMDA8L1llYXI+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</w:fldData>
        </w:fldChar>
      </w:r>
      <w:r w:rsidRPr="00281A8E">
        <w:instrText xml:space="preserve"> ADDIN EN.CITE </w:instrText>
      </w:r>
      <w:r w:rsidRPr="00281A8E">
        <w:fldChar w:fldCharType="begin">
          <w:fldData xml:space="preserve">PEVuZE5vdGU+PENpdGU+PEF1dGhvcj5IZXRoY290ZTwvQXV0aG9yPjxZZWFyPjIwMDA8L1llYXI+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</w:fldData>
        </w:fldChar>
      </w:r>
      <w:r w:rsidRPr="00281A8E">
        <w:instrText xml:space="preserve"> ADDIN EN.CITE.DATA </w:instrText>
      </w:r>
      <w:r w:rsidRPr="00281A8E">
        <w:fldChar w:fldCharType="end"/>
      </w:r>
      <w:r w:rsidRPr="00281A8E">
        <w:fldChar w:fldCharType="separate"/>
      </w:r>
      <w:r w:rsidRPr="00281A8E">
        <w:rPr>
          <w:noProof/>
          <w:vertAlign w:val="superscript"/>
        </w:rPr>
        <w:t>36-38</w:t>
      </w:r>
      <w:r w:rsidRPr="00281A8E">
        <w:fldChar w:fldCharType="end"/>
      </w:r>
      <w:r w:rsidRPr="00281A8E">
        <w:t>. Our model is characterized by the following difference equations:</w:t>
      </w:r>
    </w:p>
    <w:p w:rsidR="00281A8E" w:rsidRPr="00281A8E" w:rsidRDefault="00281A8E" w:rsidP="00281A8E">
      <w:pPr>
        <w:rPr>
          <w:rFonts w:eastAsiaTheme="minorEastAsia"/>
        </w:rPr>
      </w:pPr>
      <w:r w:rsidRPr="00281A8E">
        <w:rPr>
          <w:rFonts w:eastAsiaTheme="minorEastAsia"/>
        </w:rPr>
        <w:t xml:space="preserve"> [1] </w:t>
      </w:r>
      <w:r w:rsidRPr="00281A8E">
        <w:rPr>
          <w:rFonts w:eastAsiaTheme="minorEastAsia"/>
        </w:rPr>
        <w:tab/>
      </w:r>
      <m:oMath>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rPr>
          <m:t>=-</m:t>
        </m:r>
        <m:r>
          <w:rPr>
            <w:rFonts w:ascii="Cambria Math" w:eastAsiaTheme="minorEastAsia" w:hAnsi="Cambria Math"/>
          </w:rPr>
          <m:t>β</m:t>
        </m:r>
        <m:sSup>
          <m:sSupPr>
            <m:ctrlPr>
              <w:rPr>
                <w:rFonts w:ascii="Cambria Math" w:eastAsiaTheme="minorEastAsia" w:hAnsi="Cambria Math"/>
                <w:i/>
              </w:rPr>
            </m:ctrlPr>
          </m:sSupPr>
          <m:e>
            <m:d>
              <m:dPr>
                <m:ctrlPr>
                  <w:rPr>
                    <w:rFonts w:ascii="Cambria Math" w:eastAsiaTheme="minorEastAsia" w:hAnsi="Cambria Math"/>
                    <w:i/>
                  </w:rPr>
                </m:ctrlPr>
              </m:dPr>
              <m:e>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e>
          <m:sup>
            <m:r>
              <w:rPr>
                <w:rFonts w:ascii="Cambria Math" w:eastAsiaTheme="minorEastAsia" w:hAnsi="Cambria Math"/>
              </w:rPr>
              <m:t>λ</m:t>
            </m:r>
          </m:sup>
        </m:sSup>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child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e>
            </m:d>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child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t</m:t>
                    </m:r>
                  </m:sub>
                </m:sSub>
              </m:e>
            </m:d>
          </m:sub>
        </m:sSub>
      </m:oMath>
    </w:p>
    <w:p w:rsidR="00281A8E" w:rsidRPr="00281A8E" w:rsidRDefault="00281A8E" w:rsidP="00281A8E">
      <w:pPr>
        <w:rPr>
          <w:rFonts w:eastAsiaTheme="minorEastAsia"/>
        </w:rPr>
      </w:pPr>
      <w:r w:rsidRPr="00281A8E">
        <w:rPr>
          <w:rFonts w:eastAsiaTheme="minorEastAsia"/>
        </w:rPr>
        <w:t xml:space="preserve"> [2] </w:t>
      </w:r>
      <w:r w:rsidRPr="00281A8E">
        <w:rPr>
          <w:rFonts w:eastAsiaTheme="minorEastAsia"/>
        </w:rPr>
        <w:tab/>
      </w:r>
      <m:oMath>
        <m:f>
          <m:fPr>
            <m:ctrlPr>
              <w:rPr>
                <w:rFonts w:ascii="Cambria Math" w:hAnsi="Cambria Math"/>
                <w:i/>
              </w:rPr>
            </m:ctrlPr>
          </m:fPr>
          <m:num>
            <m:r>
              <w:rPr>
                <w:rFonts w:ascii="Cambria Math" w:hAnsi="Cambria Math"/>
              </w:rPr>
              <m:t>∆E</m:t>
            </m:r>
          </m:num>
          <m:den>
            <m:r>
              <w:rPr>
                <w:rFonts w:ascii="Cambria Math" w:hAnsi="Cambria Math"/>
              </w:rPr>
              <m:t>∆t</m:t>
            </m:r>
          </m:den>
        </m:f>
        <m:r>
          <w:rPr>
            <w:rFonts w:ascii="Cambria Math" w:hAnsi="Cambria Math"/>
          </w:rPr>
          <m:t>=</m:t>
        </m:r>
        <m:r>
          <w:rPr>
            <w:rFonts w:ascii="Cambria Math" w:eastAsiaTheme="minorEastAsia" w:hAnsi="Cambria Math"/>
          </w:rPr>
          <m:t>β</m:t>
        </m:r>
        <m:sSup>
          <m:sSupPr>
            <m:ctrlPr>
              <w:rPr>
                <w:rFonts w:ascii="Cambria Math" w:eastAsiaTheme="minorEastAsia" w:hAnsi="Cambria Math"/>
                <w:i/>
              </w:rPr>
            </m:ctrlPr>
          </m:sSupPr>
          <m:e>
            <m:d>
              <m:dPr>
                <m:ctrlPr>
                  <w:rPr>
                    <w:rFonts w:ascii="Cambria Math" w:eastAsiaTheme="minorEastAsia" w:hAnsi="Cambria Math"/>
                    <w:i/>
                  </w:rPr>
                </m:ctrlPr>
              </m:dPr>
              <m:e>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e>
          <m:sup>
            <m:r>
              <w:rPr>
                <w:rFonts w:ascii="Cambria Math" w:eastAsiaTheme="minorEastAsia" w:hAnsi="Cambria Math"/>
              </w:rPr>
              <m:t>λ</m:t>
            </m:r>
          </m:sup>
        </m:sSup>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-α</m:t>
        </m:r>
        <m:sSub>
          <m:sSubPr>
            <m:ctrlPr>
              <w:rPr>
                <w:rFonts w:ascii="Cambria Math" w:hAnsi="Cambria Math"/>
                <w:i/>
              </w:rPr>
            </m:ctrlPr>
          </m:sSubPr>
          <m:e>
            <m:r>
              <w:rPr>
                <w:rFonts w:ascii="Cambria Math" w:hAnsi="Cambria Math"/>
              </w:rPr>
              <m:t>E</m:t>
            </m:r>
          </m:e>
          <m:sub>
            <m:r>
              <w:rPr>
                <w:rFonts w:ascii="Cambria Math" w:hAnsi="Cambria Math"/>
              </w:rPr>
              <m:t>t</m:t>
            </m:r>
          </m:sub>
        </m:sSub>
      </m:oMath>
    </w:p>
    <w:p w:rsidR="00281A8E" w:rsidRPr="00281A8E" w:rsidRDefault="00281A8E" w:rsidP="00281A8E">
      <w:r w:rsidRPr="00281A8E">
        <w:rPr>
          <w:rFonts w:eastAsiaTheme="minorEastAsia"/>
        </w:rPr>
        <w:t xml:space="preserve">[3] </w:t>
      </w:r>
      <w:r w:rsidRPr="00281A8E">
        <w:rPr>
          <w:rFonts w:eastAsiaTheme="minorEastAsia"/>
        </w:rPr>
        <w:tab/>
      </w:r>
      <m:oMath>
        <m:f>
          <m:fPr>
            <m:ctrlPr>
              <w:rPr>
                <w:rFonts w:ascii="Cambria Math" w:hAnsi="Cambria Math"/>
                <w:i/>
              </w:rPr>
            </m:ctrlPr>
          </m:fPr>
          <m:num>
            <m:r>
              <w:rPr>
                <w:rFonts w:ascii="Cambria Math" w:hAnsi="Cambria Math"/>
              </w:rPr>
              <m:t>∆I</m:t>
            </m:r>
          </m:num>
          <m:den>
            <m:r>
              <w:rPr>
                <w:rFonts w:ascii="Cambria Math" w:hAnsi="Cambria Math"/>
              </w:rPr>
              <m:t>∆t</m:t>
            </m:r>
          </m:den>
        </m:f>
        <m:r>
          <w:rPr>
            <w:rFonts w:ascii="Cambria Math" w:hAnsi="Cambria Math"/>
          </w:rPr>
          <m:t>=α</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eastAsiaTheme="minorEastAsia" w:hAnsi="Cambria Math"/>
          </w:rPr>
          <m:t>-</m:t>
        </m:r>
        <m:r>
          <w:rPr>
            <w:rFonts w:ascii="Cambria Math" w:hAnsi="Cambria Math"/>
          </w:rPr>
          <m:t>γ</m:t>
        </m:r>
        <m:sSub>
          <m:sSubPr>
            <m:ctrlPr>
              <w:rPr>
                <w:rFonts w:ascii="Cambria Math" w:hAnsi="Cambria Math"/>
                <w:i/>
              </w:rPr>
            </m:ctrlPr>
          </m:sSubPr>
          <m:e>
            <m:r>
              <w:rPr>
                <w:rFonts w:ascii="Cambria Math" w:hAnsi="Cambria Math"/>
              </w:rPr>
              <m:t>I</m:t>
            </m:r>
          </m:e>
          <m:sub>
            <m:r>
              <w:rPr>
                <w:rFonts w:ascii="Cambria Math" w:hAnsi="Cambria Math"/>
              </w:rPr>
              <m:t>t</m:t>
            </m:r>
          </m:sub>
        </m:sSub>
      </m:oMath>
    </w:p>
    <w:p w:rsidR="00281A8E" w:rsidRPr="00281A8E" w:rsidRDefault="00281A8E" w:rsidP="00281A8E">
      <w:r w:rsidRPr="00281A8E">
        <w:rPr>
          <w:rFonts w:eastAsiaTheme="minorEastAsia"/>
        </w:rPr>
        <w:t xml:space="preserve">[4] </w:t>
      </w:r>
      <w:r w:rsidRPr="00281A8E">
        <w:rPr>
          <w:rFonts w:eastAsiaTheme="minorEastAsia"/>
        </w:rPr>
        <w:tab/>
      </w:r>
      <m:oMath>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=γ</m:t>
        </m:r>
        <m:sSub>
          <m:sSubPr>
            <m:ctrlPr>
              <w:rPr>
                <w:rFonts w:ascii="Cambria Math" w:hAnsi="Cambria Math"/>
                <w:i/>
              </w:rPr>
            </m:ctrlPr>
          </m:sSubPr>
          <m:e>
            <m:r>
              <w:rPr>
                <w:rFonts w:ascii="Cambria Math" w:hAnsi="Cambria Math"/>
              </w:rPr>
              <m:t>I</m:t>
            </m:r>
          </m:e>
          <m:sub>
            <m:r>
              <w:rPr>
                <w:rFonts w:ascii="Cambria Math" w:hAnsi="Cambria Math"/>
              </w:rPr>
              <m:t>t</m:t>
            </m:r>
          </m:sub>
        </m:sSub>
      </m:oMath>
    </w:p>
    <w:p w:rsidR="00281A8E" w:rsidRPr="00281A8E" w:rsidRDefault="00281A8E" w:rsidP="00281A8E">
      <w:r w:rsidRPr="00281A8E">
        <w:rPr>
          <w:rFonts w:eastAsiaTheme="minorEastAsia"/>
        </w:rPr>
        <w:t xml:space="preserve">[5] </w:t>
      </w:r>
      <w:r w:rsidRPr="00281A8E">
        <w:rPr>
          <w:rFonts w:eastAsiaTheme="minorEastAsia"/>
        </w:rPr>
        <w:tab/>
      </w:r>
      <m:oMath>
        <m:f>
          <m:fPr>
            <m:ctrlPr>
              <w:rPr>
                <w:rFonts w:ascii="Cambria Math" w:hAnsi="Cambria Math"/>
                <w:i/>
              </w:rPr>
            </m:ctrlPr>
          </m:fPr>
          <m:num>
            <m:r>
              <w:rPr>
                <w:rFonts w:ascii="Cambria Math" w:hAnsi="Cambria Math"/>
              </w:rPr>
              <m:t>∆V</m:t>
            </m:r>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child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e>
            </m:d>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child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e>
        </m:d>
        <m:sSub>
          <m:sSubPr>
            <m:ctrlPr>
              <w:rPr>
                <w:rFonts w:ascii="Cambria Math" w:hAnsi="Cambria Math"/>
                <w:i/>
              </w:rPr>
            </m:ctrlPr>
          </m:sSubPr>
          <m:e>
            <m:r>
              <w:rPr>
                <w:rFonts w:ascii="Cambria Math" w:hAnsi="Cambria Math"/>
              </w:rPr>
              <m:t>1</m:t>
            </m:r>
          </m:e>
          <m: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t</m:t>
                    </m:r>
                  </m:sub>
                </m:sSub>
              </m:e>
            </m:d>
          </m:sub>
        </m:sSub>
      </m:oMath>
    </w:p>
    <w:p w:rsidR="00281A8E" w:rsidRPr="00281A8E" w:rsidRDefault="00281A8E" w:rsidP="00281A8E">
      <w:pPr>
        <w:spacing w:line="480" w:lineRule="auto"/>
        <w:rPr>
          <w:rFonts w:eastAsiaTheme="minorEastAsia"/>
        </w:rPr>
      </w:pPr>
      <w:r w:rsidRPr="00281A8E">
        <w:t xml:space="preserve">Population compartments are represented </w:t>
      </w:r>
      <w:proofErr w:type="gramStart"/>
      <w:r w:rsidRPr="00281A8E">
        <w:t xml:space="preserve">by </w:t>
      </w:r>
      <w:proofErr w:type="gramEnd"/>
      <m:oMath>
        <m:r>
          <w:rPr>
            <w:rFonts w:ascii="Cambria Math" w:hAnsi="Cambria Math"/>
          </w:rPr>
          <m:t>S</m:t>
        </m:r>
      </m:oMath>
      <w:r w:rsidRPr="00281A8E">
        <w:rPr>
          <w:rFonts w:eastAsiaTheme="minorEastAsia"/>
        </w:rPr>
        <w:t>,</w:t>
      </w:r>
      <m:oMath>
        <m:r>
          <w:rPr>
            <w:rFonts w:ascii="Cambria Math" w:hAnsi="Cambria Math"/>
          </w:rPr>
          <m:t>E</m:t>
        </m:r>
      </m:oMath>
      <w:r w:rsidRPr="00281A8E">
        <w:rPr>
          <w:rFonts w:eastAsiaTheme="minorEastAsia"/>
        </w:rPr>
        <w:t>,</w:t>
      </w:r>
      <m:oMath>
        <m:r>
          <w:rPr>
            <w:rFonts w:ascii="Cambria Math" w:hAnsi="Cambria Math"/>
          </w:rPr>
          <m:t>I</m:t>
        </m:r>
      </m:oMath>
      <w:r w:rsidRPr="00281A8E">
        <w:rPr>
          <w:rFonts w:eastAsiaTheme="minorEastAsia"/>
        </w:rPr>
        <w:t>,</w:t>
      </w:r>
      <m:oMath>
        <m:r>
          <w:rPr>
            <w:rFonts w:ascii="Cambria Math" w:hAnsi="Cambria Math"/>
          </w:rPr>
          <m:t>R</m:t>
        </m:r>
      </m:oMath>
      <w:r w:rsidRPr="00281A8E">
        <w:rPr>
          <w:rFonts w:eastAsiaTheme="minorEastAsia"/>
        </w:rPr>
        <w:t xml:space="preserve">, and </w:t>
      </w:r>
      <m:oMath>
        <m:r>
          <w:rPr>
            <w:rFonts w:ascii="Cambria Math" w:hAnsi="Cambria Math"/>
          </w:rPr>
          <m:t>V</m:t>
        </m:r>
      </m:oMath>
      <w:r w:rsidRPr="00281A8E">
        <w:rPr>
          <w:rFonts w:eastAsiaTheme="minorEastAsia"/>
        </w:rPr>
        <w:t xml:space="preserve">. These refer to, respectively, individuals who are susceptible, exposed, infectious, removed, and vaccinated. The total population of the system is represented </w:t>
      </w:r>
      <w:proofErr w:type="gramStart"/>
      <w:r w:rsidRPr="00281A8E">
        <w:rPr>
          <w:rFonts w:eastAsiaTheme="minorEastAsia"/>
        </w:rPr>
        <w:t xml:space="preserve">by </w:t>
      </w:r>
      <w:proofErr w:type="gramEnd"/>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oMath>
      <w:r w:rsidRPr="00281A8E">
        <w:rPr>
          <w:rFonts w:eastAsiaTheme="minorEastAsia"/>
        </w:rPr>
        <w:t xml:space="preserve">, the population of “children” is represented by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child</m:t>
            </m:r>
          </m:sub>
        </m:sSub>
      </m:oMath>
      <w:r w:rsidRPr="00281A8E">
        <w:rPr>
          <w:rFonts w:eastAsiaTheme="minorEastAsia"/>
        </w:rPr>
        <w:t>. The proportion of chil</w:t>
      </w:r>
      <w:proofErr w:type="spellStart"/>
      <w:r w:rsidRPr="00281A8E">
        <w:rPr>
          <w:rFonts w:eastAsiaTheme="minorEastAsia"/>
        </w:rPr>
        <w:t>dren</w:t>
      </w:r>
      <w:proofErr w:type="spellEnd"/>
      <w:r w:rsidRPr="00281A8E">
        <w:rPr>
          <w:rFonts w:eastAsiaTheme="minorEastAsia"/>
        </w:rPr>
        <w:t xml:space="preserve"> in the population is captured by the </w:t>
      </w:r>
      <w:proofErr w:type="gramStart"/>
      <w:r w:rsidRPr="00281A8E">
        <w:rPr>
          <w:rFonts w:eastAsiaTheme="minorEastAsia"/>
        </w:rPr>
        <w:t xml:space="preserve">ratio </w:t>
      </w:r>
      <w:proofErr w:type="gramEnd"/>
      <m:oMath>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child</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all</m:t>
                </m:r>
              </m:sub>
            </m:sSub>
          </m:den>
        </m:f>
      </m:oMath>
      <w:r w:rsidRPr="00281A8E">
        <w:rPr>
          <w:rFonts w:eastAsiaTheme="minorEastAsia"/>
        </w:rPr>
        <w:t xml:space="preserve">. In addition to population levels in the susceptible and infectous compartments, the parameters that dictate transmission of the pathogen are the contact rate </w:t>
      </w:r>
      <m:oMath>
        <m:r>
          <w:rPr>
            <w:rFonts w:ascii="Cambria Math" w:eastAsiaTheme="minorEastAsia" w:hAnsi="Cambria Math"/>
          </w:rPr>
          <m:t>β</m:t>
        </m:r>
      </m:oMath>
      <w:r w:rsidRPr="00281A8E">
        <w:rPr>
          <w:rFonts w:eastAsiaTheme="minorEastAsia"/>
        </w:rPr>
        <w:t xml:space="preserve"> and a mixing </w:t>
      </w:r>
      <w:proofErr w:type="gramStart"/>
      <w:r w:rsidRPr="00281A8E">
        <w:rPr>
          <w:rFonts w:eastAsiaTheme="minorEastAsia"/>
        </w:rPr>
        <w:t xml:space="preserve">coefficient </w:t>
      </w:r>
      <w:proofErr w:type="gramEnd"/>
      <m:oMath>
        <m:r>
          <w:rPr>
            <w:rFonts w:ascii="Cambria Math" w:eastAsiaTheme="minorEastAsia" w:hAnsi="Cambria Math"/>
          </w:rPr>
          <m:t>λ</m:t>
        </m:r>
      </m:oMath>
      <w:r w:rsidRPr="00281A8E">
        <w:rPr>
          <w:rFonts w:eastAsiaTheme="minorEastAsia"/>
        </w:rPr>
        <w:t xml:space="preserve">. A mixing coefficient less than one can reduce bias from non-uniform mixing in the population. The vaccination parameter </w:t>
      </w:r>
      <m:oMath>
        <m:sSub>
          <m:sSubPr>
            <m:ctrlPr>
              <w:rPr>
                <w:rFonts w:ascii="Cambria Math" w:hAnsi="Cambria Math"/>
                <w:i/>
              </w:rPr>
            </m:ctrlPr>
          </m:sSubPr>
          <m:e>
            <m:r>
              <w:rPr>
                <w:rFonts w:ascii="Cambria Math" w:hAnsi="Cambria Math"/>
              </w:rPr>
              <m:t>θ</m:t>
            </m:r>
          </m:e>
          <m:sub>
            <m:r>
              <w:rPr>
                <w:rFonts w:ascii="Cambria Math" w:hAnsi="Cambria Math"/>
              </w:rPr>
              <m:t>t</m:t>
            </m:r>
          </m:sub>
        </m:sSub>
      </m:oMath>
      <w:r w:rsidRPr="00281A8E">
        <w:rPr>
          <w:rFonts w:eastAsiaTheme="minorEastAsia"/>
        </w:rPr>
        <w:t xml:space="preserve"> is the daily change in vaccine coverage for the </w:t>
      </w:r>
      <w:proofErr w:type="gramStart"/>
      <w:r w:rsidRPr="00281A8E">
        <w:rPr>
          <w:rFonts w:eastAsiaTheme="minorEastAsia"/>
        </w:rPr>
        <w:t>target</w:t>
      </w:r>
      <w:proofErr w:type="gramEnd"/>
      <w:r w:rsidRPr="00281A8E">
        <w:rPr>
          <w:rFonts w:eastAsiaTheme="minorEastAsia"/>
        </w:rPr>
        <w:t xml:space="preserve"> age. Transition out of the exposed and infectious compartments occur at, respectively, rates </w:t>
      </w:r>
      <m:oMath>
        <m:r>
          <w:rPr>
            <w:rFonts w:ascii="Cambria Math" w:hAnsi="Cambria Math"/>
          </w:rPr>
          <m:t>α</m:t>
        </m:r>
      </m:oMath>
      <w:r w:rsidRPr="00281A8E">
        <w:rPr>
          <w:rFonts w:eastAsiaTheme="minorEastAsia"/>
        </w:rPr>
        <w:t xml:space="preserve"> </w:t>
      </w:r>
      <w:proofErr w:type="gramStart"/>
      <w:r w:rsidRPr="00281A8E">
        <w:rPr>
          <w:rFonts w:eastAsiaTheme="minorEastAsia"/>
        </w:rPr>
        <w:t xml:space="preserve">and </w:t>
      </w:r>
      <w:proofErr w:type="gramEnd"/>
      <m:oMath>
        <m:r>
          <w:rPr>
            <w:rFonts w:ascii="Cambria Math" w:hAnsi="Cambria Math"/>
          </w:rPr>
          <m:t>γ</m:t>
        </m:r>
      </m:oMath>
      <w:r w:rsidRPr="00281A8E">
        <w:rPr>
          <w:rFonts w:eastAsiaTheme="minorEastAsia"/>
        </w:rPr>
        <w:t xml:space="preserve">. </w:t>
      </w:r>
    </w:p>
    <w:p w:rsidR="00281A8E" w:rsidRPr="00281A8E" w:rsidRDefault="00281A8E" w:rsidP="00281A8E">
      <w:pPr>
        <w:spacing w:line="480" w:lineRule="auto"/>
        <w:rPr>
          <w:rFonts w:eastAsiaTheme="minorEastAsia"/>
        </w:rPr>
      </w:pPr>
      <w:r w:rsidRPr="00281A8E">
        <w:rPr>
          <w:rFonts w:eastAsiaTheme="minorEastAsia"/>
        </w:rPr>
        <w:t xml:space="preserve">Two terms govern the movement of </w:t>
      </w:r>
      <w:proofErr w:type="spellStart"/>
      <w:r w:rsidRPr="00281A8E">
        <w:rPr>
          <w:rFonts w:eastAsiaTheme="minorEastAsia"/>
        </w:rPr>
        <w:t>susceptibles</w:t>
      </w:r>
      <w:proofErr w:type="spellEnd"/>
      <w:r w:rsidRPr="00281A8E">
        <w:rPr>
          <w:rFonts w:eastAsiaTheme="minorEastAsia"/>
        </w:rPr>
        <w:t xml:space="preserve"> from the susceptible compartment to the vaccinated compartment. These terms are found in both the susceptible difference equation (Equation 1, second and third term), as well as the vaccinated difference equation (Equation 5). Depending on the extent of an outbreak, the number of </w:t>
      </w:r>
      <w:proofErr w:type="spellStart"/>
      <w:r w:rsidRPr="00281A8E">
        <w:rPr>
          <w:rFonts w:eastAsiaTheme="minorEastAsia"/>
        </w:rPr>
        <w:t>susceptibles</w:t>
      </w:r>
      <w:proofErr w:type="spellEnd"/>
      <w:r w:rsidRPr="00281A8E">
        <w:rPr>
          <w:rFonts w:eastAsiaTheme="minorEastAsia"/>
        </w:rPr>
        <w:t xml:space="preserve"> in the population may be insufficient to meet the vaccine coverage levels observed in data (rising infected populations remove </w:t>
      </w:r>
      <w:proofErr w:type="spellStart"/>
      <w:r w:rsidRPr="00281A8E">
        <w:rPr>
          <w:rFonts w:eastAsiaTheme="minorEastAsia"/>
        </w:rPr>
        <w:t>susceptibles</w:t>
      </w:r>
      <w:proofErr w:type="spellEnd"/>
      <w:r w:rsidRPr="00281A8E">
        <w:rPr>
          <w:rFonts w:eastAsiaTheme="minorEastAsia"/>
        </w:rPr>
        <w:t xml:space="preserve"> before they can be vaccinated). This potential event is captured in the model as the conditional</w:t>
      </w:r>
      <w:proofErr w:type="gramStart"/>
      <w:r w:rsidRPr="00281A8E">
        <w:rPr>
          <w:rFonts w:eastAsiaTheme="minorEastAsia"/>
        </w:rPr>
        <w:t xml:space="preserve">: </w:t>
      </w:r>
      <w:proofErr w:type="gramEnd"/>
      <m:oMath>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t</m:t>
            </m:r>
          </m:sub>
        </m:sSub>
      </m:oMath>
      <w:r w:rsidRPr="00281A8E">
        <w:rPr>
          <w:rFonts w:eastAsiaTheme="minorEastAsia"/>
        </w:rPr>
        <w:t xml:space="preserve">. If there are </w:t>
      </w:r>
      <w:r w:rsidRPr="00281A8E">
        <w:rPr>
          <w:rFonts w:eastAsiaTheme="minorEastAsia"/>
        </w:rPr>
        <w:lastRenderedPageBreak/>
        <w:t>sufficient numbers of susceptibles, then the remaining susceptibles of the target age group are vaccinated, even if that implies a vac</w:t>
      </w:r>
      <w:proofErr w:type="spellStart"/>
      <w:r w:rsidRPr="00281A8E">
        <w:rPr>
          <w:rFonts w:eastAsiaTheme="minorEastAsia"/>
        </w:rPr>
        <w:t>cination</w:t>
      </w:r>
      <w:proofErr w:type="spellEnd"/>
      <w:r w:rsidRPr="00281A8E">
        <w:rPr>
          <w:rFonts w:eastAsiaTheme="minorEastAsia"/>
        </w:rPr>
        <w:t xml:space="preserve"> coverage level that is lower than the level observed in the data.</w:t>
      </w:r>
    </w:p>
    <w:p w:rsidR="00281A8E" w:rsidRPr="00281A8E" w:rsidRDefault="00281A8E" w:rsidP="00281A8E">
      <w:pPr>
        <w:spacing w:line="480" w:lineRule="auto"/>
        <w:rPr>
          <w:rFonts w:eastAsiaTheme="minorEastAsia"/>
        </w:rPr>
      </w:pPr>
      <w:r w:rsidRPr="00281A8E">
        <w:rPr>
          <w:rFonts w:eastAsiaTheme="minorEastAsia"/>
        </w:rPr>
        <w:t>In addition to the difference equations, each simulation began with a set of initial conditions, which will be discussed in the next section, on model parameterization.</w:t>
      </w:r>
    </w:p>
    <w:p w:rsidR="00281A8E" w:rsidRPr="00281A8E" w:rsidRDefault="00281A8E" w:rsidP="00281A8E">
      <w:pPr>
        <w:keepNext/>
        <w:keepLines/>
        <w:spacing w:before="40" w:after="0" w:line="480" w:lineRule="auto"/>
        <w:outlineLvl w:val="1"/>
        <w:rPr>
          <w:rFonts w:asciiTheme="majorHAnsi" w:eastAsiaTheme="majorEastAsia" w:hAnsiTheme="majorHAnsi" w:cstheme="majorBidi"/>
          <w:b/>
          <w:sz w:val="24"/>
          <w:szCs w:val="26"/>
        </w:rPr>
      </w:pPr>
      <w:r w:rsidRPr="00281A8E">
        <w:rPr>
          <w:rFonts w:asciiTheme="majorHAnsi" w:eastAsiaTheme="majorEastAsia" w:hAnsiTheme="majorHAnsi" w:cstheme="majorBidi"/>
          <w:b/>
          <w:sz w:val="24"/>
          <w:szCs w:val="26"/>
        </w:rPr>
        <w:t>Model parameterization</w:t>
      </w:r>
    </w:p>
    <w:p w:rsidR="00281A8E" w:rsidRPr="00281A8E" w:rsidRDefault="00281A8E" w:rsidP="00281A8E">
      <w:pPr>
        <w:keepNext/>
        <w:keepLines/>
        <w:spacing w:before="40" w:after="0" w:line="480" w:lineRule="auto"/>
        <w:outlineLvl w:val="2"/>
        <w:rPr>
          <w:rFonts w:asciiTheme="majorHAnsi" w:eastAsiaTheme="majorEastAsia" w:hAnsiTheme="majorHAnsi" w:cstheme="majorBidi"/>
          <w:sz w:val="24"/>
          <w:szCs w:val="24"/>
        </w:rPr>
      </w:pPr>
      <w:r w:rsidRPr="00281A8E">
        <w:rPr>
          <w:rFonts w:asciiTheme="majorHAnsi" w:eastAsiaTheme="majorEastAsia" w:hAnsiTheme="majorHAnsi" w:cstheme="majorBidi"/>
          <w:sz w:val="24"/>
          <w:szCs w:val="24"/>
        </w:rPr>
        <w:t>Initial conditions</w:t>
      </w:r>
    </w:p>
    <w:p w:rsidR="00281A8E" w:rsidRPr="00281A8E" w:rsidRDefault="00281A8E" w:rsidP="00281A8E">
      <w:pPr>
        <w:spacing w:line="480" w:lineRule="auto"/>
      </w:pPr>
      <w:r w:rsidRPr="00281A8E">
        <w:rPr>
          <w:rFonts w:eastAsiaTheme="minorEastAsia"/>
        </w:rPr>
        <w:t xml:space="preserve">At the beginning of the simulation, the infected population was set equal to one. The vaccinated population was set equal to the total population multiplied by the proportion of adults with a history of vaccination, 89.5%. </w:t>
      </w:r>
      <w:r w:rsidRPr="00281A8E">
        <w:rPr>
          <w:rFonts w:ascii="Calibri" w:hAnsi="Calibri" w:cs="Calibri"/>
        </w:rPr>
        <w:t xml:space="preserve">The best available, published data on this value comes from a report in 2014, when the proportion of susceptible individuals under the age of 15 was approximately 11.5% </w:t>
      </w:r>
      <w:r w:rsidRPr="00281A8E">
        <w:rPr>
          <w:rFonts w:ascii="Calibri" w:hAnsi="Calibri" w:cs="Calibri"/>
        </w:rPr>
        <w:fldChar w:fldCharType="begin"/>
      </w:r>
      <w:r w:rsidRPr="00281A8E">
        <w:rPr>
          <w:rFonts w:ascii="Calibri" w:hAnsi="Calibri" w:cs="Calibri"/>
        </w:rPr>
        <w:instrText xml:space="preserve"> ADDIN EN.CITE &lt;EndNote&gt;&lt;Cite&gt;&lt;Author&gt;(WHO);&lt;/Author&gt;&lt;Year&gt;2015&lt;/Year&gt;&lt;RecNum&gt;541&lt;/RecNum&gt;&lt;DisplayText&gt;&lt;style face="superscript"&gt;32&lt;/style&gt;&lt;/DisplayText&gt;&lt;record&gt;&lt;rec-number&gt;541&lt;/rec-number&gt;&lt;foreign-keys&gt;&lt;key app="EN" db-id="wadaswv5dpatx9ef0w8xs9rn02pv029sfddv" timestamp="1448394867"&gt;541&lt;/key&gt;&lt;/foreign-keys&gt;&lt;ref-type name="Report"&gt;27&lt;/ref-type&gt;&lt;contributors&gt;&lt;authors&gt;&lt;author&gt;World Health Organization, (WHO);&lt;/author&gt;&lt;/authors&gt;&lt;/contributors&gt;&lt;titles&gt;&lt;title&gt;Federated States of Micronesia: Country Profile-Measles Elimination&lt;/title&gt;&lt;/titles&gt;&lt;dates&gt;&lt;year&gt;2015&lt;/year&gt;&lt;/dates&gt;&lt;urls&gt;&lt;/urls&gt;&lt;/record&gt;&lt;/Cite&gt;&lt;/EndNote&gt;</w:instrText>
      </w:r>
      <w:r w:rsidRPr="00281A8E">
        <w:rPr>
          <w:rFonts w:ascii="Calibri" w:hAnsi="Calibri" w:cs="Calibri"/>
        </w:rPr>
        <w:fldChar w:fldCharType="separate"/>
      </w:r>
      <w:r w:rsidRPr="00281A8E">
        <w:rPr>
          <w:rFonts w:ascii="Calibri" w:hAnsi="Calibri" w:cs="Calibri"/>
          <w:noProof/>
          <w:vertAlign w:val="superscript"/>
        </w:rPr>
        <w:t>32</w:t>
      </w:r>
      <w:r w:rsidRPr="00281A8E">
        <w:rPr>
          <w:rFonts w:ascii="Calibri" w:hAnsi="Calibri" w:cs="Calibri"/>
        </w:rPr>
        <w:fldChar w:fldCharType="end"/>
      </w:r>
      <w:r w:rsidRPr="00281A8E">
        <w:rPr>
          <w:rFonts w:ascii="Calibri" w:hAnsi="Calibri" w:cs="Calibri"/>
        </w:rPr>
        <w:t>. The vaccinated population also included the proportion of two to three year olds targeted by the vaccine recommendations who had already received a vaccine, per the data collected.</w:t>
      </w:r>
    </w:p>
    <w:p w:rsidR="00281A8E" w:rsidRPr="00281A8E" w:rsidRDefault="00281A8E" w:rsidP="00281A8E">
      <w:pPr>
        <w:keepNext/>
        <w:keepLines/>
        <w:spacing w:before="40" w:after="0" w:line="480" w:lineRule="auto"/>
        <w:outlineLvl w:val="2"/>
        <w:rPr>
          <w:rFonts w:asciiTheme="majorHAnsi" w:eastAsiaTheme="majorEastAsia" w:hAnsiTheme="majorHAnsi" w:cstheme="majorBidi"/>
          <w:sz w:val="24"/>
          <w:szCs w:val="24"/>
        </w:rPr>
      </w:pPr>
      <w:r w:rsidRPr="00281A8E">
        <w:rPr>
          <w:rFonts w:asciiTheme="majorHAnsi" w:eastAsiaTheme="majorEastAsia" w:hAnsiTheme="majorHAnsi" w:cstheme="majorBidi"/>
          <w:sz w:val="24"/>
          <w:szCs w:val="24"/>
        </w:rPr>
        <w:t>Population size</w:t>
      </w:r>
    </w:p>
    <w:p w:rsidR="00281A8E" w:rsidRPr="00281A8E" w:rsidRDefault="00281A8E" w:rsidP="00281A8E">
      <w:pPr>
        <w:spacing w:line="480" w:lineRule="auto"/>
        <w:rPr>
          <w:rFonts w:ascii="Calibri" w:hAnsi="Calibri" w:cs="Calibri"/>
        </w:rPr>
      </w:pPr>
      <w:r w:rsidRPr="00281A8E">
        <w:t xml:space="preserve">The total population sizes for Chuuk, Kosrae, Pohnpei, and Yap simulations were assumed to be </w:t>
      </w:r>
      <w:r w:rsidRPr="00281A8E">
        <w:rPr>
          <w:rFonts w:ascii="Calibri" w:hAnsi="Calibri" w:cs="Calibri"/>
        </w:rPr>
        <w:t>48,651,</w:t>
      </w:r>
      <w:r w:rsidRPr="00281A8E">
        <w:t xml:space="preserve"> </w:t>
      </w:r>
      <w:r w:rsidRPr="00281A8E">
        <w:rPr>
          <w:rFonts w:ascii="Calibri" w:hAnsi="Calibri" w:cs="Calibri"/>
        </w:rPr>
        <w:t>6,616</w:t>
      </w:r>
      <w:r w:rsidRPr="00281A8E">
        <w:t xml:space="preserve">, 36,196, and </w:t>
      </w:r>
      <w:r w:rsidRPr="00281A8E">
        <w:rPr>
          <w:rFonts w:ascii="Calibri" w:hAnsi="Calibri" w:cs="Calibri"/>
        </w:rPr>
        <w:t xml:space="preserve">11,376  </w:t>
      </w:r>
      <w:r w:rsidRPr="00281A8E">
        <w:rPr>
          <w:rFonts w:ascii="Calibri" w:hAnsi="Calibri" w:cs="Calibri"/>
        </w:rPr>
        <w:fldChar w:fldCharType="begin"/>
      </w:r>
      <w:r w:rsidRPr="00281A8E">
        <w:rPr>
          <w:rFonts w:ascii="Calibri" w:hAnsi="Calibri" w:cs="Calibri"/>
        </w:rPr>
        <w:instrText xml:space="preserve"> ADDIN EN.CITE &lt;EndNote&gt;&lt;Cite&gt;&lt;Author&gt;FSM Office of Statistics&lt;/Author&gt;&lt;Year&gt;2010&lt;/Year&gt;&lt;RecNum&gt;540&lt;/RecNum&gt;&lt;DisplayText&gt;&lt;style face="superscript"&gt;39&lt;/style&gt;&lt;/DisplayText&gt;&lt;record&gt;&lt;rec-number&gt;540&lt;/rec-number&gt;&lt;foreign-keys&gt;&lt;key app="EN" db-id="wadaswv5dpatx9ef0w8xs9rn02pv029sfddv" timestamp="1448393783"&gt;540&lt;/key&gt;&lt;/foreign-keys&gt;&lt;ref-type name="Report"&gt;27&lt;/ref-type&gt;&lt;contributors&gt;&lt;authors&gt;&lt;author&gt;FSM Office of Statistics, Budget, Overseas Development Assistance and Compact Management (SBOC), Division of Statistics;&lt;/author&gt;&lt;/authors&gt;&lt;/contributors&gt;&lt;titles&gt;&lt;title&gt;Summary analysis of key indicators from the FSM 2010 Census of Population and Housing&lt;/title&gt;&lt;/titles&gt;&lt;dates&gt;&lt;year&gt;2010&lt;/year&gt;&lt;/dates&gt;&lt;pub-location&gt;Palikir, Pohnpei&lt;/pub-location&gt;&lt;urls&gt;&lt;/urls&gt;&lt;/record&gt;&lt;/Cite&gt;&lt;/EndNote&gt;</w:instrText>
      </w:r>
      <w:r w:rsidRPr="00281A8E">
        <w:rPr>
          <w:rFonts w:ascii="Calibri" w:hAnsi="Calibri" w:cs="Calibri"/>
        </w:rPr>
        <w:fldChar w:fldCharType="separate"/>
      </w:r>
      <w:r w:rsidRPr="00281A8E">
        <w:rPr>
          <w:rFonts w:ascii="Calibri" w:hAnsi="Calibri" w:cs="Calibri"/>
          <w:noProof/>
          <w:vertAlign w:val="superscript"/>
        </w:rPr>
        <w:t>39</w:t>
      </w:r>
      <w:r w:rsidRPr="00281A8E">
        <w:rPr>
          <w:rFonts w:ascii="Calibri" w:hAnsi="Calibri" w:cs="Calibri"/>
        </w:rPr>
        <w:fldChar w:fldCharType="end"/>
      </w:r>
      <w:r w:rsidRPr="00281A8E">
        <w:rPr>
          <w:rFonts w:ascii="Calibri" w:hAnsi="Calibri" w:cs="Calibri"/>
        </w:rPr>
        <w:t>. The population size for the children in our target age group were computed during the survey used in this study. Those values are 1,226, 172, 847, and 238, for Chuuk, Kosrae, Pohnpei, and Yap, respectively.</w:t>
      </w:r>
    </w:p>
    <w:p w:rsidR="00281A8E" w:rsidRPr="00281A8E" w:rsidRDefault="00281A8E" w:rsidP="00281A8E">
      <w:pPr>
        <w:keepNext/>
        <w:keepLines/>
        <w:spacing w:before="40" w:after="0" w:line="480" w:lineRule="auto"/>
        <w:outlineLvl w:val="2"/>
        <w:rPr>
          <w:rFonts w:asciiTheme="majorHAnsi" w:eastAsiaTheme="majorEastAsia" w:hAnsiTheme="majorHAnsi" w:cstheme="majorBidi"/>
          <w:sz w:val="24"/>
          <w:szCs w:val="24"/>
        </w:rPr>
      </w:pPr>
      <w:r w:rsidRPr="00281A8E">
        <w:rPr>
          <w:rFonts w:asciiTheme="majorHAnsi" w:eastAsiaTheme="majorEastAsia" w:hAnsiTheme="majorHAnsi" w:cstheme="majorBidi"/>
          <w:sz w:val="24"/>
          <w:szCs w:val="24"/>
        </w:rPr>
        <w:t>Vaccine coverage</w:t>
      </w:r>
    </w:p>
    <w:p w:rsidR="00281A8E" w:rsidRPr="00281A8E" w:rsidRDefault="00281A8E" w:rsidP="00281A8E">
      <w:pPr>
        <w:spacing w:line="480" w:lineRule="auto"/>
      </w:pPr>
      <w:r w:rsidRPr="00281A8E">
        <w:t xml:space="preserve">In the on time simulations, the vaccine coverage rate was assumed to start high, at the “final” coverage percentage identified by the survey data. In the status quo simulation, the vaccine coverage rate equaled the coverage level observed when the median-aged individual in the cohort of toddlers was </w:t>
      </w:r>
      <w:r w:rsidRPr="00281A8E">
        <w:lastRenderedPageBreak/>
        <w:t xml:space="preserve">recommended to receive the vaccine on day one of the simulation. In the following days and months, the vaccine coverage rate increased until it reached the “final” vaccine coverage rate used in the on time simulation. The rate of increase for vaccine coverage in the status quo simulation reflected the monthly coverage data identified in the survey data, with linear interpolation of coverage levels on the days between the first </w:t>
      </w:r>
      <w:proofErr w:type="gramStart"/>
      <w:r w:rsidRPr="00281A8E">
        <w:t>day</w:t>
      </w:r>
      <w:proofErr w:type="gramEnd"/>
      <w:r w:rsidRPr="00281A8E">
        <w:t xml:space="preserve"> of each month. Infected individuals were not vaccinated. So in the case where infections spread through the susceptible population before vaccine coverage could reach targeted levels, any available </w:t>
      </w:r>
      <w:proofErr w:type="spellStart"/>
      <w:r w:rsidRPr="00281A8E">
        <w:t>susceptibles</w:t>
      </w:r>
      <w:proofErr w:type="spellEnd"/>
      <w:r w:rsidRPr="00281A8E">
        <w:t xml:space="preserve"> were vaccinated or no one was vaccinated.</w:t>
      </w:r>
    </w:p>
    <w:p w:rsidR="00281A8E" w:rsidRPr="00281A8E" w:rsidRDefault="00281A8E" w:rsidP="00281A8E">
      <w:pPr>
        <w:keepNext/>
        <w:keepLines/>
        <w:spacing w:before="40" w:after="0" w:line="480" w:lineRule="auto"/>
        <w:outlineLvl w:val="2"/>
        <w:rPr>
          <w:rFonts w:asciiTheme="majorHAnsi" w:eastAsiaTheme="majorEastAsia" w:hAnsiTheme="majorHAnsi" w:cstheme="majorBidi"/>
          <w:sz w:val="24"/>
          <w:szCs w:val="24"/>
        </w:rPr>
      </w:pPr>
      <w:r w:rsidRPr="00281A8E">
        <w:rPr>
          <w:rFonts w:asciiTheme="majorHAnsi" w:eastAsiaTheme="majorEastAsia" w:hAnsiTheme="majorHAnsi" w:cstheme="majorBidi"/>
          <w:sz w:val="24"/>
          <w:szCs w:val="24"/>
        </w:rPr>
        <w:t>Contact rate and mixing coefficient</w:t>
      </w:r>
    </w:p>
    <w:p w:rsidR="00281A8E" w:rsidRPr="00281A8E" w:rsidRDefault="00281A8E" w:rsidP="00281A8E">
      <w:pPr>
        <w:spacing w:line="480" w:lineRule="auto"/>
      </w:pPr>
      <w:r w:rsidRPr="00281A8E">
        <w:t xml:space="preserve">Local conditions can drive disease dynamics. In particular, regions with high seasonal rainfall and high birth rates have more erratic outbreaks </w:t>
      </w:r>
      <w:r w:rsidRPr="00281A8E">
        <w:fldChar w:fldCharType="begin"/>
      </w:r>
      <w:r w:rsidRPr="00281A8E">
        <w:instrText xml:space="preserve"> ADDIN EN.CITE &lt;EndNote&gt;&lt;Cite&gt;&lt;Author&gt;Ferrari&lt;/Author&gt;&lt;Year&gt;2008&lt;/Year&gt;&lt;RecNum&gt;546&lt;/RecNum&gt;&lt;DisplayText&gt;&lt;style face="superscript"&gt;40&lt;/style&gt;&lt;/DisplayText&gt;&lt;record&gt;&lt;rec-number&gt;546&lt;/rec-number&gt;&lt;foreign-keys&gt;&lt;key app="EN" db-id="wadaswv5dpatx9ef0w8xs9rn02pv029sfddv" timestamp="1449757121"&gt;546&lt;/key&gt;&lt;/foreign-keys&gt;&lt;ref-type name="Journal Article"&gt;17&lt;/ref-type&gt;&lt;contributors&gt;&lt;authors&gt;&lt;author&gt;Ferrari, Matthew J&lt;/author&gt;&lt;author&gt;Grais, Rebecca F&lt;/author&gt;&lt;author&gt;Bharti, Nita&lt;/author&gt;&lt;author&gt;Conlan, Andrew JK&lt;/author&gt;&lt;author&gt;Bjørnstad, Ottar N&lt;/author&gt;&lt;author&gt;Wolfson, Lara J&lt;/author&gt;&lt;author&gt;Guerin, Philippe J&lt;/author&gt;&lt;author&gt;Djibo, Ali&lt;/author&gt;&lt;author&gt;Grenfell, Bryan T&lt;/author&gt;&lt;/authors&gt;&lt;/contributors&gt;&lt;titles&gt;&lt;title&gt;The dynamics of measles in sub-Saharan Africa&lt;/title&gt;&lt;secondary-title&gt;Nature&lt;/secondary-title&gt;&lt;/titles&gt;&lt;periodical&gt;&lt;full-title&gt;Nature&lt;/full-title&gt;&lt;/periodical&gt;&lt;pages&gt;679-684&lt;/pages&gt;&lt;volume&gt;451&lt;/volume&gt;&lt;number&gt;7179&lt;/number&gt;&lt;dates&gt;&lt;year&gt;2008&lt;/year&gt;&lt;/dates&gt;&lt;isbn&gt;0028-0836&lt;/isbn&gt;&lt;urls&gt;&lt;/urls&gt;&lt;/record&gt;&lt;/Cite&gt;&lt;/EndNote&gt;</w:instrText>
      </w:r>
      <w:r w:rsidRPr="00281A8E">
        <w:fldChar w:fldCharType="separate"/>
      </w:r>
      <w:r w:rsidRPr="00281A8E">
        <w:rPr>
          <w:noProof/>
          <w:vertAlign w:val="superscript"/>
        </w:rPr>
        <w:t>40</w:t>
      </w:r>
      <w:r w:rsidRPr="00281A8E">
        <w:fldChar w:fldCharType="end"/>
      </w:r>
      <w:r w:rsidRPr="00281A8E">
        <w:t xml:space="preserve">. Past studies have found that contact rates scale with population size </w:t>
      </w:r>
      <w:r w:rsidRPr="00281A8E">
        <w:fldChar w:fldCharType="begin"/>
      </w:r>
      <w:r w:rsidRPr="00281A8E">
        <w:instrText xml:space="preserve"> ADDIN EN.CITE &lt;EndNote&gt;&lt;Cite&gt;&lt;Author&gt;BJøRNSTAD&lt;/Author&gt;&lt;Year&gt;2002&lt;/Year&gt;&lt;RecNum&gt;538&lt;/RecNum&gt;&lt;DisplayText&gt;&lt;style face="superscript"&gt;38&lt;/style&gt;&lt;/DisplayText&gt;&lt;record&gt;&lt;rec-number&gt;538&lt;/rec-number&gt;&lt;foreign-keys&gt;&lt;key app="EN" db-id="wadaswv5dpatx9ef0w8xs9rn02pv029sfddv" timestamp="1448384274"&gt;538&lt;/key&gt;&lt;/foreign-keys&gt;&lt;ref-type name="Journal Article"&gt;17&lt;/ref-type&gt;&lt;contributors&gt;&lt;authors&gt;&lt;author&gt;BJøRNSTAD, OTTAR N&lt;/author&gt;&lt;author&gt;Finkenstädt, Bärbel F&lt;/author&gt;&lt;author&gt;Grenfell, Bryan T&lt;/author&gt;&lt;/authors&gt;&lt;/contributors&gt;&lt;titles&gt;&lt;title&gt;Dynamics of measles epidemics: estimating scaling of transmission rates using a time series SIR model&lt;/title&gt;&lt;secondary-title&gt;Ecological Monographs&lt;/secondary-title&gt;&lt;/titles&gt;&lt;periodical&gt;&lt;full-title&gt;Ecological Monographs&lt;/full-title&gt;&lt;/periodical&gt;&lt;pages&gt;169-184&lt;/pages&gt;&lt;volume&gt;72&lt;/volume&gt;&lt;number&gt;2&lt;/number&gt;&lt;dates&gt;&lt;year&gt;2002&lt;/year&gt;&lt;/dates&gt;&lt;isbn&gt;0012-9615&lt;/isbn&gt;&lt;urls&gt;&lt;/urls&gt;&lt;/record&gt;&lt;/Cite&gt;&lt;/EndNote&gt;</w:instrText>
      </w:r>
      <w:r w:rsidRPr="00281A8E">
        <w:fldChar w:fldCharType="separate"/>
      </w:r>
      <w:r w:rsidRPr="00281A8E">
        <w:rPr>
          <w:noProof/>
          <w:vertAlign w:val="superscript"/>
        </w:rPr>
        <w:t>38</w:t>
      </w:r>
      <w:r w:rsidRPr="00281A8E">
        <w:fldChar w:fldCharType="end"/>
      </w:r>
      <w:r w:rsidRPr="00281A8E">
        <w:t xml:space="preserve">, suggesting measles transmission is consistent with frequency dependent transmission. Finding no estimation of contact rate specifically estimated for the islands of FSM, we set the contact rate equal to 500 in the base case, based on a general value found in the literature </w:t>
      </w:r>
      <w:r w:rsidRPr="00281A8E">
        <w:fldChar w:fldCharType="begin"/>
      </w:r>
      <w:r w:rsidRPr="00281A8E">
        <w:instrText xml:space="preserve"> ADDIN EN.CITE &lt;EndNote&gt;&lt;Cite&gt;&lt;Author&gt;Jansen&lt;/Author&gt;&lt;Year&gt;2005&lt;/Year&gt;&lt;RecNum&gt;547&lt;/RecNum&gt;&lt;DisplayText&gt;&lt;style face="superscript"&gt;41&lt;/style&gt;&lt;/DisplayText&gt;&lt;record&gt;&lt;rec-number&gt;547&lt;/rec-number&gt;&lt;foreign-keys&gt;&lt;key app="EN" db-id="wadaswv5dpatx9ef0w8xs9rn02pv029sfddv" timestamp="1450190642"&gt;547&lt;/key&gt;&lt;/foreign-keys&gt;&lt;ref-type name="Book Section"&gt;5&lt;/ref-type&gt;&lt;contributors&gt;&lt;authors&gt;&lt;author&gt;Jansen, VAA&lt;/author&gt;&lt;author&gt;Stollenwerk, N&lt;/author&gt;&lt;/authors&gt;&lt;/contributors&gt;&lt;titles&gt;&lt;title&gt;Modeling measles outbreaks&lt;/title&gt;&lt;secondary-title&gt;Branching Processes: Variation, Growth, and Extinction of Populations&lt;/secondary-title&gt;&lt;/titles&gt;&lt;periodical&gt;&lt;full-title&gt;Branching Processes: Variation, Growth, and Extinction of Populations&lt;/full-title&gt;&lt;/periodical&gt;&lt;pages&gt;236-249&lt;/pages&gt;&lt;dates&gt;&lt;year&gt;2005&lt;/year&gt;&lt;/dates&gt;&lt;urls&gt;&lt;/urls&gt;&lt;/record&gt;&lt;/Cite&gt;&lt;/EndNote&gt;</w:instrText>
      </w:r>
      <w:r w:rsidRPr="00281A8E">
        <w:fldChar w:fldCharType="separate"/>
      </w:r>
      <w:r w:rsidRPr="00281A8E">
        <w:rPr>
          <w:noProof/>
          <w:vertAlign w:val="superscript"/>
        </w:rPr>
        <w:t>41</w:t>
      </w:r>
      <w:r w:rsidRPr="00281A8E">
        <w:fldChar w:fldCharType="end"/>
      </w:r>
      <w:r w:rsidRPr="00281A8E">
        <w:t>. To accommodate uncertainty about the contact rate, we conducted sensitivity analyses on this parameter.</w:t>
      </w:r>
    </w:p>
    <w:p w:rsidR="00281A8E" w:rsidRPr="00281A8E" w:rsidRDefault="00281A8E" w:rsidP="00281A8E">
      <w:pPr>
        <w:spacing w:line="480" w:lineRule="auto"/>
      </w:pPr>
      <w:r w:rsidRPr="00281A8E">
        <w:t xml:space="preserve">Similar to the contact rate, no study has been conducted that estimated a mixing coefficients for the FSM or surrounding region. Evidence suggests that values slightly less than 1 may be appropriate </w:t>
      </w:r>
      <w:r w:rsidRPr="00281A8E">
        <w:fldChar w:fldCharType="begin"/>
      </w:r>
      <w:r w:rsidRPr="00281A8E">
        <w:instrText xml:space="preserve"> ADDIN EN.CITE &lt;EndNote&gt;&lt;Cite&gt;&lt;Author&gt;Finkenstädt&lt;/Author&gt;&lt;Year&gt;2000&lt;/Year&gt;&lt;RecNum&gt;539&lt;/RecNum&gt;&lt;DisplayText&gt;&lt;style face="superscript"&gt;37&lt;/style&gt;&lt;/DisplayText&gt;&lt;record&gt;&lt;rec-number&gt;539&lt;/rec-number&gt;&lt;foreign-keys&gt;&lt;key app="EN" db-id="wadaswv5dpatx9ef0w8xs9rn02pv029sfddv" timestamp="1448391942"&gt;539&lt;/key&gt;&lt;/foreign-keys&gt;&lt;ref-type name="Journal Article"&gt;17&lt;/ref-type&gt;&lt;contributors&gt;&lt;authors&gt;&lt;author&gt;Finkenstädt, Bärbel F&lt;/author&gt;&lt;author&gt;Grenfell, Bryan T&lt;/author&gt;&lt;/authors&gt;&lt;/contributors&gt;&lt;titles&gt;&lt;title&gt;Time series modelling of childhood diseases: a dynamical systems approach&lt;/title&gt;&lt;secondary-title&gt;Journal of the Royal Statistical Society: Series C (Applied Statistics)&lt;/secondary-title&gt;&lt;/titles&gt;&lt;periodical&gt;&lt;full-title&gt;Journal of the Royal Statistical Society: Series C (Applied Statistics)&lt;/full-title&gt;&lt;/periodical&gt;&lt;pages&gt;187-205&lt;/pages&gt;&lt;volume&gt;49&lt;/volume&gt;&lt;number&gt;2&lt;/number&gt;&lt;dates&gt;&lt;year&gt;2000&lt;/year&gt;&lt;/dates&gt;&lt;isbn&gt;1467-9876&lt;/isbn&gt;&lt;urls&gt;&lt;/urls&gt;&lt;/record&gt;&lt;/Cite&gt;&lt;/EndNote&gt;</w:instrText>
      </w:r>
      <w:r w:rsidRPr="00281A8E">
        <w:fldChar w:fldCharType="separate"/>
      </w:r>
      <w:r w:rsidRPr="00281A8E">
        <w:rPr>
          <w:noProof/>
          <w:vertAlign w:val="superscript"/>
        </w:rPr>
        <w:t>37</w:t>
      </w:r>
      <w:r w:rsidRPr="00281A8E">
        <w:fldChar w:fldCharType="end"/>
      </w:r>
      <w:r w:rsidRPr="00281A8E">
        <w:t xml:space="preserve">, especially for smaller communities </w:t>
      </w:r>
      <w:r w:rsidRPr="00281A8E">
        <w:fldChar w:fldCharType="begin"/>
      </w:r>
      <w:r w:rsidRPr="00281A8E">
        <w:instrText xml:space="preserve"> ADDIN EN.CITE &lt;EndNote&gt;&lt;Cite&gt;&lt;Author&gt;BJøRNSTAD&lt;/Author&gt;&lt;Year&gt;2002&lt;/Year&gt;&lt;RecNum&gt;538&lt;/RecNum&gt;&lt;DisplayText&gt;&lt;style face="superscript"&gt;38&lt;/style&gt;&lt;/DisplayText&gt;&lt;record&gt;&lt;rec-number&gt;538&lt;/rec-number&gt;&lt;foreign-keys&gt;&lt;key app="EN" db-id="wadaswv5dpatx9ef0w8xs9rn02pv029sfddv" timestamp="1448384274"&gt;538&lt;/key&gt;&lt;/foreign-keys&gt;&lt;ref-type name="Journal Article"&gt;17&lt;/ref-type&gt;&lt;contributors&gt;&lt;authors&gt;&lt;author&gt;BJøRNSTAD, OTTAR N&lt;/author&gt;&lt;author&gt;Finkenstädt, Bärbel F&lt;/author&gt;&lt;author&gt;Grenfell, Bryan T&lt;/author&gt;&lt;/authors&gt;&lt;/contributors&gt;&lt;titles&gt;&lt;title&gt;Dynamics of measles epidemics: estimating scaling of transmission rates using a time series SIR model&lt;/title&gt;&lt;secondary-title&gt;Ecological Monographs&lt;/secondary-title&gt;&lt;/titles&gt;&lt;periodical&gt;&lt;full-title&gt;Ecological Monographs&lt;/full-title&gt;&lt;/periodical&gt;&lt;pages&gt;169-184&lt;/pages&gt;&lt;volume&gt;72&lt;/volume&gt;&lt;number&gt;2&lt;/number&gt;&lt;dates&gt;&lt;year&gt;2002&lt;/year&gt;&lt;/dates&gt;&lt;isbn&gt;0012-9615&lt;/isbn&gt;&lt;urls&gt;&lt;/urls&gt;&lt;/record&gt;&lt;/Cite&gt;&lt;/EndNote&gt;</w:instrText>
      </w:r>
      <w:r w:rsidRPr="00281A8E">
        <w:fldChar w:fldCharType="separate"/>
      </w:r>
      <w:r w:rsidRPr="00281A8E">
        <w:rPr>
          <w:noProof/>
          <w:vertAlign w:val="superscript"/>
        </w:rPr>
        <w:t>38</w:t>
      </w:r>
      <w:r w:rsidRPr="00281A8E">
        <w:fldChar w:fldCharType="end"/>
      </w:r>
      <w:r w:rsidRPr="00281A8E">
        <w:t xml:space="preserve"> so we assume a value of 0.97 </w:t>
      </w:r>
      <w:r w:rsidRPr="00281A8E">
        <w:fldChar w:fldCharType="begin"/>
      </w:r>
      <w:r w:rsidRPr="00281A8E">
        <w:instrText xml:space="preserve"> ADDIN EN.CITE &lt;EndNote&gt;&lt;Cite&gt;&lt;Author&gt;BJøRNSTAD&lt;/Author&gt;&lt;Year&gt;2002&lt;/Year&gt;&lt;RecNum&gt;538&lt;/RecNum&gt;&lt;DisplayText&gt;&lt;style face="superscript"&gt;38&lt;/style&gt;&lt;/DisplayText&gt;&lt;record&gt;&lt;rec-number&gt;538&lt;/rec-number&gt;&lt;foreign-keys&gt;&lt;key app="EN" db-id="wadaswv5dpatx9ef0w8xs9rn02pv029sfddv" timestamp="1448384274"&gt;538&lt;/key&gt;&lt;/foreign-keys&gt;&lt;ref-type name="Journal Article"&gt;17&lt;/ref-type&gt;&lt;contributors&gt;&lt;authors&gt;&lt;author&gt;BJøRNSTAD, OTTAR N&lt;/author&gt;&lt;author&gt;Finkenstädt, Bärbel F&lt;/author&gt;&lt;author&gt;Grenfell, Bryan T&lt;/author&gt;&lt;/authors&gt;&lt;/contributors&gt;&lt;titles&gt;&lt;title&gt;Dynamics of measles epidemics: estimating scaling of transmission rates using a time series SIR model&lt;/title&gt;&lt;secondary-title&gt;Ecological Monographs&lt;/secondary-title&gt;&lt;/titles&gt;&lt;periodical&gt;&lt;full-title&gt;Ecological Monographs&lt;/full-title&gt;&lt;/periodical&gt;&lt;pages&gt;169-184&lt;/pages&gt;&lt;volume&gt;72&lt;/volume&gt;&lt;number&gt;2&lt;/number&gt;&lt;dates&gt;&lt;year&gt;2002&lt;/year&gt;&lt;/dates&gt;&lt;isbn&gt;0012-9615&lt;/isbn&gt;&lt;urls&gt;&lt;/urls&gt;&lt;/record&gt;&lt;/Cite&gt;&lt;/EndNote&gt;</w:instrText>
      </w:r>
      <w:r w:rsidRPr="00281A8E">
        <w:fldChar w:fldCharType="separate"/>
      </w:r>
      <w:r w:rsidRPr="00281A8E">
        <w:rPr>
          <w:noProof/>
          <w:vertAlign w:val="superscript"/>
        </w:rPr>
        <w:t>38</w:t>
      </w:r>
      <w:r w:rsidRPr="00281A8E">
        <w:fldChar w:fldCharType="end"/>
      </w:r>
      <w:r w:rsidRPr="00281A8E">
        <w:t>. Functionally, a mixing coefficient less than one reduces the number of new infections in the model. Conceptually, this term is used to approximate more heterogeneous mixing among susceptible and infected individuals. By assuming</w:t>
      </w:r>
      <m:oMath>
        <m:r>
          <w:rPr>
            <w:rFonts w:ascii="Cambria Math" w:hAnsi="Cambria Math"/>
          </w:rPr>
          <m:t xml:space="preserve"> </m:t>
        </m:r>
        <m:r>
          <w:rPr>
            <w:rFonts w:ascii="Cambria Math" w:eastAsiaTheme="minorEastAsia" w:hAnsi="Cambria Math"/>
          </w:rPr>
          <m:t>λ&lt;1</m:t>
        </m:r>
      </m:oMath>
      <w:r w:rsidRPr="00281A8E">
        <w:t>, less mixing occurs than would occur under a “mass-action” assu</w:t>
      </w:r>
      <w:proofErr w:type="spellStart"/>
      <w:r w:rsidRPr="00281A8E">
        <w:t>mption</w:t>
      </w:r>
      <w:proofErr w:type="spellEnd"/>
      <w:r w:rsidRPr="00281A8E">
        <w:t xml:space="preserve"> where</w:t>
      </w:r>
      <m:oMath>
        <m:r>
          <w:rPr>
            <w:rFonts w:ascii="Cambria Math" w:hAnsi="Cambria Math"/>
          </w:rPr>
          <m:t xml:space="preserve"> </m:t>
        </m:r>
        <m:r>
          <w:rPr>
            <w:rFonts w:ascii="Cambria Math" w:eastAsiaTheme="minorEastAsia" w:hAnsi="Cambria Math"/>
          </w:rPr>
          <m:t>λ=1</m:t>
        </m:r>
      </m:oMath>
      <w:r w:rsidRPr="00281A8E">
        <w:t>.</w:t>
      </w:r>
    </w:p>
    <w:p w:rsidR="00281A8E" w:rsidRPr="00281A8E" w:rsidRDefault="00281A8E" w:rsidP="00281A8E">
      <w:pPr>
        <w:keepNext/>
        <w:keepLines/>
        <w:spacing w:before="40" w:after="0" w:line="480" w:lineRule="auto"/>
        <w:outlineLvl w:val="1"/>
        <w:rPr>
          <w:rFonts w:asciiTheme="majorHAnsi" w:eastAsiaTheme="majorEastAsia" w:hAnsiTheme="majorHAnsi" w:cstheme="majorBidi"/>
          <w:b/>
          <w:sz w:val="24"/>
          <w:szCs w:val="26"/>
        </w:rPr>
      </w:pPr>
      <w:r w:rsidRPr="00281A8E">
        <w:rPr>
          <w:rFonts w:asciiTheme="majorHAnsi" w:eastAsiaTheme="majorEastAsia" w:hAnsiTheme="majorHAnsi" w:cstheme="majorBidi"/>
          <w:b/>
          <w:sz w:val="24"/>
          <w:szCs w:val="26"/>
        </w:rPr>
        <w:t>Model scenarios and island states</w:t>
      </w:r>
    </w:p>
    <w:p w:rsidR="00281A8E" w:rsidRPr="00281A8E" w:rsidRDefault="00281A8E" w:rsidP="00281A8E">
      <w:pPr>
        <w:spacing w:line="480" w:lineRule="auto"/>
      </w:pPr>
      <w:r w:rsidRPr="00281A8E">
        <w:t xml:space="preserve">The model was parameterized to represent scenarios with varying levels of vaccination timeliness, on time vaccination and a delayed vaccination scenario. Each pair of scenarios is simulated for four states in </w:t>
      </w:r>
      <w:r w:rsidRPr="00281A8E">
        <w:lastRenderedPageBreak/>
        <w:t>the FSM: Chuuk, Kosrae, Pohnpei, and Yap. The island states differ in their total population size, the population size of the target age group, and the observed levels of vaccine coverage for the target age group. We assume all the other epidemiologic parameters are constant across the different states’ simulations.</w:t>
      </w:r>
    </w:p>
    <w:p w:rsidR="00281A8E" w:rsidRPr="00281A8E" w:rsidRDefault="00281A8E" w:rsidP="00281A8E">
      <w:pPr>
        <w:keepNext/>
        <w:keepLines/>
        <w:spacing w:before="40" w:after="0" w:line="480" w:lineRule="auto"/>
        <w:outlineLvl w:val="1"/>
        <w:rPr>
          <w:rFonts w:asciiTheme="majorHAnsi" w:eastAsiaTheme="majorEastAsia" w:hAnsiTheme="majorHAnsi" w:cstheme="majorBidi"/>
          <w:b/>
          <w:sz w:val="24"/>
          <w:szCs w:val="26"/>
        </w:rPr>
      </w:pPr>
      <w:r w:rsidRPr="00281A8E">
        <w:rPr>
          <w:rFonts w:asciiTheme="majorHAnsi" w:eastAsiaTheme="majorEastAsia" w:hAnsiTheme="majorHAnsi" w:cstheme="majorBidi"/>
          <w:b/>
          <w:sz w:val="24"/>
          <w:szCs w:val="26"/>
        </w:rPr>
        <w:t>Sensitivity analyses</w:t>
      </w:r>
    </w:p>
    <w:p w:rsidR="00281A8E" w:rsidRPr="00281A8E" w:rsidRDefault="00281A8E" w:rsidP="00281A8E">
      <w:pPr>
        <w:spacing w:line="480" w:lineRule="auto"/>
      </w:pPr>
      <w:r w:rsidRPr="00281A8E">
        <w:t xml:space="preserve">We conducted sensitivity analyses on two parameters, the contact rate and the starting vaccine coverage level. During sensitivity analyses, we ran 1,000 simulations with contact rates and starting vaccine coverage levels randomly selected. Based on extreme values found in literature sources, the contact rate was distributed uniformly between 364 </w:t>
      </w:r>
      <w:r w:rsidRPr="00281A8E">
        <w:fldChar w:fldCharType="begin"/>
      </w:r>
      <w:r w:rsidRPr="00281A8E">
        <w:instrText xml:space="preserve"> ADDIN EN.CITE &lt;EndNote&gt;&lt;Cite&gt;&lt;Author&gt;BJøRNSTAD&lt;/Author&gt;&lt;Year&gt;2002&lt;/Year&gt;&lt;RecNum&gt;538&lt;/RecNum&gt;&lt;DisplayText&gt;&lt;style face="superscript"&gt;38&lt;/style&gt;&lt;/DisplayText&gt;&lt;record&gt;&lt;rec-number&gt;538&lt;/rec-number&gt;&lt;foreign-keys&gt;&lt;key app="EN" db-id="wadaswv5dpatx9ef0w8xs9rn02pv029sfddv" timestamp="1448384274"&gt;538&lt;/key&gt;&lt;/foreign-keys&gt;&lt;ref-type name="Journal Article"&gt;17&lt;/ref-type&gt;&lt;contributors&gt;&lt;authors&gt;&lt;author&gt;BJøRNSTAD, OTTAR N&lt;/author&gt;&lt;author&gt;Finkenstädt, Bärbel F&lt;/author&gt;&lt;author&gt;Grenfell, Bryan T&lt;/author&gt;&lt;/authors&gt;&lt;/contributors&gt;&lt;titles&gt;&lt;title&gt;Dynamics of measles epidemics: estimating scaling of transmission rates using a time series SIR model&lt;/title&gt;&lt;secondary-title&gt;Ecological Monographs&lt;/secondary-title&gt;&lt;/titles&gt;&lt;periodical&gt;&lt;full-title&gt;Ecological Monographs&lt;/full-title&gt;&lt;/periodical&gt;&lt;pages&gt;169-184&lt;/pages&gt;&lt;volume&gt;72&lt;/volume&gt;&lt;number&gt;2&lt;/number&gt;&lt;dates&gt;&lt;year&gt;2002&lt;/year&gt;&lt;/dates&gt;&lt;isbn&gt;0012-9615&lt;/isbn&gt;&lt;urls&gt;&lt;/urls&gt;&lt;/record&gt;&lt;/Cite&gt;&lt;/EndNote&gt;</w:instrText>
      </w:r>
      <w:r w:rsidRPr="00281A8E">
        <w:fldChar w:fldCharType="separate"/>
      </w:r>
      <w:r w:rsidRPr="00281A8E">
        <w:rPr>
          <w:noProof/>
          <w:vertAlign w:val="superscript"/>
        </w:rPr>
        <w:t>38</w:t>
      </w:r>
      <w:r w:rsidRPr="00281A8E">
        <w:fldChar w:fldCharType="end"/>
      </w:r>
      <w:r w:rsidRPr="00281A8E">
        <w:t xml:space="preserve"> and 1016.6 </w:t>
      </w:r>
      <w:r w:rsidRPr="00281A8E">
        <w:fldChar w:fldCharType="begin"/>
      </w:r>
      <w:r w:rsidRPr="00281A8E">
        <w:instrText xml:space="preserve"> ADDIN EN.CITE &lt;EndNote&gt;&lt;Cite&gt;&lt;Author&gt;Anderson&lt;/Author&gt;&lt;Year&gt;1992&lt;/Year&gt;&lt;RecNum&gt;548&lt;/RecNum&gt;&lt;DisplayText&gt;&lt;style face="superscript"&gt;42&lt;/style&gt;&lt;/DisplayText&gt;&lt;record&gt;&lt;rec-number&gt;548&lt;/rec-number&gt;&lt;foreign-keys&gt;&lt;key app="EN" db-id="wadaswv5dpatx9ef0w8xs9rn02pv029sfddv" timestamp="1450192348"&gt;548&lt;/key&gt;&lt;/foreign-keys&gt;&lt;ref-type name="Book"&gt;6&lt;/ref-type&gt;&lt;contributors&gt;&lt;authors&gt;&lt;author&gt;Anderson, Roy M&lt;/author&gt;&lt;author&gt;May, Robert M&lt;/author&gt;&lt;author&gt;Anderson, B&lt;/author&gt;&lt;/authors&gt;&lt;/contributors&gt;&lt;titles&gt;&lt;title&gt;Infectious diseases of humans: dynamics and control&lt;/title&gt;&lt;/titles&gt;&lt;volume&gt;28&lt;/volume&gt;&lt;dates&gt;&lt;year&gt;1992&lt;/year&gt;&lt;/dates&gt;&lt;publisher&gt;Wiley Online Library&lt;/publisher&gt;&lt;urls&gt;&lt;/urls&gt;&lt;/record&gt;&lt;/Cite&gt;&lt;/EndNote&gt;</w:instrText>
      </w:r>
      <w:r w:rsidRPr="00281A8E">
        <w:fldChar w:fldCharType="separate"/>
      </w:r>
      <w:r w:rsidRPr="00281A8E">
        <w:rPr>
          <w:noProof/>
          <w:vertAlign w:val="superscript"/>
        </w:rPr>
        <w:t>42</w:t>
      </w:r>
      <w:r w:rsidRPr="00281A8E">
        <w:fldChar w:fldCharType="end"/>
      </w:r>
      <w:r w:rsidRPr="00281A8E">
        <w:t xml:space="preserve">. In the base case, the starting vaccine coverage level assumed was the coverage level observed when the median age person targeted for vaccination should have been vaccinated. For sensitivity analyses, the starting vaccine coverage level was uniformly drawn from between the coverage level at the earliest observation and the final coverage level observed for targeted population. These minimum and maximum of this distribution is specific to each of the four states, since vaccine coverage data was available for each of the four states. </w:t>
      </w:r>
    </w:p>
    <w:p w:rsidR="00281A8E" w:rsidRPr="00281A8E" w:rsidRDefault="00281A8E" w:rsidP="00281A8E">
      <w:pPr>
        <w:spacing w:after="200" w:line="480" w:lineRule="auto"/>
        <w:outlineLvl w:val="1"/>
        <w:rPr>
          <w:rFonts w:eastAsiaTheme="majorEastAsia" w:cstheme="majorBidi"/>
          <w:b/>
        </w:rPr>
      </w:pPr>
      <w:r w:rsidRPr="00281A8E">
        <w:rPr>
          <w:rFonts w:eastAsiaTheme="majorEastAsia" w:cstheme="majorBidi"/>
          <w:b/>
        </w:rPr>
        <w:br w:type="page"/>
      </w:r>
    </w:p>
    <w:p w:rsidR="00281A8E" w:rsidRPr="00281A8E" w:rsidRDefault="00281A8E" w:rsidP="00281A8E">
      <w:pPr>
        <w:spacing w:after="200" w:line="276" w:lineRule="auto"/>
        <w:outlineLvl w:val="1"/>
        <w:rPr>
          <w:rFonts w:eastAsiaTheme="majorEastAsia" w:cstheme="majorBidi"/>
          <w:b/>
        </w:rPr>
      </w:pPr>
      <w:r w:rsidRPr="00281A8E">
        <w:rPr>
          <w:rFonts w:eastAsiaTheme="majorEastAsia" w:cstheme="majorBidi"/>
          <w:b/>
        </w:rPr>
        <w:lastRenderedPageBreak/>
        <w:t>Figure A-1. Differences in total numbers of cases comparing two scenarios for vaccine timeliness while varying contact coefficients and starting vaccine coverage levels in 1,000 simulations, sensitivity analyses from an outbreak model for measles in Chuuk, Kosrae, Pohnpei, and Yap of the Federated States of Micronesia</w:t>
      </w:r>
    </w:p>
    <w:p w:rsidR="00281A8E" w:rsidRPr="00281A8E" w:rsidRDefault="00281A8E" w:rsidP="00281A8E">
      <w:r w:rsidRPr="00281A8E">
        <w:rPr>
          <w:noProof/>
        </w:rPr>
        <w:drawing>
          <wp:inline distT="0" distB="0" distL="0" distR="0" wp14:anchorId="2E945766" wp14:editId="0BE9B50E">
            <wp:extent cx="5020069" cy="647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2076" cy="6474508"/>
                    </a:xfrm>
                    <a:prstGeom prst="rect">
                      <a:avLst/>
                    </a:prstGeom>
                  </pic:spPr>
                </pic:pic>
              </a:graphicData>
            </a:graphic>
          </wp:inline>
        </w:drawing>
      </w:r>
    </w:p>
    <w:p w:rsidR="00281A8E" w:rsidRPr="00281A8E" w:rsidRDefault="00281A8E" w:rsidP="00281A8E">
      <w:pPr>
        <w:sectPr w:rsidR="00281A8E" w:rsidRPr="00281A8E" w:rsidSect="00B77BCE">
          <w:pgSz w:w="12240" w:h="15840"/>
          <w:pgMar w:top="1440" w:right="1440" w:bottom="1440" w:left="1440" w:header="720" w:footer="720" w:gutter="0"/>
          <w:cols w:space="720"/>
          <w:docGrid w:linePitch="360"/>
        </w:sectPr>
      </w:pPr>
    </w:p>
    <w:tbl>
      <w:tblPr>
        <w:tblW w:w="13860" w:type="dxa"/>
        <w:tblLook w:val="04A0" w:firstRow="1" w:lastRow="0" w:firstColumn="1" w:lastColumn="0" w:noHBand="0" w:noVBand="1"/>
      </w:tblPr>
      <w:tblGrid>
        <w:gridCol w:w="781"/>
        <w:gridCol w:w="1559"/>
        <w:gridCol w:w="1189"/>
        <w:gridCol w:w="1099"/>
        <w:gridCol w:w="1099"/>
        <w:gridCol w:w="1473"/>
        <w:gridCol w:w="1620"/>
        <w:gridCol w:w="1099"/>
        <w:gridCol w:w="1099"/>
        <w:gridCol w:w="1492"/>
        <w:gridCol w:w="1350"/>
      </w:tblGrid>
      <w:tr w:rsidR="00281A8E" w:rsidRPr="00281A8E" w:rsidTr="006B0D27">
        <w:trPr>
          <w:trHeight w:val="1035"/>
        </w:trPr>
        <w:tc>
          <w:tcPr>
            <w:tcW w:w="13860" w:type="dxa"/>
            <w:gridSpan w:val="11"/>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rPr>
                <w:rFonts w:ascii="Calibri" w:eastAsia="Times New Roman" w:hAnsi="Calibri" w:cs="Times New Roman"/>
                <w:b/>
                <w:bCs/>
                <w:color w:val="000000"/>
              </w:rPr>
            </w:pPr>
            <w:r w:rsidRPr="00281A8E">
              <w:rPr>
                <w:rFonts w:ascii="Calibri" w:eastAsia="Times New Roman" w:hAnsi="Calibri" w:cs="Times New Roman"/>
                <w:b/>
                <w:bCs/>
                <w:color w:val="000000"/>
              </w:rPr>
              <w:lastRenderedPageBreak/>
              <w:t xml:space="preserve">TABLE A-1. Estimated on time coverage, median age at vaccination, and maximum delay of fourth dose of diphtheria and tetanus toxoids and acellular pertussis (DTaP4) vaccine, and first dose of measles, mumps and rubella vaccine (MMR1), among children 24-35 months, stratified by place of residence for two states of the Federated States of Micronesia. </w:t>
            </w:r>
          </w:p>
        </w:tc>
      </w:tr>
      <w:tr w:rsidR="00281A8E" w:rsidRPr="00281A8E" w:rsidTr="006B0D27">
        <w:trPr>
          <w:trHeight w:val="300"/>
        </w:trPr>
        <w:tc>
          <w:tcPr>
            <w:tcW w:w="781" w:type="dxa"/>
            <w:vMerge w:val="restart"/>
            <w:tcBorders>
              <w:top w:val="nil"/>
              <w:left w:val="nil"/>
              <w:bottom w:val="single" w:sz="4" w:space="0" w:color="000000"/>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State</w:t>
            </w:r>
          </w:p>
        </w:tc>
        <w:tc>
          <w:tcPr>
            <w:tcW w:w="1559" w:type="dxa"/>
            <w:vMerge w:val="restart"/>
            <w:tcBorders>
              <w:top w:val="nil"/>
              <w:left w:val="nil"/>
              <w:bottom w:val="single" w:sz="4" w:space="0" w:color="000000"/>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Place of residence</w:t>
            </w:r>
          </w:p>
        </w:tc>
        <w:tc>
          <w:tcPr>
            <w:tcW w:w="1189" w:type="dxa"/>
            <w:vMerge w:val="restart"/>
            <w:tcBorders>
              <w:top w:val="nil"/>
              <w:left w:val="nil"/>
              <w:bottom w:val="single" w:sz="4" w:space="0" w:color="000000"/>
              <w:right w:val="single" w:sz="4" w:space="0" w:color="auto"/>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Population estimate</w:t>
            </w:r>
          </w:p>
        </w:tc>
        <w:tc>
          <w:tcPr>
            <w:tcW w:w="5291" w:type="dxa"/>
            <w:gridSpan w:val="4"/>
            <w:tcBorders>
              <w:top w:val="nil"/>
              <w:left w:val="single" w:sz="4" w:space="0" w:color="auto"/>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DTAP4</w:t>
            </w:r>
          </w:p>
        </w:tc>
        <w:tc>
          <w:tcPr>
            <w:tcW w:w="5040" w:type="dxa"/>
            <w:gridSpan w:val="4"/>
            <w:tcBorders>
              <w:top w:val="nil"/>
              <w:left w:val="single" w:sz="4" w:space="0" w:color="auto"/>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MMR1</w:t>
            </w:r>
          </w:p>
        </w:tc>
      </w:tr>
      <w:tr w:rsidR="00281A8E" w:rsidRPr="00281A8E" w:rsidTr="006B0D27">
        <w:trPr>
          <w:trHeight w:val="710"/>
        </w:trPr>
        <w:tc>
          <w:tcPr>
            <w:tcW w:w="781" w:type="dxa"/>
            <w:vMerge/>
            <w:tcBorders>
              <w:top w:val="nil"/>
              <w:left w:val="nil"/>
              <w:bottom w:val="single" w:sz="4" w:space="0" w:color="000000"/>
              <w:right w:val="nil"/>
            </w:tcBorders>
            <w:vAlign w:val="center"/>
            <w:hideMark/>
          </w:tcPr>
          <w:p w:rsidR="00281A8E" w:rsidRPr="00281A8E" w:rsidRDefault="00281A8E" w:rsidP="00281A8E">
            <w:pPr>
              <w:spacing w:after="0" w:line="240" w:lineRule="auto"/>
              <w:rPr>
                <w:rFonts w:ascii="Calibri" w:eastAsia="Times New Roman" w:hAnsi="Calibri" w:cs="Times New Roman"/>
                <w:color w:val="000000"/>
              </w:rPr>
            </w:pPr>
          </w:p>
        </w:tc>
        <w:tc>
          <w:tcPr>
            <w:tcW w:w="1559" w:type="dxa"/>
            <w:vMerge/>
            <w:tcBorders>
              <w:top w:val="nil"/>
              <w:left w:val="nil"/>
              <w:bottom w:val="single" w:sz="4" w:space="0" w:color="000000"/>
              <w:right w:val="nil"/>
            </w:tcBorders>
            <w:vAlign w:val="center"/>
            <w:hideMark/>
          </w:tcPr>
          <w:p w:rsidR="00281A8E" w:rsidRPr="00281A8E" w:rsidRDefault="00281A8E" w:rsidP="00281A8E">
            <w:pPr>
              <w:spacing w:after="0" w:line="240" w:lineRule="auto"/>
              <w:rPr>
                <w:rFonts w:ascii="Calibri" w:eastAsia="Times New Roman" w:hAnsi="Calibri" w:cs="Times New Roman"/>
                <w:color w:val="000000"/>
              </w:rPr>
            </w:pPr>
          </w:p>
        </w:tc>
        <w:tc>
          <w:tcPr>
            <w:tcW w:w="1189" w:type="dxa"/>
            <w:vMerge/>
            <w:tcBorders>
              <w:top w:val="nil"/>
              <w:left w:val="nil"/>
              <w:bottom w:val="single" w:sz="4" w:space="0" w:color="000000"/>
              <w:right w:val="single" w:sz="4" w:space="0" w:color="auto"/>
            </w:tcBorders>
            <w:vAlign w:val="center"/>
            <w:hideMark/>
          </w:tcPr>
          <w:p w:rsidR="00281A8E" w:rsidRPr="00281A8E" w:rsidRDefault="00281A8E" w:rsidP="00281A8E">
            <w:pPr>
              <w:spacing w:after="0" w:line="240" w:lineRule="auto"/>
              <w:rPr>
                <w:rFonts w:ascii="Calibri" w:eastAsia="Times New Roman" w:hAnsi="Calibri" w:cs="Times New Roman"/>
                <w:color w:val="000000"/>
              </w:rPr>
            </w:pPr>
          </w:p>
        </w:tc>
        <w:tc>
          <w:tcPr>
            <w:tcW w:w="1099" w:type="dxa"/>
            <w:tcBorders>
              <w:top w:val="nil"/>
              <w:left w:val="single" w:sz="4" w:space="0" w:color="auto"/>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Total coverage</w:t>
            </w:r>
            <w:r w:rsidRPr="00281A8E">
              <w:rPr>
                <w:rFonts w:ascii="Calibri" w:eastAsia="Times New Roman" w:hAnsi="Calibri" w:cs="Times New Roman"/>
                <w:color w:val="000000"/>
                <w:vertAlign w:val="superscript"/>
              </w:rPr>
              <w:t>*</w:t>
            </w:r>
          </w:p>
        </w:tc>
        <w:tc>
          <w:tcPr>
            <w:tcW w:w="1099"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On time coverage</w:t>
            </w:r>
            <w:r w:rsidRPr="00281A8E">
              <w:rPr>
                <w:rFonts w:ascii="Calibri" w:eastAsia="Times New Roman" w:hAnsi="Calibri" w:cs="Times New Roman"/>
                <w:color w:val="000000"/>
                <w:vertAlign w:val="superscript"/>
              </w:rPr>
              <w:t xml:space="preserve">† </w:t>
            </w:r>
          </w:p>
        </w:tc>
        <w:tc>
          <w:tcPr>
            <w:tcW w:w="1473"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Median age at vaccination (months)</w:t>
            </w:r>
          </w:p>
        </w:tc>
        <w:tc>
          <w:tcPr>
            <w:tcW w:w="1620"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Maximum delay</w:t>
            </w:r>
            <w:r w:rsidRPr="00281A8E">
              <w:rPr>
                <w:rFonts w:ascii="Calibri" w:eastAsia="Times New Roman" w:hAnsi="Calibri" w:cs="Times New Roman"/>
                <w:color w:val="000000"/>
                <w:vertAlign w:val="superscript"/>
              </w:rPr>
              <w:t xml:space="preserve">§ </w:t>
            </w:r>
            <w:r w:rsidRPr="00281A8E">
              <w:rPr>
                <w:rFonts w:ascii="Calibri" w:eastAsia="Times New Roman" w:hAnsi="Calibri" w:cs="Times New Roman"/>
                <w:color w:val="000000"/>
              </w:rPr>
              <w:t>(months)</w:t>
            </w:r>
          </w:p>
        </w:tc>
        <w:tc>
          <w:tcPr>
            <w:tcW w:w="1099" w:type="dxa"/>
            <w:tcBorders>
              <w:top w:val="nil"/>
              <w:left w:val="single" w:sz="4" w:space="0" w:color="auto"/>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Total coverage</w:t>
            </w:r>
            <w:r w:rsidRPr="00281A8E">
              <w:rPr>
                <w:rFonts w:ascii="Calibri" w:eastAsia="Times New Roman" w:hAnsi="Calibri" w:cs="Times New Roman"/>
                <w:color w:val="000000"/>
                <w:vertAlign w:val="superscript"/>
              </w:rPr>
              <w:t>*</w:t>
            </w:r>
          </w:p>
        </w:tc>
        <w:tc>
          <w:tcPr>
            <w:tcW w:w="1099"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On time coverage</w:t>
            </w:r>
            <w:r w:rsidRPr="00281A8E">
              <w:rPr>
                <w:rFonts w:ascii="Calibri" w:eastAsia="Times New Roman" w:hAnsi="Calibri" w:cs="Times New Roman"/>
                <w:color w:val="000000"/>
                <w:vertAlign w:val="superscript"/>
              </w:rPr>
              <w:t xml:space="preserve">† </w:t>
            </w:r>
          </w:p>
        </w:tc>
        <w:tc>
          <w:tcPr>
            <w:tcW w:w="1492"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Median age at vaccination (months)</w:t>
            </w:r>
          </w:p>
        </w:tc>
        <w:tc>
          <w:tcPr>
            <w:tcW w:w="1350" w:type="dxa"/>
            <w:tcBorders>
              <w:top w:val="nil"/>
              <w:left w:val="nil"/>
              <w:bottom w:val="single" w:sz="4" w:space="0" w:color="auto"/>
              <w:right w:val="nil"/>
            </w:tcBorders>
            <w:shd w:val="clear" w:color="auto" w:fill="auto"/>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Maximum</w:t>
            </w:r>
            <w:r w:rsidRPr="00281A8E">
              <w:rPr>
                <w:rFonts w:ascii="Calibri" w:eastAsia="Times New Roman" w:hAnsi="Calibri" w:cs="Times New Roman"/>
                <w:color w:val="000000"/>
              </w:rPr>
              <w:br/>
              <w:t>delay</w:t>
            </w:r>
            <w:r w:rsidRPr="00281A8E">
              <w:rPr>
                <w:rFonts w:ascii="Calibri" w:eastAsia="Times New Roman" w:hAnsi="Calibri" w:cs="Times New Roman"/>
                <w:color w:val="000000"/>
                <w:vertAlign w:val="superscript"/>
              </w:rPr>
              <w:t xml:space="preserve">§ </w:t>
            </w:r>
            <w:r w:rsidRPr="00281A8E">
              <w:rPr>
                <w:rFonts w:ascii="Calibri" w:eastAsia="Times New Roman" w:hAnsi="Calibri" w:cs="Times New Roman"/>
                <w:color w:val="000000"/>
              </w:rPr>
              <w:t>(months)</w:t>
            </w:r>
          </w:p>
        </w:tc>
      </w:tr>
      <w:tr w:rsidR="00281A8E" w:rsidRPr="00281A8E" w:rsidTr="006B0D27">
        <w:trPr>
          <w:trHeight w:val="345"/>
        </w:trPr>
        <w:tc>
          <w:tcPr>
            <w:tcW w:w="781" w:type="dxa"/>
            <w:vMerge w:val="restart"/>
            <w:tcBorders>
              <w:top w:val="nil"/>
              <w:left w:val="nil"/>
              <w:bottom w:val="single" w:sz="4" w:space="0" w:color="000000"/>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Chuuk</w:t>
            </w:r>
          </w:p>
        </w:tc>
        <w:tc>
          <w:tcPr>
            <w:tcW w:w="155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Outer islands</w:t>
            </w:r>
            <w:r w:rsidRPr="00281A8E">
              <w:rPr>
                <w:rFonts w:ascii="Calibri" w:eastAsia="Times New Roman" w:hAnsi="Calibri" w:cs="Times New Roman"/>
                <w:color w:val="000000"/>
                <w:vertAlign w:val="superscript"/>
              </w:rPr>
              <w:t>¶</w:t>
            </w:r>
          </w:p>
        </w:tc>
        <w:tc>
          <w:tcPr>
            <w:tcW w:w="1189" w:type="dxa"/>
            <w:tcBorders>
              <w:top w:val="nil"/>
              <w:left w:val="nil"/>
              <w:bottom w:val="nil"/>
              <w:right w:val="single" w:sz="4" w:space="0" w:color="auto"/>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996</w:t>
            </w:r>
          </w:p>
        </w:tc>
        <w:tc>
          <w:tcPr>
            <w:tcW w:w="1099" w:type="dxa"/>
            <w:tcBorders>
              <w:top w:val="nil"/>
              <w:left w:val="single" w:sz="4" w:space="0" w:color="auto"/>
              <w:bottom w:val="nil"/>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29.6%</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1.5%</w:t>
            </w: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rPr>
            </w:pPr>
            <w:r w:rsidRPr="00281A8E">
              <w:rPr>
                <w:rFonts w:ascii="Calibri" w:eastAsia="Times New Roman" w:hAnsi="Calibri" w:cs="Times New Roman"/>
              </w:rPr>
              <w:t>21</w:t>
            </w: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21</w:t>
            </w:r>
          </w:p>
        </w:tc>
        <w:tc>
          <w:tcPr>
            <w:tcW w:w="1099" w:type="dxa"/>
            <w:tcBorders>
              <w:top w:val="nil"/>
              <w:left w:val="single" w:sz="4" w:space="0" w:color="auto"/>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88.6%</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18.7%</w:t>
            </w: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rPr>
            </w:pPr>
            <w:r w:rsidRPr="00281A8E">
              <w:rPr>
                <w:rFonts w:ascii="Calibri" w:eastAsia="Times New Roman" w:hAnsi="Calibri" w:cs="Times New Roman"/>
              </w:rPr>
              <w:t>14</w:t>
            </w: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20</w:t>
            </w:r>
          </w:p>
        </w:tc>
      </w:tr>
      <w:tr w:rsidR="00281A8E" w:rsidRPr="00281A8E" w:rsidTr="006B0D27">
        <w:trPr>
          <w:trHeight w:val="345"/>
        </w:trPr>
        <w:tc>
          <w:tcPr>
            <w:tcW w:w="781" w:type="dxa"/>
            <w:vMerge/>
            <w:tcBorders>
              <w:top w:val="nil"/>
              <w:left w:val="nil"/>
              <w:bottom w:val="single" w:sz="4" w:space="0" w:color="000000"/>
              <w:right w:val="nil"/>
            </w:tcBorders>
            <w:vAlign w:val="center"/>
            <w:hideMark/>
          </w:tcPr>
          <w:p w:rsidR="00281A8E" w:rsidRPr="00281A8E" w:rsidRDefault="00281A8E" w:rsidP="00281A8E">
            <w:pPr>
              <w:spacing w:after="0" w:line="240" w:lineRule="auto"/>
              <w:rPr>
                <w:rFonts w:ascii="Calibri" w:eastAsia="Times New Roman" w:hAnsi="Calibri" w:cs="Times New Roman"/>
                <w:color w:val="000000"/>
              </w:rPr>
            </w:pPr>
          </w:p>
        </w:tc>
        <w:tc>
          <w:tcPr>
            <w:tcW w:w="1559"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Main island</w:t>
            </w:r>
            <w:r w:rsidRPr="00281A8E">
              <w:rPr>
                <w:rFonts w:ascii="Calibri" w:eastAsia="Times New Roman" w:hAnsi="Calibri" w:cs="Times New Roman"/>
                <w:color w:val="000000"/>
                <w:vertAlign w:val="superscript"/>
              </w:rPr>
              <w:t>**</w:t>
            </w:r>
          </w:p>
        </w:tc>
        <w:tc>
          <w:tcPr>
            <w:tcW w:w="1189" w:type="dxa"/>
            <w:tcBorders>
              <w:top w:val="nil"/>
              <w:left w:val="nil"/>
              <w:bottom w:val="single" w:sz="4" w:space="0" w:color="auto"/>
              <w:right w:val="single" w:sz="4" w:space="0" w:color="auto"/>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230</w:t>
            </w:r>
          </w:p>
        </w:tc>
        <w:tc>
          <w:tcPr>
            <w:tcW w:w="1099" w:type="dxa"/>
            <w:tcBorders>
              <w:top w:val="nil"/>
              <w:left w:val="single" w:sz="4" w:space="0" w:color="auto"/>
              <w:bottom w:val="single" w:sz="4" w:space="0" w:color="auto"/>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61.7%</w:t>
            </w:r>
          </w:p>
        </w:tc>
        <w:tc>
          <w:tcPr>
            <w:tcW w:w="1099"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10.4%</w:t>
            </w:r>
          </w:p>
        </w:tc>
        <w:tc>
          <w:tcPr>
            <w:tcW w:w="1473"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rPr>
            </w:pPr>
            <w:r w:rsidRPr="00281A8E">
              <w:rPr>
                <w:rFonts w:ascii="Calibri" w:eastAsia="Times New Roman" w:hAnsi="Calibri" w:cs="Times New Roman"/>
              </w:rPr>
              <w:t>16</w:t>
            </w:r>
          </w:p>
        </w:tc>
        <w:tc>
          <w:tcPr>
            <w:tcW w:w="1620"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20</w:t>
            </w:r>
          </w:p>
        </w:tc>
        <w:tc>
          <w:tcPr>
            <w:tcW w:w="1099" w:type="dxa"/>
            <w:tcBorders>
              <w:top w:val="nil"/>
              <w:left w:val="single" w:sz="4" w:space="0" w:color="auto"/>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87.4%</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31.7%</w:t>
            </w:r>
          </w:p>
        </w:tc>
        <w:tc>
          <w:tcPr>
            <w:tcW w:w="1492"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rPr>
            </w:pPr>
            <w:r w:rsidRPr="00281A8E">
              <w:rPr>
                <w:rFonts w:ascii="Calibri" w:eastAsia="Times New Roman" w:hAnsi="Calibri" w:cs="Times New Roman"/>
              </w:rPr>
              <w:t>13</w:t>
            </w:r>
          </w:p>
        </w:tc>
        <w:tc>
          <w:tcPr>
            <w:tcW w:w="1350"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18</w:t>
            </w:r>
          </w:p>
        </w:tc>
      </w:tr>
      <w:tr w:rsidR="00281A8E" w:rsidRPr="00281A8E" w:rsidTr="006B0D27">
        <w:trPr>
          <w:trHeight w:val="345"/>
        </w:trPr>
        <w:tc>
          <w:tcPr>
            <w:tcW w:w="781" w:type="dxa"/>
            <w:vMerge w:val="restart"/>
            <w:tcBorders>
              <w:top w:val="nil"/>
              <w:left w:val="nil"/>
              <w:bottom w:val="single" w:sz="4" w:space="0" w:color="000000"/>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Yap</w:t>
            </w:r>
          </w:p>
        </w:tc>
        <w:tc>
          <w:tcPr>
            <w:tcW w:w="155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Outer islands</w:t>
            </w:r>
            <w:r w:rsidRPr="00281A8E">
              <w:rPr>
                <w:rFonts w:ascii="Calibri" w:eastAsia="Times New Roman" w:hAnsi="Calibri" w:cs="Times New Roman"/>
                <w:color w:val="000000"/>
                <w:vertAlign w:val="superscript"/>
              </w:rPr>
              <w:t>††</w:t>
            </w:r>
          </w:p>
        </w:tc>
        <w:tc>
          <w:tcPr>
            <w:tcW w:w="1189" w:type="dxa"/>
            <w:tcBorders>
              <w:top w:val="nil"/>
              <w:left w:val="nil"/>
              <w:bottom w:val="nil"/>
              <w:right w:val="single" w:sz="4" w:space="0" w:color="auto"/>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122</w:t>
            </w:r>
          </w:p>
        </w:tc>
        <w:tc>
          <w:tcPr>
            <w:tcW w:w="1099" w:type="dxa"/>
            <w:tcBorders>
              <w:top w:val="nil"/>
              <w:left w:val="single" w:sz="4" w:space="0" w:color="auto"/>
              <w:bottom w:val="nil"/>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82.8%</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10.7%</w:t>
            </w: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24</w:t>
            </w: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21</w:t>
            </w:r>
          </w:p>
        </w:tc>
        <w:tc>
          <w:tcPr>
            <w:tcW w:w="1099" w:type="dxa"/>
            <w:tcBorders>
              <w:top w:val="single" w:sz="4" w:space="0" w:color="auto"/>
              <w:left w:val="single" w:sz="4" w:space="0" w:color="auto"/>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96.7%</w:t>
            </w:r>
          </w:p>
        </w:tc>
        <w:tc>
          <w:tcPr>
            <w:tcW w:w="1099" w:type="dxa"/>
            <w:tcBorders>
              <w:top w:val="single" w:sz="4" w:space="0" w:color="auto"/>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28.7%</w:t>
            </w: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14</w:t>
            </w: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11</w:t>
            </w:r>
          </w:p>
        </w:tc>
      </w:tr>
      <w:tr w:rsidR="00281A8E" w:rsidRPr="00281A8E" w:rsidTr="006B0D27">
        <w:trPr>
          <w:trHeight w:val="345"/>
        </w:trPr>
        <w:tc>
          <w:tcPr>
            <w:tcW w:w="781" w:type="dxa"/>
            <w:vMerge/>
            <w:tcBorders>
              <w:top w:val="nil"/>
              <w:left w:val="nil"/>
              <w:bottom w:val="single" w:sz="4" w:space="0" w:color="000000"/>
              <w:right w:val="nil"/>
            </w:tcBorders>
            <w:vAlign w:val="center"/>
            <w:hideMark/>
          </w:tcPr>
          <w:p w:rsidR="00281A8E" w:rsidRPr="00281A8E" w:rsidRDefault="00281A8E" w:rsidP="00281A8E">
            <w:pPr>
              <w:spacing w:after="0" w:line="240" w:lineRule="auto"/>
              <w:rPr>
                <w:rFonts w:ascii="Calibri" w:eastAsia="Times New Roman" w:hAnsi="Calibri" w:cs="Times New Roman"/>
                <w:color w:val="000000"/>
              </w:rPr>
            </w:pPr>
          </w:p>
        </w:tc>
        <w:tc>
          <w:tcPr>
            <w:tcW w:w="1559"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Main island</w:t>
            </w:r>
            <w:r w:rsidRPr="00281A8E">
              <w:rPr>
                <w:rFonts w:ascii="Calibri" w:eastAsia="Times New Roman" w:hAnsi="Calibri" w:cs="Times New Roman"/>
                <w:color w:val="000000"/>
                <w:vertAlign w:val="superscript"/>
              </w:rPr>
              <w:t>§§</w:t>
            </w:r>
          </w:p>
        </w:tc>
        <w:tc>
          <w:tcPr>
            <w:tcW w:w="1189" w:type="dxa"/>
            <w:tcBorders>
              <w:top w:val="nil"/>
              <w:left w:val="nil"/>
              <w:bottom w:val="single" w:sz="4" w:space="0" w:color="auto"/>
              <w:right w:val="single" w:sz="4" w:space="0" w:color="auto"/>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112</w:t>
            </w:r>
          </w:p>
        </w:tc>
        <w:tc>
          <w:tcPr>
            <w:tcW w:w="1099" w:type="dxa"/>
            <w:tcBorders>
              <w:top w:val="nil"/>
              <w:left w:val="single" w:sz="4" w:space="0" w:color="auto"/>
              <w:bottom w:val="single" w:sz="4" w:space="0" w:color="auto"/>
              <w:right w:val="nil"/>
            </w:tcBorders>
            <w:shd w:val="clear" w:color="auto" w:fill="auto"/>
            <w:noWrap/>
            <w:vAlign w:val="center"/>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93.8%</w:t>
            </w:r>
          </w:p>
        </w:tc>
        <w:tc>
          <w:tcPr>
            <w:tcW w:w="1099"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37.5%</w:t>
            </w:r>
          </w:p>
        </w:tc>
        <w:tc>
          <w:tcPr>
            <w:tcW w:w="1473"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14</w:t>
            </w:r>
          </w:p>
        </w:tc>
        <w:tc>
          <w:tcPr>
            <w:tcW w:w="1620"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23</w:t>
            </w:r>
          </w:p>
        </w:tc>
        <w:tc>
          <w:tcPr>
            <w:tcW w:w="1099" w:type="dxa"/>
            <w:tcBorders>
              <w:top w:val="nil"/>
              <w:left w:val="single" w:sz="4" w:space="0" w:color="auto"/>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97.3%</w:t>
            </w:r>
          </w:p>
        </w:tc>
        <w:tc>
          <w:tcPr>
            <w:tcW w:w="1099"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60.7%</w:t>
            </w:r>
          </w:p>
        </w:tc>
        <w:tc>
          <w:tcPr>
            <w:tcW w:w="1492"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12</w:t>
            </w:r>
          </w:p>
        </w:tc>
        <w:tc>
          <w:tcPr>
            <w:tcW w:w="1350" w:type="dxa"/>
            <w:tcBorders>
              <w:top w:val="nil"/>
              <w:left w:val="nil"/>
              <w:bottom w:val="single" w:sz="4" w:space="0" w:color="auto"/>
              <w:right w:val="nil"/>
            </w:tcBorders>
            <w:shd w:val="clear" w:color="auto" w:fill="auto"/>
            <w:noWrap/>
            <w:vAlign w:val="bottom"/>
            <w:hideMark/>
          </w:tcPr>
          <w:p w:rsidR="00281A8E" w:rsidRPr="00281A8E" w:rsidRDefault="00281A8E" w:rsidP="00281A8E">
            <w:pPr>
              <w:spacing w:after="0" w:line="240" w:lineRule="auto"/>
              <w:jc w:val="center"/>
              <w:rPr>
                <w:rFonts w:ascii="Calibri" w:eastAsia="Times New Roman" w:hAnsi="Calibri" w:cs="Times New Roman"/>
                <w:color w:val="000000"/>
              </w:rPr>
            </w:pPr>
            <w:r w:rsidRPr="00281A8E">
              <w:rPr>
                <w:rFonts w:ascii="Calibri" w:eastAsia="Times New Roman" w:hAnsi="Calibri" w:cs="Times New Roman"/>
                <w:color w:val="000000"/>
              </w:rPr>
              <w:t>14</w:t>
            </w:r>
          </w:p>
        </w:tc>
      </w:tr>
      <w:tr w:rsidR="00281A8E" w:rsidRPr="00281A8E" w:rsidTr="006B0D27">
        <w:trPr>
          <w:trHeight w:val="98"/>
        </w:trPr>
        <w:tc>
          <w:tcPr>
            <w:tcW w:w="5727" w:type="dxa"/>
            <w:gridSpan w:val="5"/>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Total coverage is a measure of doses received by end of follow-up.</w:t>
            </w: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r w:rsidR="00281A8E" w:rsidRPr="00281A8E" w:rsidTr="006B0D27">
        <w:trPr>
          <w:trHeight w:val="90"/>
        </w:trPr>
        <w:tc>
          <w:tcPr>
            <w:tcW w:w="9919" w:type="dxa"/>
            <w:gridSpan w:val="8"/>
            <w:tcBorders>
              <w:top w:val="nil"/>
              <w:left w:val="nil"/>
              <w:bottom w:val="nil"/>
              <w:right w:val="nil"/>
            </w:tcBorders>
            <w:shd w:val="clear" w:color="auto" w:fill="auto"/>
            <w:noWrap/>
            <w:vAlign w:val="center"/>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On time coverage is a measure of doses administered from 4 days before the age of 12 months through the end of the 12</w:t>
            </w:r>
            <w:r w:rsidRPr="00281A8E">
              <w:rPr>
                <w:rFonts w:ascii="Calibri" w:eastAsia="Times New Roman" w:hAnsi="Calibri" w:cs="Times New Roman"/>
                <w:color w:val="000000"/>
                <w:sz w:val="16"/>
                <w:szCs w:val="16"/>
                <w:vertAlign w:val="superscript"/>
              </w:rPr>
              <w:t>th</w:t>
            </w:r>
            <w:r w:rsidRPr="00281A8E">
              <w:rPr>
                <w:rFonts w:ascii="Calibri" w:eastAsia="Times New Roman" w:hAnsi="Calibri" w:cs="Times New Roman"/>
                <w:color w:val="000000"/>
                <w:sz w:val="16"/>
                <w:szCs w:val="16"/>
              </w:rPr>
              <w:t xml:space="preserve"> month of age.  </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r w:rsidR="00281A8E" w:rsidRPr="00281A8E" w:rsidTr="006B0D27">
        <w:trPr>
          <w:trHeight w:val="80"/>
        </w:trPr>
        <w:tc>
          <w:tcPr>
            <w:tcW w:w="12510" w:type="dxa"/>
            <w:gridSpan w:val="10"/>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Maximum</w:t>
            </w:r>
            <w:r w:rsidRPr="00281A8E">
              <w:rPr>
                <w:rFonts w:ascii="Calibri" w:eastAsia="Times New Roman" w:hAnsi="Calibri" w:cs="Times New Roman"/>
                <w:color w:val="000000"/>
                <w:sz w:val="16"/>
                <w:szCs w:val="16"/>
                <w:vertAlign w:val="superscript"/>
              </w:rPr>
              <w:t xml:space="preserve"> </w:t>
            </w:r>
            <w:r w:rsidRPr="00281A8E">
              <w:rPr>
                <w:rFonts w:ascii="Calibri" w:eastAsia="Times New Roman" w:hAnsi="Calibri" w:cs="Times New Roman"/>
                <w:color w:val="000000"/>
                <w:sz w:val="16"/>
                <w:szCs w:val="16"/>
              </w:rPr>
              <w:t xml:space="preserve">delay is a measure of the difference in months from the recommended age to the age at which total coverage is reached, according to the Kaplan-Meier curves. </w:t>
            </w: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r>
      <w:tr w:rsidR="00281A8E" w:rsidRPr="00281A8E" w:rsidTr="006B0D27">
        <w:trPr>
          <w:trHeight w:val="80"/>
        </w:trPr>
        <w:tc>
          <w:tcPr>
            <w:tcW w:w="4628" w:type="dxa"/>
            <w:gridSpan w:val="4"/>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Includes all</w:t>
            </w:r>
            <w:r w:rsidRPr="00281A8E">
              <w:rPr>
                <w:rFonts w:ascii="Calibri" w:eastAsia="Times New Roman" w:hAnsi="Calibri" w:cs="Times New Roman"/>
                <w:color w:val="000000"/>
                <w:sz w:val="16"/>
                <w:szCs w:val="16"/>
                <w:vertAlign w:val="superscript"/>
              </w:rPr>
              <w:t xml:space="preserve"> </w:t>
            </w:r>
            <w:r w:rsidRPr="00281A8E">
              <w:rPr>
                <w:rFonts w:ascii="Calibri" w:eastAsia="Times New Roman" w:hAnsi="Calibri" w:cs="Times New Roman"/>
                <w:color w:val="000000"/>
                <w:sz w:val="16"/>
                <w:szCs w:val="16"/>
              </w:rPr>
              <w:t>islands in Chuuk state, except Weno Island.</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r w:rsidR="00281A8E" w:rsidRPr="00281A8E" w:rsidTr="006B0D27">
        <w:trPr>
          <w:trHeight w:val="80"/>
        </w:trPr>
        <w:tc>
          <w:tcPr>
            <w:tcW w:w="2340" w:type="dxa"/>
            <w:gridSpan w:val="2"/>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Weno Island</w:t>
            </w:r>
          </w:p>
        </w:tc>
        <w:tc>
          <w:tcPr>
            <w:tcW w:w="118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r w:rsidR="00281A8E" w:rsidRPr="00281A8E" w:rsidTr="006B0D27">
        <w:trPr>
          <w:trHeight w:val="80"/>
        </w:trPr>
        <w:tc>
          <w:tcPr>
            <w:tcW w:w="4628" w:type="dxa"/>
            <w:gridSpan w:val="4"/>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Includes all islands in Yap state, except Yap Island.</w:t>
            </w: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r w:rsidR="00281A8E" w:rsidRPr="00281A8E" w:rsidTr="006B0D27">
        <w:trPr>
          <w:trHeight w:val="80"/>
        </w:trPr>
        <w:tc>
          <w:tcPr>
            <w:tcW w:w="2340" w:type="dxa"/>
            <w:gridSpan w:val="2"/>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r w:rsidRPr="00281A8E">
              <w:rPr>
                <w:rFonts w:ascii="Calibri" w:eastAsia="Times New Roman" w:hAnsi="Calibri" w:cs="Times New Roman"/>
                <w:color w:val="000000"/>
                <w:sz w:val="16"/>
                <w:szCs w:val="16"/>
                <w:vertAlign w:val="superscript"/>
              </w:rPr>
              <w:t>§§</w:t>
            </w:r>
            <w:r w:rsidRPr="00281A8E">
              <w:rPr>
                <w:rFonts w:ascii="Calibri" w:eastAsia="Times New Roman" w:hAnsi="Calibri" w:cs="Times New Roman"/>
                <w:color w:val="000000"/>
                <w:sz w:val="16"/>
                <w:szCs w:val="16"/>
              </w:rPr>
              <w:t>Yap Island</w:t>
            </w:r>
          </w:p>
        </w:tc>
        <w:tc>
          <w:tcPr>
            <w:tcW w:w="118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Calibri" w:eastAsia="Times New Roman" w:hAnsi="Calibri" w:cs="Times New Roman"/>
                <w:color w:val="000000"/>
                <w:sz w:val="16"/>
                <w:szCs w:val="16"/>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73"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492"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281A8E" w:rsidRPr="00281A8E" w:rsidRDefault="00281A8E" w:rsidP="00281A8E">
            <w:pPr>
              <w:spacing w:after="0" w:line="240" w:lineRule="auto"/>
              <w:rPr>
                <w:rFonts w:ascii="Times New Roman" w:eastAsia="Times New Roman" w:hAnsi="Times New Roman" w:cs="Times New Roman"/>
                <w:sz w:val="20"/>
                <w:szCs w:val="20"/>
              </w:rPr>
            </w:pPr>
          </w:p>
        </w:tc>
      </w:tr>
    </w:tbl>
    <w:p w:rsidR="00281A8E" w:rsidRPr="00281A8E" w:rsidRDefault="00281A8E" w:rsidP="00281A8E"/>
    <w:p w:rsidR="00281A8E" w:rsidRPr="00281A8E" w:rsidRDefault="00281A8E" w:rsidP="00281A8E"/>
    <w:p w:rsidR="00FC70C6" w:rsidRDefault="00FC70C6"/>
    <w:sectPr w:rsidR="00FC70C6" w:rsidSect="00281A8E">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8E"/>
    <w:rsid w:val="00281A8E"/>
    <w:rsid w:val="00C05544"/>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BC5A-8020-430D-9725-36354DE5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14963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Tippins, Ashley (CDC/OID/NCIRD)</dc:creator>
  <cp:keywords/>
  <dc:description/>
  <cp:lastModifiedBy>Tippins, Ashley (CDC/OID/NCIRD)</cp:lastModifiedBy>
  <cp:revision>2</cp:revision>
  <dcterms:created xsi:type="dcterms:W3CDTF">2018-09-13T20:02:00Z</dcterms:created>
  <dcterms:modified xsi:type="dcterms:W3CDTF">2018-09-13T20:02:00Z</dcterms:modified>
</cp:coreProperties>
</file>