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743" w:tblpY="556"/>
        <w:tblW w:w="0" w:type="auto"/>
        <w:shd w:val="clear" w:color="auto" w:fill="FFFFFF" w:themeFill="background1"/>
        <w:tblLayout w:type="fixed"/>
        <w:tblLook w:val="04A0" w:firstRow="1" w:lastRow="0" w:firstColumn="1" w:lastColumn="0" w:noHBand="0" w:noVBand="1"/>
      </w:tblPr>
      <w:tblGrid>
        <w:gridCol w:w="2337"/>
        <w:gridCol w:w="2338"/>
        <w:gridCol w:w="2337"/>
        <w:gridCol w:w="2338"/>
      </w:tblGrid>
      <w:tr w:rsidR="0072139C" w:rsidRPr="00556A69" w:rsidTr="0072139C">
        <w:tc>
          <w:tcPr>
            <w:tcW w:w="2337" w:type="dxa"/>
            <w:shd w:val="clear" w:color="auto" w:fill="FFFFFF" w:themeFill="background1"/>
          </w:tcPr>
          <w:p w:rsidR="0072139C" w:rsidRPr="00556A69" w:rsidRDefault="0072139C" w:rsidP="0072139C">
            <w:pPr>
              <w:spacing w:after="200" w:line="276" w:lineRule="auto"/>
              <w:rPr>
                <w:sz w:val="16"/>
                <w:szCs w:val="16"/>
              </w:rPr>
            </w:pPr>
          </w:p>
        </w:tc>
        <w:tc>
          <w:tcPr>
            <w:tcW w:w="2338" w:type="dxa"/>
            <w:shd w:val="clear" w:color="auto" w:fill="FFFFFF" w:themeFill="background1"/>
          </w:tcPr>
          <w:p w:rsidR="0072139C" w:rsidRPr="00556A69" w:rsidRDefault="0072139C" w:rsidP="0072139C">
            <w:pPr>
              <w:spacing w:after="200" w:line="276" w:lineRule="auto"/>
              <w:rPr>
                <w:b/>
                <w:sz w:val="16"/>
                <w:szCs w:val="16"/>
              </w:rPr>
            </w:pPr>
            <w:r w:rsidRPr="00556A69">
              <w:rPr>
                <w:b/>
                <w:sz w:val="16"/>
                <w:szCs w:val="16"/>
              </w:rPr>
              <w:t>HS RIO</w:t>
            </w:r>
          </w:p>
        </w:tc>
        <w:tc>
          <w:tcPr>
            <w:tcW w:w="2337" w:type="dxa"/>
            <w:shd w:val="clear" w:color="auto" w:fill="FFFFFF" w:themeFill="background1"/>
          </w:tcPr>
          <w:p w:rsidR="0072139C" w:rsidRPr="00D1792C" w:rsidRDefault="0072139C" w:rsidP="0072139C">
            <w:pPr>
              <w:spacing w:after="200" w:line="276" w:lineRule="auto"/>
              <w:rPr>
                <w:b/>
                <w:sz w:val="16"/>
                <w:szCs w:val="16"/>
              </w:rPr>
            </w:pPr>
            <w:r w:rsidRPr="00D1792C">
              <w:rPr>
                <w:b/>
                <w:sz w:val="16"/>
                <w:szCs w:val="16"/>
              </w:rPr>
              <w:t>NCAA-ISP</w:t>
            </w:r>
          </w:p>
        </w:tc>
        <w:tc>
          <w:tcPr>
            <w:tcW w:w="2338" w:type="dxa"/>
            <w:shd w:val="clear" w:color="auto" w:fill="FFFFFF" w:themeFill="background1"/>
          </w:tcPr>
          <w:p w:rsidR="0072139C" w:rsidRPr="00D1792C" w:rsidRDefault="0072139C" w:rsidP="0072139C">
            <w:pPr>
              <w:spacing w:after="200" w:line="276" w:lineRule="auto"/>
              <w:rPr>
                <w:b/>
                <w:sz w:val="16"/>
                <w:szCs w:val="16"/>
              </w:rPr>
            </w:pPr>
            <w:r w:rsidRPr="00D1792C">
              <w:rPr>
                <w:b/>
                <w:sz w:val="16"/>
                <w:szCs w:val="16"/>
              </w:rPr>
              <w:t>NEISS</w:t>
            </w:r>
          </w:p>
        </w:tc>
      </w:tr>
      <w:tr w:rsidR="0072139C" w:rsidRPr="00556A69" w:rsidTr="0072139C">
        <w:tc>
          <w:tcPr>
            <w:tcW w:w="2337" w:type="dxa"/>
            <w:shd w:val="clear" w:color="auto" w:fill="FFFFFF" w:themeFill="background1"/>
          </w:tcPr>
          <w:p w:rsidR="0072139C" w:rsidRPr="00556A69" w:rsidRDefault="0072139C" w:rsidP="0072139C">
            <w:pPr>
              <w:spacing w:after="200" w:line="276" w:lineRule="auto"/>
              <w:rPr>
                <w:sz w:val="16"/>
                <w:szCs w:val="16"/>
              </w:rPr>
            </w:pPr>
            <w:r w:rsidRPr="00556A69">
              <w:rPr>
                <w:sz w:val="16"/>
                <w:szCs w:val="16"/>
              </w:rPr>
              <w:t>Administered By</w:t>
            </w:r>
          </w:p>
        </w:tc>
        <w:tc>
          <w:tcPr>
            <w:tcW w:w="2338" w:type="dxa"/>
            <w:shd w:val="clear" w:color="auto" w:fill="FFFFFF" w:themeFill="background1"/>
          </w:tcPr>
          <w:p w:rsidR="0072139C" w:rsidRPr="00556A69" w:rsidRDefault="0072139C" w:rsidP="0072139C">
            <w:pPr>
              <w:spacing w:after="200" w:line="276" w:lineRule="auto"/>
              <w:rPr>
                <w:sz w:val="16"/>
                <w:szCs w:val="16"/>
              </w:rPr>
            </w:pPr>
            <w:r w:rsidRPr="00556A69">
              <w:rPr>
                <w:sz w:val="16"/>
                <w:szCs w:val="16"/>
              </w:rPr>
              <w:t>Dr. Dawn Comstock, Colorado School of Public Health</w:t>
            </w:r>
          </w:p>
        </w:tc>
        <w:tc>
          <w:tcPr>
            <w:tcW w:w="2337" w:type="dxa"/>
            <w:shd w:val="clear" w:color="auto" w:fill="FFFFFF" w:themeFill="background1"/>
          </w:tcPr>
          <w:p w:rsidR="0072139C" w:rsidRPr="00556A69" w:rsidRDefault="0072139C" w:rsidP="0072139C">
            <w:pPr>
              <w:spacing w:after="200" w:line="276" w:lineRule="auto"/>
              <w:rPr>
                <w:sz w:val="16"/>
                <w:szCs w:val="16"/>
              </w:rPr>
            </w:pPr>
            <w:proofErr w:type="spellStart"/>
            <w:r w:rsidRPr="00556A69">
              <w:rPr>
                <w:sz w:val="16"/>
                <w:szCs w:val="16"/>
              </w:rPr>
              <w:t>Datalys</w:t>
            </w:r>
            <w:proofErr w:type="spellEnd"/>
            <w:r w:rsidRPr="00556A69">
              <w:rPr>
                <w:sz w:val="16"/>
                <w:szCs w:val="16"/>
              </w:rPr>
              <w:t xml:space="preserve"> Center for Sports Injury Research and Prevention</w:t>
            </w:r>
          </w:p>
        </w:tc>
        <w:tc>
          <w:tcPr>
            <w:tcW w:w="2338" w:type="dxa"/>
            <w:shd w:val="clear" w:color="auto" w:fill="FFFFFF" w:themeFill="background1"/>
          </w:tcPr>
          <w:p w:rsidR="0072139C" w:rsidRPr="00556A69" w:rsidRDefault="0072139C" w:rsidP="0072139C">
            <w:pPr>
              <w:spacing w:after="200" w:line="276" w:lineRule="auto"/>
              <w:rPr>
                <w:sz w:val="16"/>
                <w:szCs w:val="16"/>
              </w:rPr>
            </w:pPr>
            <w:r w:rsidRPr="00556A69">
              <w:rPr>
                <w:sz w:val="16"/>
                <w:szCs w:val="16"/>
              </w:rPr>
              <w:t>United States Consumer Product Safety Commission</w:t>
            </w:r>
          </w:p>
        </w:tc>
      </w:tr>
      <w:tr w:rsidR="0072139C" w:rsidRPr="00556A69" w:rsidTr="0072139C">
        <w:tc>
          <w:tcPr>
            <w:tcW w:w="2337" w:type="dxa"/>
            <w:shd w:val="clear" w:color="auto" w:fill="FFFFFF" w:themeFill="background1"/>
          </w:tcPr>
          <w:p w:rsidR="0072139C" w:rsidRPr="00556A69" w:rsidRDefault="0072139C" w:rsidP="0072139C">
            <w:pPr>
              <w:spacing w:after="200" w:line="276" w:lineRule="auto"/>
              <w:rPr>
                <w:sz w:val="16"/>
                <w:szCs w:val="16"/>
              </w:rPr>
            </w:pPr>
            <w:r w:rsidRPr="00556A69">
              <w:rPr>
                <w:sz w:val="16"/>
                <w:szCs w:val="16"/>
              </w:rPr>
              <w:t>Website</w:t>
            </w:r>
          </w:p>
        </w:tc>
        <w:tc>
          <w:tcPr>
            <w:tcW w:w="2338" w:type="dxa"/>
            <w:shd w:val="clear" w:color="auto" w:fill="FFFFFF" w:themeFill="background1"/>
          </w:tcPr>
          <w:p w:rsidR="0072139C" w:rsidRPr="00556A69" w:rsidRDefault="0072139C" w:rsidP="0072139C">
            <w:pPr>
              <w:spacing w:after="200" w:line="276" w:lineRule="auto"/>
              <w:rPr>
                <w:sz w:val="16"/>
                <w:szCs w:val="16"/>
              </w:rPr>
            </w:pPr>
            <w:r w:rsidRPr="00556A69">
              <w:rPr>
                <w:sz w:val="16"/>
                <w:szCs w:val="16"/>
              </w:rPr>
              <w:t>http://www.ucdenver.edu/academics/colleges/PublicHealth/research/ResearchProjects/piper/projects/RIO/Pages/default.aspx</w:t>
            </w:r>
          </w:p>
        </w:tc>
        <w:tc>
          <w:tcPr>
            <w:tcW w:w="2337" w:type="dxa"/>
            <w:shd w:val="clear" w:color="auto" w:fill="FFFFFF" w:themeFill="background1"/>
          </w:tcPr>
          <w:p w:rsidR="0072139C" w:rsidRPr="00556A69" w:rsidRDefault="0072139C" w:rsidP="0072139C">
            <w:pPr>
              <w:spacing w:after="200" w:line="276" w:lineRule="auto"/>
              <w:rPr>
                <w:sz w:val="16"/>
                <w:szCs w:val="16"/>
              </w:rPr>
            </w:pPr>
            <w:r w:rsidRPr="00556A69">
              <w:rPr>
                <w:sz w:val="16"/>
                <w:szCs w:val="16"/>
              </w:rPr>
              <w:t>http://www.datalyscenter.org/</w:t>
            </w:r>
          </w:p>
        </w:tc>
        <w:tc>
          <w:tcPr>
            <w:tcW w:w="2338" w:type="dxa"/>
            <w:shd w:val="clear" w:color="auto" w:fill="FFFFFF" w:themeFill="background1"/>
          </w:tcPr>
          <w:p w:rsidR="0072139C" w:rsidRPr="00556A69" w:rsidRDefault="0072139C" w:rsidP="0072139C">
            <w:pPr>
              <w:spacing w:after="200" w:line="276" w:lineRule="auto"/>
              <w:rPr>
                <w:sz w:val="16"/>
                <w:szCs w:val="16"/>
              </w:rPr>
            </w:pPr>
            <w:r w:rsidRPr="00556A69">
              <w:rPr>
                <w:sz w:val="16"/>
                <w:szCs w:val="16"/>
              </w:rPr>
              <w:t>https://www.cpsc.gov/Research--Statistics/NEISS-Injury-Data</w:t>
            </w:r>
          </w:p>
        </w:tc>
      </w:tr>
      <w:tr w:rsidR="0072139C" w:rsidRPr="00556A69" w:rsidTr="0072139C">
        <w:tc>
          <w:tcPr>
            <w:tcW w:w="2337" w:type="dxa"/>
            <w:shd w:val="clear" w:color="auto" w:fill="FFFFFF" w:themeFill="background1"/>
          </w:tcPr>
          <w:p w:rsidR="0072139C" w:rsidRPr="00556A69" w:rsidRDefault="0072139C" w:rsidP="0072139C">
            <w:pPr>
              <w:spacing w:after="200" w:line="276" w:lineRule="auto"/>
              <w:rPr>
                <w:sz w:val="16"/>
                <w:szCs w:val="16"/>
              </w:rPr>
            </w:pPr>
            <w:r w:rsidRPr="00556A69">
              <w:rPr>
                <w:sz w:val="16"/>
                <w:szCs w:val="16"/>
              </w:rPr>
              <w:t>Study Population</w:t>
            </w:r>
          </w:p>
        </w:tc>
        <w:tc>
          <w:tcPr>
            <w:tcW w:w="2338" w:type="dxa"/>
            <w:shd w:val="clear" w:color="auto" w:fill="FFFFFF" w:themeFill="background1"/>
          </w:tcPr>
          <w:p w:rsidR="0072139C" w:rsidRPr="00556A69" w:rsidRDefault="0072139C" w:rsidP="0072139C">
            <w:pPr>
              <w:spacing w:after="200" w:line="276" w:lineRule="auto"/>
              <w:rPr>
                <w:sz w:val="16"/>
                <w:szCs w:val="16"/>
              </w:rPr>
            </w:pPr>
            <w:r w:rsidRPr="00556A69">
              <w:rPr>
                <w:sz w:val="16"/>
                <w:szCs w:val="16"/>
              </w:rPr>
              <w:t>High athletes participating in sports in a national sample of US high schools</w:t>
            </w:r>
          </w:p>
        </w:tc>
        <w:tc>
          <w:tcPr>
            <w:tcW w:w="2337" w:type="dxa"/>
            <w:shd w:val="clear" w:color="auto" w:fill="FFFFFF" w:themeFill="background1"/>
          </w:tcPr>
          <w:p w:rsidR="0072139C" w:rsidRPr="00556A69" w:rsidRDefault="0072139C" w:rsidP="0072139C">
            <w:pPr>
              <w:spacing w:after="200" w:line="276" w:lineRule="auto"/>
              <w:rPr>
                <w:sz w:val="16"/>
                <w:szCs w:val="16"/>
              </w:rPr>
            </w:pPr>
            <w:r w:rsidRPr="00556A69">
              <w:rPr>
                <w:sz w:val="16"/>
                <w:szCs w:val="16"/>
              </w:rPr>
              <w:t>Collegiate athletes participating in sports a national sample of NCAA institutions</w:t>
            </w:r>
          </w:p>
        </w:tc>
        <w:tc>
          <w:tcPr>
            <w:tcW w:w="2338" w:type="dxa"/>
            <w:shd w:val="clear" w:color="auto" w:fill="FFFFFF" w:themeFill="background1"/>
          </w:tcPr>
          <w:p w:rsidR="0072139C" w:rsidRPr="00556A69" w:rsidRDefault="0072139C" w:rsidP="0072139C">
            <w:pPr>
              <w:spacing w:after="200" w:line="276" w:lineRule="auto"/>
              <w:rPr>
                <w:sz w:val="16"/>
                <w:szCs w:val="16"/>
              </w:rPr>
            </w:pPr>
            <w:r w:rsidRPr="00556A69">
              <w:rPr>
                <w:sz w:val="16"/>
                <w:szCs w:val="16"/>
              </w:rPr>
              <w:t>Individuals presenting for care of injuries in a national sample of US emergency departments</w:t>
            </w:r>
          </w:p>
        </w:tc>
      </w:tr>
      <w:tr w:rsidR="0072139C" w:rsidRPr="00556A69" w:rsidTr="0072139C">
        <w:tc>
          <w:tcPr>
            <w:tcW w:w="2337" w:type="dxa"/>
            <w:shd w:val="clear" w:color="auto" w:fill="FFFFFF" w:themeFill="background1"/>
          </w:tcPr>
          <w:p w:rsidR="0072139C" w:rsidRPr="00556A69" w:rsidRDefault="0072139C" w:rsidP="0072139C">
            <w:pPr>
              <w:spacing w:after="200" w:line="276" w:lineRule="auto"/>
              <w:rPr>
                <w:sz w:val="16"/>
                <w:szCs w:val="16"/>
              </w:rPr>
            </w:pPr>
            <w:r w:rsidRPr="00556A69">
              <w:rPr>
                <w:sz w:val="16"/>
                <w:szCs w:val="16"/>
              </w:rPr>
              <w:t>Injuries Captured by the Surveillance System</w:t>
            </w:r>
          </w:p>
        </w:tc>
        <w:tc>
          <w:tcPr>
            <w:tcW w:w="2338" w:type="dxa"/>
            <w:shd w:val="clear" w:color="auto" w:fill="FFFFFF" w:themeFill="background1"/>
          </w:tcPr>
          <w:p w:rsidR="0072139C" w:rsidRPr="00556A69" w:rsidRDefault="0072139C" w:rsidP="0072139C">
            <w:pPr>
              <w:spacing w:after="200" w:line="276" w:lineRule="auto"/>
              <w:rPr>
                <w:sz w:val="16"/>
                <w:szCs w:val="16"/>
              </w:rPr>
            </w:pPr>
            <w:r w:rsidRPr="00556A69">
              <w:rPr>
                <w:sz w:val="16"/>
                <w:szCs w:val="16"/>
              </w:rPr>
              <w:t>All time loss injuries sustained by student athletes in the sports under study</w:t>
            </w:r>
            <w:r>
              <w:rPr>
                <w:sz w:val="16"/>
                <w:szCs w:val="16"/>
              </w:rPr>
              <w:t xml:space="preserve"> and reported to the surveillance system by the school’s AT</w:t>
            </w:r>
            <w:r w:rsidRPr="00556A69">
              <w:rPr>
                <w:sz w:val="16"/>
                <w:szCs w:val="16"/>
              </w:rPr>
              <w:t xml:space="preserve"> </w:t>
            </w:r>
          </w:p>
        </w:tc>
        <w:tc>
          <w:tcPr>
            <w:tcW w:w="2337" w:type="dxa"/>
            <w:shd w:val="clear" w:color="auto" w:fill="FFFFFF" w:themeFill="background1"/>
          </w:tcPr>
          <w:p w:rsidR="0072139C" w:rsidRPr="00556A69" w:rsidRDefault="0072139C" w:rsidP="0072139C">
            <w:pPr>
              <w:spacing w:after="200" w:line="276" w:lineRule="auto"/>
              <w:rPr>
                <w:sz w:val="16"/>
                <w:szCs w:val="16"/>
              </w:rPr>
            </w:pPr>
            <w:r w:rsidRPr="00556A69">
              <w:rPr>
                <w:sz w:val="16"/>
                <w:szCs w:val="16"/>
              </w:rPr>
              <w:t>All time loss injuries sustained by student athletes in the sports under study</w:t>
            </w:r>
            <w:r>
              <w:rPr>
                <w:sz w:val="16"/>
                <w:szCs w:val="16"/>
              </w:rPr>
              <w:t xml:space="preserve"> and reported to the surveillance system by the school’s AT</w:t>
            </w:r>
          </w:p>
        </w:tc>
        <w:tc>
          <w:tcPr>
            <w:tcW w:w="2338" w:type="dxa"/>
            <w:shd w:val="clear" w:color="auto" w:fill="FFFFFF" w:themeFill="background1"/>
          </w:tcPr>
          <w:p w:rsidR="0072139C" w:rsidRPr="00556A69" w:rsidRDefault="0072139C" w:rsidP="0072139C">
            <w:pPr>
              <w:spacing w:after="200" w:line="276" w:lineRule="auto"/>
              <w:rPr>
                <w:sz w:val="16"/>
                <w:szCs w:val="16"/>
              </w:rPr>
            </w:pPr>
            <w:r w:rsidRPr="00556A69">
              <w:rPr>
                <w:sz w:val="16"/>
                <w:szCs w:val="16"/>
              </w:rPr>
              <w:t>All injuries pres</w:t>
            </w:r>
            <w:r>
              <w:rPr>
                <w:sz w:val="16"/>
                <w:szCs w:val="16"/>
              </w:rPr>
              <w:t>enting for care (non-sports rel</w:t>
            </w:r>
            <w:r w:rsidRPr="00556A69">
              <w:rPr>
                <w:sz w:val="16"/>
                <w:szCs w:val="16"/>
              </w:rPr>
              <w:t>ated as well as sports-related</w:t>
            </w:r>
            <w:r>
              <w:rPr>
                <w:sz w:val="16"/>
                <w:szCs w:val="16"/>
              </w:rPr>
              <w:t>) and reported to the surveillance system by the NEISS ED chart abstractor</w:t>
            </w:r>
          </w:p>
        </w:tc>
      </w:tr>
      <w:tr w:rsidR="0072139C" w:rsidRPr="00556A69" w:rsidTr="0072139C">
        <w:tc>
          <w:tcPr>
            <w:tcW w:w="2337" w:type="dxa"/>
            <w:shd w:val="clear" w:color="auto" w:fill="FFFFFF" w:themeFill="background1"/>
          </w:tcPr>
          <w:p w:rsidR="0072139C" w:rsidRPr="00556A69" w:rsidRDefault="0072139C" w:rsidP="0072139C">
            <w:pPr>
              <w:spacing w:after="200" w:line="276" w:lineRule="auto"/>
              <w:rPr>
                <w:sz w:val="16"/>
                <w:szCs w:val="16"/>
              </w:rPr>
            </w:pPr>
            <w:r>
              <w:rPr>
                <w:sz w:val="16"/>
                <w:szCs w:val="16"/>
              </w:rPr>
              <w:t>Surveillance System Data Analyzed in this Study</w:t>
            </w:r>
          </w:p>
        </w:tc>
        <w:tc>
          <w:tcPr>
            <w:tcW w:w="2338" w:type="dxa"/>
            <w:shd w:val="clear" w:color="auto" w:fill="FFFFFF" w:themeFill="background1"/>
          </w:tcPr>
          <w:p w:rsidR="0072139C" w:rsidRPr="00556A69" w:rsidRDefault="0072139C" w:rsidP="0072139C">
            <w:pPr>
              <w:spacing w:after="200" w:line="276" w:lineRule="auto"/>
              <w:rPr>
                <w:sz w:val="16"/>
                <w:szCs w:val="16"/>
              </w:rPr>
            </w:pPr>
            <w:r>
              <w:rPr>
                <w:sz w:val="16"/>
                <w:szCs w:val="16"/>
              </w:rPr>
              <w:t>All ankle injuries presenting to HS RIO schools from 2009/10-2013/14 sustained by high school athletes participating in male football, baseball, basketball, lacrosse, soccer, and wrestling and female softball, basketball, lacrosse, soccer, volleyball, and field hockey; n=5,546</w:t>
            </w:r>
          </w:p>
        </w:tc>
        <w:tc>
          <w:tcPr>
            <w:tcW w:w="2337" w:type="dxa"/>
            <w:shd w:val="clear" w:color="auto" w:fill="FFFFFF" w:themeFill="background1"/>
          </w:tcPr>
          <w:p w:rsidR="0072139C" w:rsidRPr="00556A69" w:rsidRDefault="0072139C" w:rsidP="0072139C">
            <w:pPr>
              <w:spacing w:after="200" w:line="276" w:lineRule="auto"/>
              <w:rPr>
                <w:sz w:val="16"/>
                <w:szCs w:val="16"/>
              </w:rPr>
            </w:pPr>
            <w:r>
              <w:rPr>
                <w:sz w:val="16"/>
                <w:szCs w:val="16"/>
              </w:rPr>
              <w:t>All ankle injuries presenting to NCAA-ISP schools from 2009/10-2013/14 sustained by collegiate athletes participating in male football, baseball, basketball, lacrosse, soccer, and wrestling and female softball, basketball, lacrosse, soccer, volleyball, and field hockey; n=2,725</w:t>
            </w:r>
          </w:p>
        </w:tc>
        <w:tc>
          <w:tcPr>
            <w:tcW w:w="2338" w:type="dxa"/>
            <w:shd w:val="clear" w:color="auto" w:fill="FFFFFF" w:themeFill="background1"/>
          </w:tcPr>
          <w:p w:rsidR="0072139C" w:rsidRPr="00D1792C" w:rsidRDefault="0072139C" w:rsidP="0072139C">
            <w:pPr>
              <w:spacing w:after="200" w:line="276" w:lineRule="auto"/>
              <w:rPr>
                <w:sz w:val="16"/>
                <w:szCs w:val="16"/>
              </w:rPr>
            </w:pPr>
            <w:r>
              <w:rPr>
                <w:rFonts w:ascii="Times New Roman" w:hAnsi="Times New Roman" w:cs="Times New Roman"/>
                <w:sz w:val="16"/>
                <w:szCs w:val="16"/>
              </w:rPr>
              <w:t xml:space="preserve">All ankle injuries presenting to NEISS EDs from 2009-2013 coded as having been associated with </w:t>
            </w:r>
            <w:r w:rsidRPr="00D1792C">
              <w:rPr>
                <w:rFonts w:ascii="Times New Roman" w:hAnsi="Times New Roman" w:cs="Times New Roman"/>
                <w:sz w:val="16"/>
                <w:szCs w:val="16"/>
              </w:rPr>
              <w:t>male football (NEISS code 1211), baseball (5041), basketball (1205), lacrosse (1215), soccer (1267) and wrestling (1270) and female softball (5034), basketball (1205), lacrosse (1215), soccer (1267), volleyball (1266), and field hockey (1295)</w:t>
            </w:r>
            <w:r>
              <w:rPr>
                <w:rFonts w:ascii="Times New Roman" w:hAnsi="Times New Roman" w:cs="Times New Roman"/>
                <w:sz w:val="16"/>
                <w:szCs w:val="16"/>
              </w:rPr>
              <w:t>; n=20,261</w:t>
            </w:r>
          </w:p>
        </w:tc>
      </w:tr>
      <w:tr w:rsidR="0072139C" w:rsidRPr="00556A69" w:rsidTr="0072139C">
        <w:tc>
          <w:tcPr>
            <w:tcW w:w="2337" w:type="dxa"/>
            <w:shd w:val="clear" w:color="auto" w:fill="FFFFFF" w:themeFill="background1"/>
          </w:tcPr>
          <w:p w:rsidR="0072139C" w:rsidRPr="00556A69" w:rsidRDefault="0072139C" w:rsidP="0072139C">
            <w:pPr>
              <w:spacing w:after="200" w:line="276" w:lineRule="auto"/>
              <w:rPr>
                <w:sz w:val="16"/>
                <w:szCs w:val="16"/>
              </w:rPr>
            </w:pPr>
            <w:r>
              <w:rPr>
                <w:sz w:val="16"/>
                <w:szCs w:val="16"/>
              </w:rPr>
              <w:t>Exclusion Criteria</w:t>
            </w:r>
          </w:p>
        </w:tc>
        <w:tc>
          <w:tcPr>
            <w:tcW w:w="2338" w:type="dxa"/>
            <w:shd w:val="clear" w:color="auto" w:fill="FFFFFF" w:themeFill="background1"/>
          </w:tcPr>
          <w:p w:rsidR="0072139C" w:rsidRDefault="0072139C" w:rsidP="0072139C">
            <w:pPr>
              <w:pStyle w:val="ListParagraph"/>
              <w:numPr>
                <w:ilvl w:val="0"/>
                <w:numId w:val="1"/>
              </w:numPr>
              <w:spacing w:after="200" w:line="276" w:lineRule="auto"/>
              <w:rPr>
                <w:sz w:val="16"/>
                <w:szCs w:val="16"/>
              </w:rPr>
            </w:pPr>
            <w:r w:rsidRPr="00D1792C">
              <w:rPr>
                <w:sz w:val="16"/>
                <w:szCs w:val="16"/>
              </w:rPr>
              <w:t>Any injury</w:t>
            </w:r>
            <w:r>
              <w:rPr>
                <w:sz w:val="16"/>
                <w:szCs w:val="16"/>
              </w:rPr>
              <w:t>, other than an ankle injury,</w:t>
            </w:r>
            <w:r w:rsidRPr="00D1792C">
              <w:rPr>
                <w:sz w:val="16"/>
                <w:szCs w:val="16"/>
              </w:rPr>
              <w:t xml:space="preserve"> </w:t>
            </w:r>
            <w:r>
              <w:rPr>
                <w:sz w:val="16"/>
                <w:szCs w:val="16"/>
              </w:rPr>
              <w:t xml:space="preserve">sustained by an athlete participating in any of the 12 sports of interest </w:t>
            </w:r>
          </w:p>
          <w:p w:rsidR="0072139C" w:rsidRPr="00D1792C" w:rsidRDefault="0072139C" w:rsidP="0072139C">
            <w:pPr>
              <w:pStyle w:val="ListParagraph"/>
              <w:numPr>
                <w:ilvl w:val="0"/>
                <w:numId w:val="1"/>
              </w:numPr>
              <w:spacing w:after="200" w:line="276" w:lineRule="auto"/>
              <w:rPr>
                <w:sz w:val="16"/>
                <w:szCs w:val="16"/>
              </w:rPr>
            </w:pPr>
            <w:r>
              <w:rPr>
                <w:sz w:val="16"/>
                <w:szCs w:val="16"/>
              </w:rPr>
              <w:t>Any ankle injury sustained by an athlete playing any other sport</w:t>
            </w:r>
          </w:p>
          <w:p w:rsidR="0072139C" w:rsidRPr="00556A69" w:rsidRDefault="0072139C" w:rsidP="0072139C">
            <w:pPr>
              <w:spacing w:after="200" w:line="276" w:lineRule="auto"/>
              <w:rPr>
                <w:sz w:val="16"/>
                <w:szCs w:val="16"/>
              </w:rPr>
            </w:pPr>
          </w:p>
        </w:tc>
        <w:tc>
          <w:tcPr>
            <w:tcW w:w="2337" w:type="dxa"/>
            <w:shd w:val="clear" w:color="auto" w:fill="FFFFFF" w:themeFill="background1"/>
          </w:tcPr>
          <w:p w:rsidR="0072139C" w:rsidRPr="00D1792C" w:rsidRDefault="0072139C" w:rsidP="0072139C">
            <w:pPr>
              <w:pStyle w:val="ListParagraph"/>
              <w:numPr>
                <w:ilvl w:val="0"/>
                <w:numId w:val="2"/>
              </w:numPr>
              <w:spacing w:after="200" w:line="276" w:lineRule="auto"/>
              <w:rPr>
                <w:sz w:val="16"/>
                <w:szCs w:val="16"/>
              </w:rPr>
            </w:pPr>
            <w:r w:rsidRPr="00D1792C">
              <w:rPr>
                <w:sz w:val="16"/>
                <w:szCs w:val="16"/>
              </w:rPr>
              <w:t xml:space="preserve">Any injury, other than an ankle injury, sustained by an athlete participating in any of the 12 sports of interest </w:t>
            </w:r>
          </w:p>
          <w:p w:rsidR="0072139C" w:rsidRPr="00D1792C" w:rsidRDefault="0072139C" w:rsidP="0072139C">
            <w:pPr>
              <w:pStyle w:val="ListParagraph"/>
              <w:numPr>
                <w:ilvl w:val="0"/>
                <w:numId w:val="2"/>
              </w:numPr>
              <w:spacing w:after="200" w:line="276" w:lineRule="auto"/>
              <w:rPr>
                <w:sz w:val="16"/>
                <w:szCs w:val="16"/>
              </w:rPr>
            </w:pPr>
            <w:r>
              <w:rPr>
                <w:sz w:val="16"/>
                <w:szCs w:val="16"/>
              </w:rPr>
              <w:t>Any ankle injury sustained by an athlete playing any other sport</w:t>
            </w:r>
          </w:p>
          <w:p w:rsidR="0072139C" w:rsidRPr="00556A69" w:rsidRDefault="0072139C" w:rsidP="0072139C">
            <w:pPr>
              <w:spacing w:after="200" w:line="276" w:lineRule="auto"/>
              <w:rPr>
                <w:sz w:val="16"/>
                <w:szCs w:val="16"/>
              </w:rPr>
            </w:pPr>
          </w:p>
        </w:tc>
        <w:tc>
          <w:tcPr>
            <w:tcW w:w="2338" w:type="dxa"/>
            <w:shd w:val="clear" w:color="auto" w:fill="FFFFFF" w:themeFill="background1"/>
          </w:tcPr>
          <w:p w:rsidR="0072139C" w:rsidRDefault="0072139C" w:rsidP="0072139C">
            <w:pPr>
              <w:pStyle w:val="ListParagraph"/>
              <w:numPr>
                <w:ilvl w:val="0"/>
                <w:numId w:val="3"/>
              </w:numPr>
              <w:spacing w:after="200" w:line="276" w:lineRule="auto"/>
              <w:rPr>
                <w:sz w:val="16"/>
                <w:szCs w:val="16"/>
              </w:rPr>
            </w:pPr>
            <w:r>
              <w:rPr>
                <w:sz w:val="16"/>
                <w:szCs w:val="16"/>
              </w:rPr>
              <w:t>Any injury, other than ankle injury, associate with any of the 12 NEISS codes of interest</w:t>
            </w:r>
          </w:p>
          <w:p w:rsidR="0072139C" w:rsidRPr="00095C93" w:rsidRDefault="0072139C" w:rsidP="0072139C">
            <w:pPr>
              <w:pStyle w:val="ListParagraph"/>
              <w:numPr>
                <w:ilvl w:val="0"/>
                <w:numId w:val="3"/>
              </w:numPr>
              <w:spacing w:after="200" w:line="276" w:lineRule="auto"/>
              <w:rPr>
                <w:sz w:val="16"/>
                <w:szCs w:val="16"/>
              </w:rPr>
            </w:pPr>
            <w:r>
              <w:rPr>
                <w:sz w:val="16"/>
                <w:szCs w:val="16"/>
              </w:rPr>
              <w:t>Any ankle injury associate with any other NEISS code</w:t>
            </w:r>
          </w:p>
        </w:tc>
      </w:tr>
    </w:tbl>
    <w:p w:rsidR="0072139C" w:rsidRPr="00556A69" w:rsidRDefault="0072139C" w:rsidP="0072139C">
      <w:pPr>
        <w:spacing w:after="200" w:line="276" w:lineRule="auto"/>
        <w:rPr>
          <w:b/>
        </w:rPr>
      </w:pPr>
      <w:bookmarkStart w:id="0" w:name="_GoBack"/>
      <w:bookmarkEnd w:id="0"/>
      <w:r w:rsidRPr="00556A69">
        <w:rPr>
          <w:b/>
        </w:rPr>
        <w:t xml:space="preserve">Table 1.  Description of </w:t>
      </w:r>
      <w:r>
        <w:rPr>
          <w:b/>
        </w:rPr>
        <w:t xml:space="preserve">National Injury Surveillance </w:t>
      </w:r>
      <w:r w:rsidRPr="00556A69">
        <w:rPr>
          <w:b/>
        </w:rPr>
        <w:t>Datasets Analyzed in the Study</w:t>
      </w:r>
    </w:p>
    <w:p w:rsidR="00680154" w:rsidRDefault="00680154"/>
    <w:sectPr w:rsidR="00680154" w:rsidSect="003D46D3">
      <w:pgSz w:w="12240" w:h="15840"/>
      <w:pgMar w:top="907" w:right="806" w:bottom="994" w:left="6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A2887"/>
    <w:multiLevelType w:val="hybridMultilevel"/>
    <w:tmpl w:val="9B3E4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A53108"/>
    <w:multiLevelType w:val="hybridMultilevel"/>
    <w:tmpl w:val="C3F28CB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7BEE366F"/>
    <w:multiLevelType w:val="hybridMultilevel"/>
    <w:tmpl w:val="F6BC3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9C"/>
    <w:rsid w:val="003D46D3"/>
    <w:rsid w:val="00680154"/>
    <w:rsid w:val="00721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796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9C"/>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39C"/>
    <w:pPr>
      <w:ind w:left="720"/>
      <w:contextualSpacing/>
    </w:pPr>
  </w:style>
  <w:style w:type="table" w:styleId="TableGrid">
    <w:name w:val="Table Grid"/>
    <w:basedOn w:val="TableNormal"/>
    <w:uiPriority w:val="59"/>
    <w:rsid w:val="007213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9C"/>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39C"/>
    <w:pPr>
      <w:ind w:left="720"/>
      <w:contextualSpacing/>
    </w:pPr>
  </w:style>
  <w:style w:type="table" w:styleId="TableGrid">
    <w:name w:val="Table Grid"/>
    <w:basedOn w:val="TableNormal"/>
    <w:uiPriority w:val="59"/>
    <w:rsid w:val="007213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2324</Characters>
  <Application>Microsoft Macintosh Word</Application>
  <DocSecurity>0</DocSecurity>
  <Lines>19</Lines>
  <Paragraphs>5</Paragraphs>
  <ScaleCrop>false</ScaleCrop>
  <Company>Children's National Medical Center</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Wiersma</dc:creator>
  <cp:keywords/>
  <dc:description/>
  <cp:lastModifiedBy>Ali Wiersma</cp:lastModifiedBy>
  <cp:revision>1</cp:revision>
  <dcterms:created xsi:type="dcterms:W3CDTF">2018-07-27T20:34:00Z</dcterms:created>
  <dcterms:modified xsi:type="dcterms:W3CDTF">2018-07-27T20:36:00Z</dcterms:modified>
</cp:coreProperties>
</file>