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7EF3E" w14:textId="38863491" w:rsidR="00B51014" w:rsidRDefault="003C6C42">
      <w:pPr>
        <w:rPr>
          <w:b/>
        </w:rPr>
      </w:pPr>
      <w:r>
        <w:rPr>
          <w:b/>
        </w:rPr>
        <w:t>S2 Text: Study Protocol</w:t>
      </w:r>
      <w:bookmarkStart w:id="0" w:name="_GoBack"/>
      <w:bookmarkEnd w:id="0"/>
    </w:p>
    <w:p w14:paraId="31594663" w14:textId="77777777" w:rsidR="00944B21" w:rsidRDefault="00944B21" w:rsidP="00330167">
      <w:pPr>
        <w:spacing w:line="360" w:lineRule="auto"/>
        <w:jc w:val="center"/>
        <w:rPr>
          <w:b/>
        </w:rPr>
      </w:pPr>
    </w:p>
    <w:p w14:paraId="0AD9FE10" w14:textId="7F50D86E" w:rsidR="008B355B" w:rsidRDefault="008B355B" w:rsidP="00330167">
      <w:pPr>
        <w:spacing w:line="360" w:lineRule="auto"/>
        <w:jc w:val="center"/>
        <w:rPr>
          <w:b/>
        </w:rPr>
      </w:pPr>
      <w:r w:rsidRPr="000B1A12">
        <w:rPr>
          <w:b/>
        </w:rPr>
        <w:t xml:space="preserve">Evidence synthesis to inform </w:t>
      </w:r>
      <w:r w:rsidR="00CB3808" w:rsidRPr="000B1A12">
        <w:rPr>
          <w:b/>
        </w:rPr>
        <w:t xml:space="preserve">the </w:t>
      </w:r>
      <w:proofErr w:type="spellStart"/>
      <w:r w:rsidRPr="000B1A12">
        <w:rPr>
          <w:b/>
        </w:rPr>
        <w:t>paediatric</w:t>
      </w:r>
      <w:proofErr w:type="spellEnd"/>
      <w:r w:rsidRPr="000B1A12">
        <w:rPr>
          <w:b/>
        </w:rPr>
        <w:t xml:space="preserve"> component of </w:t>
      </w:r>
      <w:r w:rsidR="00B63356" w:rsidRPr="000B1A12">
        <w:rPr>
          <w:b/>
        </w:rPr>
        <w:t xml:space="preserve">revised </w:t>
      </w:r>
      <w:r w:rsidRPr="000B1A12">
        <w:rPr>
          <w:b/>
        </w:rPr>
        <w:t xml:space="preserve">WHO guidelines on the management of </w:t>
      </w:r>
      <w:r w:rsidR="003E1BFD">
        <w:rPr>
          <w:b/>
        </w:rPr>
        <w:t>multidrug-resistant tuberculosis</w:t>
      </w:r>
    </w:p>
    <w:p w14:paraId="0731A6DE" w14:textId="77777777" w:rsidR="0081775E" w:rsidRDefault="0081775E">
      <w:pPr>
        <w:rPr>
          <w:b/>
        </w:rPr>
      </w:pPr>
    </w:p>
    <w:p w14:paraId="6E81B37D" w14:textId="77777777" w:rsidR="00944B21" w:rsidRDefault="00944B21">
      <w:pPr>
        <w:rPr>
          <w:b/>
        </w:rPr>
      </w:pPr>
    </w:p>
    <w:p w14:paraId="00CFB5E1" w14:textId="77777777" w:rsidR="00944B21" w:rsidRDefault="00944B21">
      <w:pPr>
        <w:rPr>
          <w:b/>
        </w:rPr>
      </w:pPr>
    </w:p>
    <w:p w14:paraId="3B8128C5" w14:textId="77777777" w:rsidR="00944B21" w:rsidRDefault="00944B21">
      <w:pPr>
        <w:rPr>
          <w:b/>
        </w:rPr>
      </w:pPr>
    </w:p>
    <w:p w14:paraId="2F221EE6" w14:textId="77777777" w:rsidR="00944B21" w:rsidRDefault="00944B21">
      <w:pPr>
        <w:rPr>
          <w:b/>
        </w:rPr>
      </w:pPr>
    </w:p>
    <w:p w14:paraId="4B083140" w14:textId="77777777" w:rsidR="00944B21" w:rsidRDefault="00944B21">
      <w:pPr>
        <w:rPr>
          <w:b/>
        </w:rPr>
      </w:pPr>
    </w:p>
    <w:p w14:paraId="145639F9" w14:textId="77777777" w:rsidR="00944B21" w:rsidRDefault="00944B21">
      <w:pPr>
        <w:rPr>
          <w:b/>
        </w:rPr>
      </w:pPr>
    </w:p>
    <w:p w14:paraId="4AFAB124" w14:textId="77777777" w:rsidR="00944B21" w:rsidRDefault="00944B21">
      <w:pPr>
        <w:rPr>
          <w:b/>
        </w:rPr>
      </w:pPr>
    </w:p>
    <w:p w14:paraId="0E6A87F3" w14:textId="77777777" w:rsidR="00944B21" w:rsidRDefault="00944B21">
      <w:pPr>
        <w:rPr>
          <w:b/>
        </w:rPr>
      </w:pPr>
    </w:p>
    <w:p w14:paraId="27EE2EE6" w14:textId="77777777" w:rsidR="00944B21" w:rsidRDefault="00944B21">
      <w:pPr>
        <w:rPr>
          <w:b/>
        </w:rPr>
      </w:pPr>
    </w:p>
    <w:p w14:paraId="7789FB2D" w14:textId="77777777" w:rsidR="00944B21" w:rsidRDefault="00944B21">
      <w:pPr>
        <w:rPr>
          <w:b/>
        </w:rPr>
      </w:pPr>
    </w:p>
    <w:p w14:paraId="0375F473" w14:textId="77777777" w:rsidR="00944B21" w:rsidRDefault="00944B21">
      <w:pPr>
        <w:rPr>
          <w:b/>
        </w:rPr>
      </w:pPr>
    </w:p>
    <w:p w14:paraId="5F2F8012" w14:textId="77777777" w:rsidR="00944B21" w:rsidRDefault="00944B21">
      <w:pPr>
        <w:rPr>
          <w:b/>
        </w:rPr>
      </w:pPr>
    </w:p>
    <w:p w14:paraId="3C511765" w14:textId="77777777" w:rsidR="00944B21" w:rsidRDefault="00944B21">
      <w:pPr>
        <w:rPr>
          <w:b/>
        </w:rPr>
      </w:pPr>
    </w:p>
    <w:p w14:paraId="0DFB43E7" w14:textId="77777777" w:rsidR="00944B21" w:rsidRDefault="00944B21">
      <w:pPr>
        <w:rPr>
          <w:b/>
        </w:rPr>
      </w:pPr>
    </w:p>
    <w:p w14:paraId="7B68AFF5" w14:textId="77777777" w:rsidR="00944B21" w:rsidRDefault="00944B21">
      <w:pPr>
        <w:rPr>
          <w:b/>
        </w:rPr>
      </w:pPr>
    </w:p>
    <w:p w14:paraId="7A334F4C" w14:textId="77777777" w:rsidR="00944B21" w:rsidRDefault="00944B21">
      <w:pPr>
        <w:rPr>
          <w:b/>
        </w:rPr>
      </w:pPr>
    </w:p>
    <w:p w14:paraId="1D761C35" w14:textId="77777777" w:rsidR="00944B21" w:rsidRDefault="00944B21">
      <w:pPr>
        <w:rPr>
          <w:b/>
        </w:rPr>
      </w:pPr>
    </w:p>
    <w:p w14:paraId="5724F1FF" w14:textId="77777777" w:rsidR="00944B21" w:rsidRDefault="00944B21">
      <w:pPr>
        <w:rPr>
          <w:b/>
        </w:rPr>
      </w:pPr>
    </w:p>
    <w:p w14:paraId="3F64AE2F" w14:textId="77777777" w:rsidR="00944B21" w:rsidRDefault="00944B21">
      <w:pPr>
        <w:rPr>
          <w:b/>
        </w:rPr>
      </w:pPr>
    </w:p>
    <w:p w14:paraId="147B2628" w14:textId="77777777" w:rsidR="00944B21" w:rsidRDefault="00944B21">
      <w:pPr>
        <w:rPr>
          <w:b/>
        </w:rPr>
      </w:pPr>
    </w:p>
    <w:p w14:paraId="53738148" w14:textId="77777777" w:rsidR="00944B21" w:rsidRDefault="00944B21">
      <w:pPr>
        <w:rPr>
          <w:b/>
        </w:rPr>
      </w:pPr>
    </w:p>
    <w:p w14:paraId="11337C34" w14:textId="77777777" w:rsidR="00944B21" w:rsidRDefault="00944B21">
      <w:pPr>
        <w:rPr>
          <w:b/>
        </w:rPr>
      </w:pPr>
    </w:p>
    <w:p w14:paraId="7F309095" w14:textId="77777777" w:rsidR="00944B21" w:rsidRDefault="00944B21">
      <w:pPr>
        <w:rPr>
          <w:b/>
        </w:rPr>
      </w:pPr>
    </w:p>
    <w:p w14:paraId="05279F17" w14:textId="77777777" w:rsidR="00944B21" w:rsidRDefault="00944B21">
      <w:pPr>
        <w:rPr>
          <w:b/>
        </w:rPr>
      </w:pPr>
    </w:p>
    <w:p w14:paraId="5C0EEBAD" w14:textId="77777777" w:rsidR="00944B21" w:rsidRDefault="00944B21">
      <w:pPr>
        <w:rPr>
          <w:b/>
        </w:rPr>
      </w:pPr>
    </w:p>
    <w:p w14:paraId="43744023" w14:textId="77777777" w:rsidR="00944B21" w:rsidRDefault="00944B21">
      <w:pPr>
        <w:rPr>
          <w:b/>
        </w:rPr>
      </w:pPr>
    </w:p>
    <w:p w14:paraId="5DCD54F5" w14:textId="77777777" w:rsidR="00944B21" w:rsidRDefault="00944B21">
      <w:pPr>
        <w:rPr>
          <w:b/>
        </w:rPr>
      </w:pPr>
    </w:p>
    <w:p w14:paraId="29411778" w14:textId="77777777" w:rsidR="00944B21" w:rsidRDefault="00944B21">
      <w:pPr>
        <w:rPr>
          <w:b/>
        </w:rPr>
      </w:pPr>
    </w:p>
    <w:p w14:paraId="412E0F9D" w14:textId="77777777" w:rsidR="00944B21" w:rsidRDefault="00944B21">
      <w:pPr>
        <w:rPr>
          <w:b/>
        </w:rPr>
      </w:pPr>
    </w:p>
    <w:p w14:paraId="1F19DCA5" w14:textId="77777777" w:rsidR="00944B21" w:rsidRDefault="00944B21">
      <w:pPr>
        <w:rPr>
          <w:b/>
        </w:rPr>
      </w:pPr>
    </w:p>
    <w:p w14:paraId="3E325AEB" w14:textId="77777777" w:rsidR="00944B21" w:rsidRDefault="00944B21">
      <w:pPr>
        <w:rPr>
          <w:b/>
        </w:rPr>
      </w:pPr>
    </w:p>
    <w:p w14:paraId="2CD6ACF5" w14:textId="77777777" w:rsidR="00944B21" w:rsidRDefault="00944B21">
      <w:pPr>
        <w:rPr>
          <w:b/>
        </w:rPr>
      </w:pPr>
    </w:p>
    <w:p w14:paraId="42B606B3" w14:textId="77777777" w:rsidR="00944B21" w:rsidRDefault="00944B21">
      <w:pPr>
        <w:rPr>
          <w:b/>
        </w:rPr>
      </w:pPr>
    </w:p>
    <w:p w14:paraId="7D9AB6C8" w14:textId="77777777" w:rsidR="00944B21" w:rsidRDefault="00944B21">
      <w:pPr>
        <w:rPr>
          <w:b/>
        </w:rPr>
      </w:pPr>
    </w:p>
    <w:p w14:paraId="33630AA5" w14:textId="77777777" w:rsidR="00944B21" w:rsidRDefault="00944B21">
      <w:pPr>
        <w:rPr>
          <w:b/>
        </w:rPr>
      </w:pPr>
    </w:p>
    <w:p w14:paraId="799C3CAC" w14:textId="77777777" w:rsidR="00944B21" w:rsidRDefault="00944B21">
      <w:pPr>
        <w:rPr>
          <w:b/>
        </w:rPr>
      </w:pPr>
    </w:p>
    <w:p w14:paraId="72DC454A" w14:textId="77777777" w:rsidR="0081775E" w:rsidRDefault="0081775E" w:rsidP="00330167">
      <w:pPr>
        <w:jc w:val="center"/>
        <w:rPr>
          <w:b/>
        </w:rPr>
      </w:pPr>
    </w:p>
    <w:p w14:paraId="4CB3A178" w14:textId="29EE9178" w:rsidR="0081775E" w:rsidRPr="00330167" w:rsidRDefault="00BD7EBB" w:rsidP="00330167">
      <w:pPr>
        <w:jc w:val="center"/>
      </w:pPr>
      <w:r>
        <w:t>September 16</w:t>
      </w:r>
      <w:r w:rsidR="00944B21" w:rsidRPr="00330167">
        <w:t>, 2014</w:t>
      </w:r>
    </w:p>
    <w:p w14:paraId="30CC529D" w14:textId="19A79EC1" w:rsidR="00944B21" w:rsidRDefault="00944B21">
      <w:pPr>
        <w:rPr>
          <w:b/>
        </w:rPr>
      </w:pPr>
      <w:r>
        <w:rPr>
          <w:b/>
        </w:rPr>
        <w:br w:type="page"/>
      </w:r>
    </w:p>
    <w:p w14:paraId="4E820EE1" w14:textId="77777777" w:rsidR="0081775E" w:rsidRDefault="0081775E">
      <w:pPr>
        <w:rPr>
          <w:b/>
        </w:rPr>
      </w:pPr>
    </w:p>
    <w:p w14:paraId="298A2E3F" w14:textId="4AFF9C11" w:rsidR="0081775E" w:rsidRDefault="0081775E">
      <w:r w:rsidRPr="00330167">
        <w:rPr>
          <w:b/>
        </w:rPr>
        <w:t>Coordinating Center</w:t>
      </w:r>
    </w:p>
    <w:p w14:paraId="699A2732" w14:textId="16584025" w:rsidR="00D11B8C" w:rsidRDefault="00D11B8C">
      <w:r w:rsidRPr="00330167">
        <w:t>Desmond Tutu</w:t>
      </w:r>
      <w:r>
        <w:t xml:space="preserve"> </w:t>
      </w:r>
      <w:r w:rsidR="00330167">
        <w:t>TB Centre</w:t>
      </w:r>
    </w:p>
    <w:p w14:paraId="28B06F0E" w14:textId="1AF1F6D7" w:rsidR="00294566" w:rsidRDefault="00294566">
      <w:r>
        <w:t xml:space="preserve">Department </w:t>
      </w:r>
      <w:r w:rsidR="00902112">
        <w:t xml:space="preserve">of </w:t>
      </w:r>
      <w:proofErr w:type="spellStart"/>
      <w:r>
        <w:t>Paediatrics</w:t>
      </w:r>
      <w:proofErr w:type="spellEnd"/>
      <w:r>
        <w:t xml:space="preserve"> and Child Health</w:t>
      </w:r>
    </w:p>
    <w:p w14:paraId="13A13897" w14:textId="6FF1CC6A" w:rsidR="00294566" w:rsidRDefault="00294566">
      <w:r>
        <w:t>Faculty of Medicine and Health Sciences</w:t>
      </w:r>
    </w:p>
    <w:p w14:paraId="6D51A4F1" w14:textId="203221A2" w:rsidR="00944B21" w:rsidRDefault="00D11B8C">
      <w:r>
        <w:t>Stellenbosch University</w:t>
      </w:r>
    </w:p>
    <w:p w14:paraId="19A80D9F" w14:textId="74453B4E" w:rsidR="00D11B8C" w:rsidRDefault="00D11B8C">
      <w:r>
        <w:t>Cape Town, South Africa</w:t>
      </w:r>
    </w:p>
    <w:p w14:paraId="007058EB" w14:textId="77777777" w:rsidR="00944B21" w:rsidRDefault="00944B21"/>
    <w:p w14:paraId="1A09259D" w14:textId="45EB74D0" w:rsidR="00944B21" w:rsidRPr="00D11B8C" w:rsidRDefault="00944B21" w:rsidP="00944B21">
      <w:pPr>
        <w:rPr>
          <w:b/>
        </w:rPr>
      </w:pPr>
      <w:r w:rsidRPr="00330167">
        <w:rPr>
          <w:b/>
        </w:rPr>
        <w:t>Key Personnel</w:t>
      </w:r>
    </w:p>
    <w:p w14:paraId="31FE1D14" w14:textId="77777777" w:rsidR="00944B21" w:rsidRPr="000B1A12" w:rsidRDefault="00944B21" w:rsidP="00944B21">
      <w:pPr>
        <w:rPr>
          <w:b/>
        </w:rPr>
      </w:pPr>
    </w:p>
    <w:p w14:paraId="6BF4B9AC" w14:textId="77777777" w:rsidR="00944B21" w:rsidRPr="000B1A12" w:rsidRDefault="00944B21" w:rsidP="006564E7">
      <w:pPr>
        <w:pStyle w:val="ListParagraph"/>
        <w:numPr>
          <w:ilvl w:val="0"/>
          <w:numId w:val="5"/>
        </w:numPr>
      </w:pPr>
      <w:proofErr w:type="spellStart"/>
      <w:r w:rsidRPr="000B1A12">
        <w:t>Anneke</w:t>
      </w:r>
      <w:proofErr w:type="spellEnd"/>
      <w:r w:rsidRPr="000B1A12">
        <w:t xml:space="preserve"> </w:t>
      </w:r>
      <w:proofErr w:type="spellStart"/>
      <w:r w:rsidRPr="000B1A12">
        <w:t>Hesseling</w:t>
      </w:r>
      <w:proofErr w:type="spellEnd"/>
      <w:r w:rsidRPr="000B1A12">
        <w:t xml:space="preserve">  (Stellenbosch University, clinician) </w:t>
      </w:r>
    </w:p>
    <w:p w14:paraId="2683D9D2" w14:textId="77777777" w:rsidR="00944B21" w:rsidRPr="000B1A12" w:rsidRDefault="00944B21" w:rsidP="006564E7">
      <w:pPr>
        <w:pStyle w:val="ListParagraph"/>
        <w:numPr>
          <w:ilvl w:val="0"/>
          <w:numId w:val="5"/>
        </w:numPr>
      </w:pPr>
      <w:r w:rsidRPr="000B1A12">
        <w:t>Anthony Garcia-</w:t>
      </w:r>
      <w:proofErr w:type="spellStart"/>
      <w:r w:rsidRPr="000B1A12">
        <w:t>Prats</w:t>
      </w:r>
      <w:proofErr w:type="spellEnd"/>
      <w:r w:rsidRPr="000B1A12">
        <w:t xml:space="preserve"> (Stellenbosch University, clinician) </w:t>
      </w:r>
    </w:p>
    <w:p w14:paraId="2B481B24" w14:textId="77777777" w:rsidR="00944B21" w:rsidRPr="000B1A12" w:rsidRDefault="00944B21" w:rsidP="006564E7">
      <w:pPr>
        <w:pStyle w:val="ListParagraph"/>
        <w:numPr>
          <w:ilvl w:val="0"/>
          <w:numId w:val="5"/>
        </w:numPr>
      </w:pPr>
      <w:r w:rsidRPr="000B1A12">
        <w:t xml:space="preserve">H. Simon </w:t>
      </w:r>
      <w:proofErr w:type="spellStart"/>
      <w:r w:rsidRPr="000B1A12">
        <w:t>Schaaf</w:t>
      </w:r>
      <w:proofErr w:type="spellEnd"/>
      <w:r w:rsidRPr="000B1A12">
        <w:t xml:space="preserve"> (Stellenbosch University, clinician) </w:t>
      </w:r>
    </w:p>
    <w:p w14:paraId="0846035B" w14:textId="3B062449" w:rsidR="00944B21" w:rsidRDefault="00944B21" w:rsidP="006564E7">
      <w:pPr>
        <w:pStyle w:val="ListParagraph"/>
        <w:numPr>
          <w:ilvl w:val="0"/>
          <w:numId w:val="5"/>
        </w:numPr>
      </w:pPr>
      <w:r w:rsidRPr="000B1A12">
        <w:t xml:space="preserve">Nathan Ford (methodology expert, statistician, WHO HIV department) </w:t>
      </w:r>
    </w:p>
    <w:p w14:paraId="00FB7448" w14:textId="77777777" w:rsidR="00944B21" w:rsidRPr="000B1A12" w:rsidRDefault="00944B21" w:rsidP="006564E7">
      <w:pPr>
        <w:pStyle w:val="ListParagraph"/>
        <w:numPr>
          <w:ilvl w:val="0"/>
          <w:numId w:val="5"/>
        </w:numPr>
      </w:pPr>
      <w:r w:rsidRPr="000B1A12">
        <w:t xml:space="preserve">Elizabeth </w:t>
      </w:r>
      <w:proofErr w:type="spellStart"/>
      <w:r w:rsidRPr="000B1A12">
        <w:t>Harausz</w:t>
      </w:r>
      <w:proofErr w:type="spellEnd"/>
      <w:r w:rsidRPr="000B1A12">
        <w:t xml:space="preserve">  (</w:t>
      </w:r>
      <w:r>
        <w:t xml:space="preserve">ID </w:t>
      </w:r>
      <w:r w:rsidRPr="000B1A12">
        <w:t xml:space="preserve">fellow, Case Western University) </w:t>
      </w:r>
    </w:p>
    <w:p w14:paraId="49A8A6CD" w14:textId="77777777" w:rsidR="00944B21" w:rsidRPr="000B1A12" w:rsidRDefault="00944B21" w:rsidP="006564E7">
      <w:pPr>
        <w:pStyle w:val="ListParagraph"/>
        <w:numPr>
          <w:ilvl w:val="0"/>
          <w:numId w:val="5"/>
        </w:numPr>
      </w:pPr>
      <w:r w:rsidRPr="000B1A12">
        <w:t xml:space="preserve">Jennifer </w:t>
      </w:r>
      <w:proofErr w:type="spellStart"/>
      <w:r w:rsidRPr="000B1A12">
        <w:t>Furin</w:t>
      </w:r>
      <w:proofErr w:type="spellEnd"/>
      <w:r w:rsidRPr="000B1A12">
        <w:t xml:space="preserve"> (Case Western Reserve University and Sentinel project, clinician) </w:t>
      </w:r>
    </w:p>
    <w:p w14:paraId="6613EC99" w14:textId="77777777" w:rsidR="00944B21" w:rsidRPr="000B1A12" w:rsidRDefault="00944B21" w:rsidP="006564E7">
      <w:pPr>
        <w:pStyle w:val="ListParagraph"/>
        <w:numPr>
          <w:ilvl w:val="0"/>
          <w:numId w:val="5"/>
        </w:numPr>
      </w:pPr>
      <w:r w:rsidRPr="000B1A12">
        <w:t xml:space="preserve">James </w:t>
      </w:r>
      <w:proofErr w:type="spellStart"/>
      <w:r w:rsidRPr="000B1A12">
        <w:t>Seddon</w:t>
      </w:r>
      <w:proofErr w:type="spellEnd"/>
      <w:r w:rsidRPr="000B1A12">
        <w:t xml:space="preserve"> (Imperial College, London, clinician)</w:t>
      </w:r>
    </w:p>
    <w:p w14:paraId="2568A4FE" w14:textId="77777777" w:rsidR="00944B21" w:rsidRPr="000B1A12" w:rsidRDefault="00944B21" w:rsidP="006564E7">
      <w:pPr>
        <w:pStyle w:val="ListParagraph"/>
        <w:numPr>
          <w:ilvl w:val="0"/>
          <w:numId w:val="5"/>
        </w:numPr>
      </w:pPr>
      <w:r w:rsidRPr="000B1A12">
        <w:t xml:space="preserve">Tamara </w:t>
      </w:r>
      <w:proofErr w:type="spellStart"/>
      <w:r w:rsidRPr="000B1A12">
        <w:t>Kredo</w:t>
      </w:r>
      <w:proofErr w:type="spellEnd"/>
      <w:r w:rsidRPr="000B1A12">
        <w:t xml:space="preserve"> (South African MRC, Cochrane Centre, systematic review methodology expert)</w:t>
      </w:r>
    </w:p>
    <w:p w14:paraId="3A8E5DF8" w14:textId="74ED3A68" w:rsidR="00944B21" w:rsidRDefault="00944B21" w:rsidP="006564E7">
      <w:pPr>
        <w:pStyle w:val="ListParagraph"/>
        <w:numPr>
          <w:ilvl w:val="0"/>
          <w:numId w:val="5"/>
        </w:numPr>
      </w:pPr>
      <w:r w:rsidRPr="000B1A12">
        <w:t xml:space="preserve">Helen </w:t>
      </w:r>
      <w:proofErr w:type="spellStart"/>
      <w:r w:rsidRPr="000B1A12">
        <w:t>McIlleron</w:t>
      </w:r>
      <w:proofErr w:type="spellEnd"/>
      <w:r w:rsidRPr="000B1A12">
        <w:t xml:space="preserve">  (University of Cape Town, clinical pharmacologist</w:t>
      </w:r>
      <w:r>
        <w:t>)</w:t>
      </w:r>
    </w:p>
    <w:p w14:paraId="7970307D" w14:textId="4AF02FFA" w:rsidR="00902112" w:rsidRPr="000B1A12" w:rsidRDefault="00902112" w:rsidP="006564E7">
      <w:pPr>
        <w:pStyle w:val="ListParagraph"/>
        <w:numPr>
          <w:ilvl w:val="0"/>
          <w:numId w:val="5"/>
        </w:numPr>
      </w:pPr>
      <w:r>
        <w:t xml:space="preserve">Additional expertise may be co-opted as necessary </w:t>
      </w:r>
    </w:p>
    <w:p w14:paraId="710FE325" w14:textId="3A4E3979" w:rsidR="00944B21" w:rsidRPr="00330167" w:rsidRDefault="00944B21">
      <w:pPr>
        <w:rPr>
          <w:u w:val="single"/>
        </w:rPr>
      </w:pPr>
    </w:p>
    <w:p w14:paraId="0BC8915C" w14:textId="1878D20A" w:rsidR="00D11B8C" w:rsidRDefault="00D11B8C">
      <w:r>
        <w:br w:type="page"/>
      </w:r>
    </w:p>
    <w:p w14:paraId="78B172A7" w14:textId="77777777" w:rsidR="00C12818" w:rsidRPr="00330167" w:rsidRDefault="00C12818">
      <w:pPr>
        <w:rPr>
          <w:b/>
        </w:rPr>
      </w:pPr>
    </w:p>
    <w:sdt>
      <w:sdtPr>
        <w:rPr>
          <w:rFonts w:asciiTheme="minorHAnsi" w:eastAsiaTheme="minorEastAsia" w:hAnsiTheme="minorHAnsi" w:cstheme="minorBidi"/>
          <w:b w:val="0"/>
          <w:bCs w:val="0"/>
          <w:color w:val="auto"/>
          <w:sz w:val="24"/>
          <w:szCs w:val="24"/>
          <w:lang w:eastAsia="en-US"/>
        </w:rPr>
        <w:id w:val="-1799984548"/>
        <w:docPartObj>
          <w:docPartGallery w:val="Table of Contents"/>
          <w:docPartUnique/>
        </w:docPartObj>
      </w:sdtPr>
      <w:sdtEndPr>
        <w:rPr>
          <w:noProof/>
        </w:rPr>
      </w:sdtEndPr>
      <w:sdtContent>
        <w:p w14:paraId="74BD2584" w14:textId="6F7082EC" w:rsidR="00200C4E" w:rsidRDefault="00200C4E">
          <w:pPr>
            <w:pStyle w:val="TOCHeading"/>
          </w:pPr>
          <w:r>
            <w:t>Table of Contents</w:t>
          </w:r>
        </w:p>
        <w:p w14:paraId="39CB00B3" w14:textId="77777777" w:rsidR="00226D29" w:rsidRDefault="00200C4E">
          <w:pPr>
            <w:pStyle w:val="TOC1"/>
            <w:tabs>
              <w:tab w:val="right" w:leader="dot" w:pos="8290"/>
            </w:tabs>
            <w:rPr>
              <w:noProof/>
              <w:lang w:eastAsia="en-US"/>
            </w:rPr>
          </w:pPr>
          <w:r>
            <w:fldChar w:fldCharType="begin"/>
          </w:r>
          <w:r>
            <w:instrText xml:space="preserve"> TOC \o "1-3" \h \z \u </w:instrText>
          </w:r>
          <w:r>
            <w:fldChar w:fldCharType="separate"/>
          </w:r>
          <w:hyperlink w:anchor="_Toc398595318" w:history="1">
            <w:r w:rsidR="00226D29" w:rsidRPr="00F6512D">
              <w:rPr>
                <w:rStyle w:val="Hyperlink"/>
                <w:noProof/>
              </w:rPr>
              <w:t>List of Abbreviations</w:t>
            </w:r>
            <w:r w:rsidR="00226D29">
              <w:rPr>
                <w:noProof/>
                <w:webHidden/>
              </w:rPr>
              <w:tab/>
            </w:r>
            <w:r w:rsidR="00226D29">
              <w:rPr>
                <w:noProof/>
                <w:webHidden/>
              </w:rPr>
              <w:fldChar w:fldCharType="begin"/>
            </w:r>
            <w:r w:rsidR="00226D29">
              <w:rPr>
                <w:noProof/>
                <w:webHidden/>
              </w:rPr>
              <w:instrText xml:space="preserve"> PAGEREF _Toc398595318 \h </w:instrText>
            </w:r>
            <w:r w:rsidR="00226D29">
              <w:rPr>
                <w:noProof/>
                <w:webHidden/>
              </w:rPr>
            </w:r>
            <w:r w:rsidR="00226D29">
              <w:rPr>
                <w:noProof/>
                <w:webHidden/>
              </w:rPr>
              <w:fldChar w:fldCharType="separate"/>
            </w:r>
            <w:r w:rsidR="00BD7EBB">
              <w:rPr>
                <w:noProof/>
                <w:webHidden/>
              </w:rPr>
              <w:t>4</w:t>
            </w:r>
            <w:r w:rsidR="00226D29">
              <w:rPr>
                <w:noProof/>
                <w:webHidden/>
              </w:rPr>
              <w:fldChar w:fldCharType="end"/>
            </w:r>
          </w:hyperlink>
        </w:p>
        <w:p w14:paraId="3BE6A347" w14:textId="77777777" w:rsidR="00226D29" w:rsidRDefault="003C6C42">
          <w:pPr>
            <w:pStyle w:val="TOC1"/>
            <w:tabs>
              <w:tab w:val="right" w:leader="dot" w:pos="8290"/>
            </w:tabs>
            <w:rPr>
              <w:noProof/>
              <w:lang w:eastAsia="en-US"/>
            </w:rPr>
          </w:pPr>
          <w:hyperlink w:anchor="_Toc398595319" w:history="1">
            <w:r w:rsidR="00226D29" w:rsidRPr="00F6512D">
              <w:rPr>
                <w:rStyle w:val="Hyperlink"/>
                <w:noProof/>
              </w:rPr>
              <w:t>Background and scientific rationale</w:t>
            </w:r>
            <w:r w:rsidR="00226D29">
              <w:rPr>
                <w:noProof/>
                <w:webHidden/>
              </w:rPr>
              <w:tab/>
            </w:r>
            <w:r w:rsidR="00226D29">
              <w:rPr>
                <w:noProof/>
                <w:webHidden/>
              </w:rPr>
              <w:fldChar w:fldCharType="begin"/>
            </w:r>
            <w:r w:rsidR="00226D29">
              <w:rPr>
                <w:noProof/>
                <w:webHidden/>
              </w:rPr>
              <w:instrText xml:space="preserve"> PAGEREF _Toc398595319 \h </w:instrText>
            </w:r>
            <w:r w:rsidR="00226D29">
              <w:rPr>
                <w:noProof/>
                <w:webHidden/>
              </w:rPr>
            </w:r>
            <w:r w:rsidR="00226D29">
              <w:rPr>
                <w:noProof/>
                <w:webHidden/>
              </w:rPr>
              <w:fldChar w:fldCharType="separate"/>
            </w:r>
            <w:r w:rsidR="00BD7EBB">
              <w:rPr>
                <w:noProof/>
                <w:webHidden/>
              </w:rPr>
              <w:t>5</w:t>
            </w:r>
            <w:r w:rsidR="00226D29">
              <w:rPr>
                <w:noProof/>
                <w:webHidden/>
              </w:rPr>
              <w:fldChar w:fldCharType="end"/>
            </w:r>
          </w:hyperlink>
        </w:p>
        <w:p w14:paraId="1A12A2E0" w14:textId="77777777" w:rsidR="00226D29" w:rsidRDefault="003C6C42">
          <w:pPr>
            <w:pStyle w:val="TOC1"/>
            <w:tabs>
              <w:tab w:val="right" w:leader="dot" w:pos="8290"/>
            </w:tabs>
            <w:rPr>
              <w:noProof/>
              <w:lang w:eastAsia="en-US"/>
            </w:rPr>
          </w:pPr>
          <w:hyperlink w:anchor="_Toc398595320" w:history="1">
            <w:r w:rsidR="00226D29" w:rsidRPr="00F6512D">
              <w:rPr>
                <w:rStyle w:val="Hyperlink"/>
                <w:noProof/>
              </w:rPr>
              <w:t>Systemic Review and Individual Patient Data Meta-Analysis</w:t>
            </w:r>
            <w:r w:rsidR="00226D29">
              <w:rPr>
                <w:noProof/>
                <w:webHidden/>
              </w:rPr>
              <w:tab/>
            </w:r>
            <w:r w:rsidR="00226D29">
              <w:rPr>
                <w:noProof/>
                <w:webHidden/>
              </w:rPr>
              <w:fldChar w:fldCharType="begin"/>
            </w:r>
            <w:r w:rsidR="00226D29">
              <w:rPr>
                <w:noProof/>
                <w:webHidden/>
              </w:rPr>
              <w:instrText xml:space="preserve"> PAGEREF _Toc398595320 \h </w:instrText>
            </w:r>
            <w:r w:rsidR="00226D29">
              <w:rPr>
                <w:noProof/>
                <w:webHidden/>
              </w:rPr>
            </w:r>
            <w:r w:rsidR="00226D29">
              <w:rPr>
                <w:noProof/>
                <w:webHidden/>
              </w:rPr>
              <w:fldChar w:fldCharType="separate"/>
            </w:r>
            <w:r w:rsidR="00BD7EBB">
              <w:rPr>
                <w:noProof/>
                <w:webHidden/>
              </w:rPr>
              <w:t>5</w:t>
            </w:r>
            <w:r w:rsidR="00226D29">
              <w:rPr>
                <w:noProof/>
                <w:webHidden/>
              </w:rPr>
              <w:fldChar w:fldCharType="end"/>
            </w:r>
          </w:hyperlink>
        </w:p>
        <w:p w14:paraId="57FF3B2C" w14:textId="77777777" w:rsidR="00226D29" w:rsidRDefault="003C6C42">
          <w:pPr>
            <w:pStyle w:val="TOC1"/>
            <w:tabs>
              <w:tab w:val="right" w:leader="dot" w:pos="8290"/>
            </w:tabs>
            <w:rPr>
              <w:noProof/>
              <w:lang w:eastAsia="en-US"/>
            </w:rPr>
          </w:pPr>
          <w:hyperlink w:anchor="_Toc398595321" w:history="1">
            <w:r w:rsidR="00226D29" w:rsidRPr="00F6512D">
              <w:rPr>
                <w:rStyle w:val="Hyperlink"/>
                <w:noProof/>
              </w:rPr>
              <w:t>Objectives</w:t>
            </w:r>
            <w:r w:rsidR="00226D29">
              <w:rPr>
                <w:noProof/>
                <w:webHidden/>
              </w:rPr>
              <w:tab/>
            </w:r>
            <w:r w:rsidR="00226D29">
              <w:rPr>
                <w:noProof/>
                <w:webHidden/>
              </w:rPr>
              <w:fldChar w:fldCharType="begin"/>
            </w:r>
            <w:r w:rsidR="00226D29">
              <w:rPr>
                <w:noProof/>
                <w:webHidden/>
              </w:rPr>
              <w:instrText xml:space="preserve"> PAGEREF _Toc398595321 \h </w:instrText>
            </w:r>
            <w:r w:rsidR="00226D29">
              <w:rPr>
                <w:noProof/>
                <w:webHidden/>
              </w:rPr>
            </w:r>
            <w:r w:rsidR="00226D29">
              <w:rPr>
                <w:noProof/>
                <w:webHidden/>
              </w:rPr>
              <w:fldChar w:fldCharType="separate"/>
            </w:r>
            <w:r w:rsidR="00BD7EBB">
              <w:rPr>
                <w:noProof/>
                <w:webHidden/>
              </w:rPr>
              <w:t>5</w:t>
            </w:r>
            <w:r w:rsidR="00226D29">
              <w:rPr>
                <w:noProof/>
                <w:webHidden/>
              </w:rPr>
              <w:fldChar w:fldCharType="end"/>
            </w:r>
          </w:hyperlink>
        </w:p>
        <w:p w14:paraId="758DF1FB" w14:textId="77777777" w:rsidR="00226D29" w:rsidRDefault="003C6C42">
          <w:pPr>
            <w:pStyle w:val="TOC1"/>
            <w:tabs>
              <w:tab w:val="right" w:leader="dot" w:pos="8290"/>
            </w:tabs>
            <w:rPr>
              <w:noProof/>
              <w:lang w:eastAsia="en-US"/>
            </w:rPr>
          </w:pPr>
          <w:hyperlink w:anchor="_Toc398595322" w:history="1">
            <w:r w:rsidR="00226D29" w:rsidRPr="00F6512D">
              <w:rPr>
                <w:rStyle w:val="Hyperlink"/>
                <w:noProof/>
              </w:rPr>
              <w:t>Methods</w:t>
            </w:r>
            <w:r w:rsidR="00226D29">
              <w:rPr>
                <w:noProof/>
                <w:webHidden/>
              </w:rPr>
              <w:tab/>
            </w:r>
            <w:r w:rsidR="00226D29">
              <w:rPr>
                <w:noProof/>
                <w:webHidden/>
              </w:rPr>
              <w:fldChar w:fldCharType="begin"/>
            </w:r>
            <w:r w:rsidR="00226D29">
              <w:rPr>
                <w:noProof/>
                <w:webHidden/>
              </w:rPr>
              <w:instrText xml:space="preserve"> PAGEREF _Toc398595322 \h </w:instrText>
            </w:r>
            <w:r w:rsidR="00226D29">
              <w:rPr>
                <w:noProof/>
                <w:webHidden/>
              </w:rPr>
            </w:r>
            <w:r w:rsidR="00226D29">
              <w:rPr>
                <w:noProof/>
                <w:webHidden/>
              </w:rPr>
              <w:fldChar w:fldCharType="separate"/>
            </w:r>
            <w:r w:rsidR="00BD7EBB">
              <w:rPr>
                <w:noProof/>
                <w:webHidden/>
              </w:rPr>
              <w:t>6</w:t>
            </w:r>
            <w:r w:rsidR="00226D29">
              <w:rPr>
                <w:noProof/>
                <w:webHidden/>
              </w:rPr>
              <w:fldChar w:fldCharType="end"/>
            </w:r>
          </w:hyperlink>
        </w:p>
        <w:p w14:paraId="618912B5" w14:textId="77777777" w:rsidR="00226D29" w:rsidRDefault="003C6C42">
          <w:pPr>
            <w:pStyle w:val="TOC2"/>
            <w:tabs>
              <w:tab w:val="right" w:leader="dot" w:pos="8290"/>
            </w:tabs>
            <w:rPr>
              <w:noProof/>
              <w:lang w:eastAsia="en-US"/>
            </w:rPr>
          </w:pPr>
          <w:hyperlink w:anchor="_Toc398595323" w:history="1">
            <w:r w:rsidR="00226D29" w:rsidRPr="00F6512D">
              <w:rPr>
                <w:rStyle w:val="Hyperlink"/>
                <w:i/>
                <w:noProof/>
              </w:rPr>
              <w:t>Study Designs Eligible for Inclusion</w:t>
            </w:r>
            <w:r w:rsidR="00226D29">
              <w:rPr>
                <w:noProof/>
                <w:webHidden/>
              </w:rPr>
              <w:tab/>
            </w:r>
            <w:r w:rsidR="00226D29">
              <w:rPr>
                <w:noProof/>
                <w:webHidden/>
              </w:rPr>
              <w:fldChar w:fldCharType="begin"/>
            </w:r>
            <w:r w:rsidR="00226D29">
              <w:rPr>
                <w:noProof/>
                <w:webHidden/>
              </w:rPr>
              <w:instrText xml:space="preserve"> PAGEREF _Toc398595323 \h </w:instrText>
            </w:r>
            <w:r w:rsidR="00226D29">
              <w:rPr>
                <w:noProof/>
                <w:webHidden/>
              </w:rPr>
            </w:r>
            <w:r w:rsidR="00226D29">
              <w:rPr>
                <w:noProof/>
                <w:webHidden/>
              </w:rPr>
              <w:fldChar w:fldCharType="separate"/>
            </w:r>
            <w:r w:rsidR="00BD7EBB">
              <w:rPr>
                <w:noProof/>
                <w:webHidden/>
              </w:rPr>
              <w:t>6</w:t>
            </w:r>
            <w:r w:rsidR="00226D29">
              <w:rPr>
                <w:noProof/>
                <w:webHidden/>
              </w:rPr>
              <w:fldChar w:fldCharType="end"/>
            </w:r>
          </w:hyperlink>
        </w:p>
        <w:p w14:paraId="629F9294" w14:textId="77777777" w:rsidR="00226D29" w:rsidRDefault="003C6C42">
          <w:pPr>
            <w:pStyle w:val="TOC2"/>
            <w:tabs>
              <w:tab w:val="right" w:leader="dot" w:pos="8290"/>
            </w:tabs>
            <w:rPr>
              <w:noProof/>
              <w:lang w:eastAsia="en-US"/>
            </w:rPr>
          </w:pPr>
          <w:hyperlink w:anchor="_Toc398595324" w:history="1">
            <w:r w:rsidR="00226D29" w:rsidRPr="00F6512D">
              <w:rPr>
                <w:rStyle w:val="Hyperlink"/>
                <w:i/>
                <w:noProof/>
              </w:rPr>
              <w:t>Description of Participants</w:t>
            </w:r>
            <w:r w:rsidR="00226D29">
              <w:rPr>
                <w:noProof/>
                <w:webHidden/>
              </w:rPr>
              <w:tab/>
            </w:r>
            <w:r w:rsidR="00226D29">
              <w:rPr>
                <w:noProof/>
                <w:webHidden/>
              </w:rPr>
              <w:fldChar w:fldCharType="begin"/>
            </w:r>
            <w:r w:rsidR="00226D29">
              <w:rPr>
                <w:noProof/>
                <w:webHidden/>
              </w:rPr>
              <w:instrText xml:space="preserve"> PAGEREF _Toc398595324 \h </w:instrText>
            </w:r>
            <w:r w:rsidR="00226D29">
              <w:rPr>
                <w:noProof/>
                <w:webHidden/>
              </w:rPr>
            </w:r>
            <w:r w:rsidR="00226D29">
              <w:rPr>
                <w:noProof/>
                <w:webHidden/>
              </w:rPr>
              <w:fldChar w:fldCharType="separate"/>
            </w:r>
            <w:r w:rsidR="00BD7EBB">
              <w:rPr>
                <w:noProof/>
                <w:webHidden/>
              </w:rPr>
              <w:t>6</w:t>
            </w:r>
            <w:r w:rsidR="00226D29">
              <w:rPr>
                <w:noProof/>
                <w:webHidden/>
              </w:rPr>
              <w:fldChar w:fldCharType="end"/>
            </w:r>
          </w:hyperlink>
        </w:p>
        <w:p w14:paraId="1EC71607" w14:textId="77777777" w:rsidR="00226D29" w:rsidRDefault="003C6C42">
          <w:pPr>
            <w:pStyle w:val="TOC3"/>
            <w:tabs>
              <w:tab w:val="right" w:leader="dot" w:pos="8290"/>
            </w:tabs>
            <w:rPr>
              <w:noProof/>
              <w:sz w:val="22"/>
              <w:szCs w:val="22"/>
            </w:rPr>
          </w:pPr>
          <w:hyperlink w:anchor="_Toc398595325" w:history="1">
            <w:r w:rsidR="00226D29" w:rsidRPr="00F6512D">
              <w:rPr>
                <w:rStyle w:val="Hyperlink"/>
                <w:i/>
                <w:noProof/>
              </w:rPr>
              <w:t>Case definitions</w:t>
            </w:r>
            <w:r w:rsidR="00226D29">
              <w:rPr>
                <w:noProof/>
                <w:webHidden/>
              </w:rPr>
              <w:tab/>
            </w:r>
            <w:r w:rsidR="00226D29">
              <w:rPr>
                <w:noProof/>
                <w:webHidden/>
              </w:rPr>
              <w:fldChar w:fldCharType="begin"/>
            </w:r>
            <w:r w:rsidR="00226D29">
              <w:rPr>
                <w:noProof/>
                <w:webHidden/>
              </w:rPr>
              <w:instrText xml:space="preserve"> PAGEREF _Toc398595325 \h </w:instrText>
            </w:r>
            <w:r w:rsidR="00226D29">
              <w:rPr>
                <w:noProof/>
                <w:webHidden/>
              </w:rPr>
            </w:r>
            <w:r w:rsidR="00226D29">
              <w:rPr>
                <w:noProof/>
                <w:webHidden/>
              </w:rPr>
              <w:fldChar w:fldCharType="separate"/>
            </w:r>
            <w:r w:rsidR="00BD7EBB">
              <w:rPr>
                <w:noProof/>
                <w:webHidden/>
              </w:rPr>
              <w:t>7</w:t>
            </w:r>
            <w:r w:rsidR="00226D29">
              <w:rPr>
                <w:noProof/>
                <w:webHidden/>
              </w:rPr>
              <w:fldChar w:fldCharType="end"/>
            </w:r>
          </w:hyperlink>
        </w:p>
        <w:p w14:paraId="56A4D159" w14:textId="77777777" w:rsidR="00226D29" w:rsidRDefault="003C6C42">
          <w:pPr>
            <w:pStyle w:val="TOC2"/>
            <w:tabs>
              <w:tab w:val="right" w:leader="dot" w:pos="8290"/>
            </w:tabs>
            <w:rPr>
              <w:noProof/>
              <w:lang w:eastAsia="en-US"/>
            </w:rPr>
          </w:pPr>
          <w:hyperlink w:anchor="_Toc398595326" w:history="1">
            <w:r w:rsidR="00226D29" w:rsidRPr="00F6512D">
              <w:rPr>
                <w:rStyle w:val="Hyperlink"/>
                <w:i/>
                <w:noProof/>
              </w:rPr>
              <w:t>Interventions</w:t>
            </w:r>
            <w:r w:rsidR="00226D29">
              <w:rPr>
                <w:noProof/>
                <w:webHidden/>
              </w:rPr>
              <w:tab/>
            </w:r>
            <w:r w:rsidR="00226D29">
              <w:rPr>
                <w:noProof/>
                <w:webHidden/>
              </w:rPr>
              <w:fldChar w:fldCharType="begin"/>
            </w:r>
            <w:r w:rsidR="00226D29">
              <w:rPr>
                <w:noProof/>
                <w:webHidden/>
              </w:rPr>
              <w:instrText xml:space="preserve"> PAGEREF _Toc398595326 \h </w:instrText>
            </w:r>
            <w:r w:rsidR="00226D29">
              <w:rPr>
                <w:noProof/>
                <w:webHidden/>
              </w:rPr>
            </w:r>
            <w:r w:rsidR="00226D29">
              <w:rPr>
                <w:noProof/>
                <w:webHidden/>
              </w:rPr>
              <w:fldChar w:fldCharType="separate"/>
            </w:r>
            <w:r w:rsidR="00BD7EBB">
              <w:rPr>
                <w:noProof/>
                <w:webHidden/>
              </w:rPr>
              <w:t>7</w:t>
            </w:r>
            <w:r w:rsidR="00226D29">
              <w:rPr>
                <w:noProof/>
                <w:webHidden/>
              </w:rPr>
              <w:fldChar w:fldCharType="end"/>
            </w:r>
          </w:hyperlink>
        </w:p>
        <w:p w14:paraId="0C003620" w14:textId="77777777" w:rsidR="00226D29" w:rsidRDefault="003C6C42">
          <w:pPr>
            <w:pStyle w:val="TOC3"/>
            <w:tabs>
              <w:tab w:val="right" w:leader="dot" w:pos="8290"/>
            </w:tabs>
            <w:rPr>
              <w:noProof/>
              <w:sz w:val="22"/>
              <w:szCs w:val="22"/>
            </w:rPr>
          </w:pPr>
          <w:hyperlink w:anchor="_Toc398595327" w:history="1">
            <w:r w:rsidR="00226D29" w:rsidRPr="00F6512D">
              <w:rPr>
                <w:rStyle w:val="Hyperlink"/>
                <w:i/>
                <w:noProof/>
              </w:rPr>
              <w:t>Specific Primary Objectives</w:t>
            </w:r>
            <w:r w:rsidR="00226D29">
              <w:rPr>
                <w:noProof/>
                <w:webHidden/>
              </w:rPr>
              <w:tab/>
            </w:r>
            <w:r w:rsidR="00226D29">
              <w:rPr>
                <w:noProof/>
                <w:webHidden/>
              </w:rPr>
              <w:fldChar w:fldCharType="begin"/>
            </w:r>
            <w:r w:rsidR="00226D29">
              <w:rPr>
                <w:noProof/>
                <w:webHidden/>
              </w:rPr>
              <w:instrText xml:space="preserve"> PAGEREF _Toc398595327 \h </w:instrText>
            </w:r>
            <w:r w:rsidR="00226D29">
              <w:rPr>
                <w:noProof/>
                <w:webHidden/>
              </w:rPr>
            </w:r>
            <w:r w:rsidR="00226D29">
              <w:rPr>
                <w:noProof/>
                <w:webHidden/>
              </w:rPr>
              <w:fldChar w:fldCharType="separate"/>
            </w:r>
            <w:r w:rsidR="00BD7EBB">
              <w:rPr>
                <w:noProof/>
                <w:webHidden/>
              </w:rPr>
              <w:t>7</w:t>
            </w:r>
            <w:r w:rsidR="00226D29">
              <w:rPr>
                <w:noProof/>
                <w:webHidden/>
              </w:rPr>
              <w:fldChar w:fldCharType="end"/>
            </w:r>
          </w:hyperlink>
        </w:p>
        <w:p w14:paraId="7F292796" w14:textId="77777777" w:rsidR="00226D29" w:rsidRDefault="003C6C42">
          <w:pPr>
            <w:pStyle w:val="TOC2"/>
            <w:tabs>
              <w:tab w:val="right" w:leader="dot" w:pos="8290"/>
            </w:tabs>
            <w:rPr>
              <w:noProof/>
              <w:lang w:eastAsia="en-US"/>
            </w:rPr>
          </w:pPr>
          <w:hyperlink w:anchor="_Toc398595328" w:history="1">
            <w:r w:rsidR="00226D29" w:rsidRPr="00F6512D">
              <w:rPr>
                <w:rStyle w:val="Hyperlink"/>
                <w:i/>
                <w:noProof/>
              </w:rPr>
              <w:t>Outcome Measures</w:t>
            </w:r>
            <w:r w:rsidR="00226D29">
              <w:rPr>
                <w:noProof/>
                <w:webHidden/>
              </w:rPr>
              <w:tab/>
            </w:r>
            <w:r w:rsidR="00226D29">
              <w:rPr>
                <w:noProof/>
                <w:webHidden/>
              </w:rPr>
              <w:fldChar w:fldCharType="begin"/>
            </w:r>
            <w:r w:rsidR="00226D29">
              <w:rPr>
                <w:noProof/>
                <w:webHidden/>
              </w:rPr>
              <w:instrText xml:space="preserve"> PAGEREF _Toc398595328 \h </w:instrText>
            </w:r>
            <w:r w:rsidR="00226D29">
              <w:rPr>
                <w:noProof/>
                <w:webHidden/>
              </w:rPr>
            </w:r>
            <w:r w:rsidR="00226D29">
              <w:rPr>
                <w:noProof/>
                <w:webHidden/>
              </w:rPr>
              <w:fldChar w:fldCharType="separate"/>
            </w:r>
            <w:r w:rsidR="00BD7EBB">
              <w:rPr>
                <w:noProof/>
                <w:webHidden/>
              </w:rPr>
              <w:t>8</w:t>
            </w:r>
            <w:r w:rsidR="00226D29">
              <w:rPr>
                <w:noProof/>
                <w:webHidden/>
              </w:rPr>
              <w:fldChar w:fldCharType="end"/>
            </w:r>
          </w:hyperlink>
        </w:p>
        <w:p w14:paraId="68E0AE02" w14:textId="77777777" w:rsidR="00226D29" w:rsidRDefault="003C6C42">
          <w:pPr>
            <w:pStyle w:val="TOC3"/>
            <w:tabs>
              <w:tab w:val="right" w:leader="dot" w:pos="8290"/>
            </w:tabs>
            <w:rPr>
              <w:noProof/>
              <w:sz w:val="22"/>
              <w:szCs w:val="22"/>
            </w:rPr>
          </w:pPr>
          <w:hyperlink w:anchor="_Toc398595329" w:history="1">
            <w:r w:rsidR="00226D29" w:rsidRPr="00F6512D">
              <w:rPr>
                <w:rStyle w:val="Hyperlink"/>
                <w:i/>
                <w:noProof/>
              </w:rPr>
              <w:t>Primary outcome</w:t>
            </w:r>
            <w:r w:rsidR="00226D29">
              <w:rPr>
                <w:noProof/>
                <w:webHidden/>
              </w:rPr>
              <w:tab/>
            </w:r>
            <w:r w:rsidR="00226D29">
              <w:rPr>
                <w:noProof/>
                <w:webHidden/>
              </w:rPr>
              <w:fldChar w:fldCharType="begin"/>
            </w:r>
            <w:r w:rsidR="00226D29">
              <w:rPr>
                <w:noProof/>
                <w:webHidden/>
              </w:rPr>
              <w:instrText xml:space="preserve"> PAGEREF _Toc398595329 \h </w:instrText>
            </w:r>
            <w:r w:rsidR="00226D29">
              <w:rPr>
                <w:noProof/>
                <w:webHidden/>
              </w:rPr>
            </w:r>
            <w:r w:rsidR="00226D29">
              <w:rPr>
                <w:noProof/>
                <w:webHidden/>
              </w:rPr>
              <w:fldChar w:fldCharType="separate"/>
            </w:r>
            <w:r w:rsidR="00BD7EBB">
              <w:rPr>
                <w:noProof/>
                <w:webHidden/>
              </w:rPr>
              <w:t>8</w:t>
            </w:r>
            <w:r w:rsidR="00226D29">
              <w:rPr>
                <w:noProof/>
                <w:webHidden/>
              </w:rPr>
              <w:fldChar w:fldCharType="end"/>
            </w:r>
          </w:hyperlink>
        </w:p>
        <w:p w14:paraId="0E8080FC" w14:textId="77777777" w:rsidR="00226D29" w:rsidRDefault="003C6C42">
          <w:pPr>
            <w:pStyle w:val="TOC3"/>
            <w:tabs>
              <w:tab w:val="right" w:leader="dot" w:pos="8290"/>
            </w:tabs>
            <w:rPr>
              <w:noProof/>
              <w:sz w:val="22"/>
              <w:szCs w:val="22"/>
            </w:rPr>
          </w:pPr>
          <w:hyperlink w:anchor="_Toc398595330" w:history="1">
            <w:r w:rsidR="00226D29" w:rsidRPr="00F6512D">
              <w:rPr>
                <w:rStyle w:val="Hyperlink"/>
                <w:i/>
                <w:noProof/>
              </w:rPr>
              <w:t>Secondary outcomes</w:t>
            </w:r>
            <w:r w:rsidR="00226D29">
              <w:rPr>
                <w:noProof/>
                <w:webHidden/>
              </w:rPr>
              <w:tab/>
            </w:r>
            <w:r w:rsidR="00226D29">
              <w:rPr>
                <w:noProof/>
                <w:webHidden/>
              </w:rPr>
              <w:fldChar w:fldCharType="begin"/>
            </w:r>
            <w:r w:rsidR="00226D29">
              <w:rPr>
                <w:noProof/>
                <w:webHidden/>
              </w:rPr>
              <w:instrText xml:space="preserve"> PAGEREF _Toc398595330 \h </w:instrText>
            </w:r>
            <w:r w:rsidR="00226D29">
              <w:rPr>
                <w:noProof/>
                <w:webHidden/>
              </w:rPr>
            </w:r>
            <w:r w:rsidR="00226D29">
              <w:rPr>
                <w:noProof/>
                <w:webHidden/>
              </w:rPr>
              <w:fldChar w:fldCharType="separate"/>
            </w:r>
            <w:r w:rsidR="00BD7EBB">
              <w:rPr>
                <w:noProof/>
                <w:webHidden/>
              </w:rPr>
              <w:t>8</w:t>
            </w:r>
            <w:r w:rsidR="00226D29">
              <w:rPr>
                <w:noProof/>
                <w:webHidden/>
              </w:rPr>
              <w:fldChar w:fldCharType="end"/>
            </w:r>
          </w:hyperlink>
        </w:p>
        <w:p w14:paraId="72E0F97E" w14:textId="77777777" w:rsidR="00226D29" w:rsidRDefault="003C6C42">
          <w:pPr>
            <w:pStyle w:val="TOC2"/>
            <w:tabs>
              <w:tab w:val="right" w:leader="dot" w:pos="8290"/>
            </w:tabs>
            <w:rPr>
              <w:noProof/>
              <w:lang w:eastAsia="en-US"/>
            </w:rPr>
          </w:pPr>
          <w:hyperlink w:anchor="_Toc398595331" w:history="1">
            <w:r w:rsidR="00226D29" w:rsidRPr="00F6512D">
              <w:rPr>
                <w:rStyle w:val="Hyperlink"/>
                <w:i/>
                <w:noProof/>
              </w:rPr>
              <w:t>Search Strategy</w:t>
            </w:r>
            <w:r w:rsidR="00226D29">
              <w:rPr>
                <w:noProof/>
                <w:webHidden/>
              </w:rPr>
              <w:tab/>
            </w:r>
            <w:r w:rsidR="00226D29">
              <w:rPr>
                <w:noProof/>
                <w:webHidden/>
              </w:rPr>
              <w:fldChar w:fldCharType="begin"/>
            </w:r>
            <w:r w:rsidR="00226D29">
              <w:rPr>
                <w:noProof/>
                <w:webHidden/>
              </w:rPr>
              <w:instrText xml:space="preserve"> PAGEREF _Toc398595331 \h </w:instrText>
            </w:r>
            <w:r w:rsidR="00226D29">
              <w:rPr>
                <w:noProof/>
                <w:webHidden/>
              </w:rPr>
            </w:r>
            <w:r w:rsidR="00226D29">
              <w:rPr>
                <w:noProof/>
                <w:webHidden/>
              </w:rPr>
              <w:fldChar w:fldCharType="separate"/>
            </w:r>
            <w:r w:rsidR="00BD7EBB">
              <w:rPr>
                <w:noProof/>
                <w:webHidden/>
              </w:rPr>
              <w:t>8</w:t>
            </w:r>
            <w:r w:rsidR="00226D29">
              <w:rPr>
                <w:noProof/>
                <w:webHidden/>
              </w:rPr>
              <w:fldChar w:fldCharType="end"/>
            </w:r>
          </w:hyperlink>
        </w:p>
        <w:p w14:paraId="3BD04E96" w14:textId="77777777" w:rsidR="00226D29" w:rsidRDefault="003C6C42">
          <w:pPr>
            <w:pStyle w:val="TOC2"/>
            <w:tabs>
              <w:tab w:val="right" w:leader="dot" w:pos="8290"/>
            </w:tabs>
            <w:rPr>
              <w:noProof/>
              <w:lang w:eastAsia="en-US"/>
            </w:rPr>
          </w:pPr>
          <w:hyperlink w:anchor="_Toc398595332" w:history="1">
            <w:r w:rsidR="00226D29" w:rsidRPr="00F6512D">
              <w:rPr>
                <w:rStyle w:val="Hyperlink"/>
                <w:i/>
                <w:noProof/>
              </w:rPr>
              <w:t>Data Collection</w:t>
            </w:r>
            <w:r w:rsidR="00226D29">
              <w:rPr>
                <w:noProof/>
                <w:webHidden/>
              </w:rPr>
              <w:tab/>
            </w:r>
            <w:r w:rsidR="00226D29">
              <w:rPr>
                <w:noProof/>
                <w:webHidden/>
              </w:rPr>
              <w:fldChar w:fldCharType="begin"/>
            </w:r>
            <w:r w:rsidR="00226D29">
              <w:rPr>
                <w:noProof/>
                <w:webHidden/>
              </w:rPr>
              <w:instrText xml:space="preserve"> PAGEREF _Toc398595332 \h </w:instrText>
            </w:r>
            <w:r w:rsidR="00226D29">
              <w:rPr>
                <w:noProof/>
                <w:webHidden/>
              </w:rPr>
            </w:r>
            <w:r w:rsidR="00226D29">
              <w:rPr>
                <w:noProof/>
                <w:webHidden/>
              </w:rPr>
              <w:fldChar w:fldCharType="separate"/>
            </w:r>
            <w:r w:rsidR="00BD7EBB">
              <w:rPr>
                <w:noProof/>
                <w:webHidden/>
              </w:rPr>
              <w:t>9</w:t>
            </w:r>
            <w:r w:rsidR="00226D29">
              <w:rPr>
                <w:noProof/>
                <w:webHidden/>
              </w:rPr>
              <w:fldChar w:fldCharType="end"/>
            </w:r>
          </w:hyperlink>
        </w:p>
        <w:p w14:paraId="4163950D" w14:textId="77777777" w:rsidR="00226D29" w:rsidRDefault="003C6C42">
          <w:pPr>
            <w:pStyle w:val="TOC3"/>
            <w:tabs>
              <w:tab w:val="right" w:leader="dot" w:pos="8290"/>
            </w:tabs>
            <w:rPr>
              <w:noProof/>
              <w:sz w:val="22"/>
              <w:szCs w:val="22"/>
            </w:rPr>
          </w:pPr>
          <w:hyperlink w:anchor="_Toc398595333" w:history="1">
            <w:r w:rsidR="00226D29" w:rsidRPr="00F6512D">
              <w:rPr>
                <w:rStyle w:val="Hyperlink"/>
                <w:i/>
                <w:noProof/>
              </w:rPr>
              <w:t>Data extraction and management</w:t>
            </w:r>
            <w:r w:rsidR="00226D29">
              <w:rPr>
                <w:noProof/>
                <w:webHidden/>
              </w:rPr>
              <w:tab/>
            </w:r>
            <w:r w:rsidR="00226D29">
              <w:rPr>
                <w:noProof/>
                <w:webHidden/>
              </w:rPr>
              <w:fldChar w:fldCharType="begin"/>
            </w:r>
            <w:r w:rsidR="00226D29">
              <w:rPr>
                <w:noProof/>
                <w:webHidden/>
              </w:rPr>
              <w:instrText xml:space="preserve"> PAGEREF _Toc398595333 \h </w:instrText>
            </w:r>
            <w:r w:rsidR="00226D29">
              <w:rPr>
                <w:noProof/>
                <w:webHidden/>
              </w:rPr>
            </w:r>
            <w:r w:rsidR="00226D29">
              <w:rPr>
                <w:noProof/>
                <w:webHidden/>
              </w:rPr>
              <w:fldChar w:fldCharType="separate"/>
            </w:r>
            <w:r w:rsidR="00BD7EBB">
              <w:rPr>
                <w:noProof/>
                <w:webHidden/>
              </w:rPr>
              <w:t>9</w:t>
            </w:r>
            <w:r w:rsidR="00226D29">
              <w:rPr>
                <w:noProof/>
                <w:webHidden/>
              </w:rPr>
              <w:fldChar w:fldCharType="end"/>
            </w:r>
          </w:hyperlink>
        </w:p>
        <w:p w14:paraId="2459F548" w14:textId="77777777" w:rsidR="00226D29" w:rsidRDefault="003C6C42">
          <w:pPr>
            <w:pStyle w:val="TOC3"/>
            <w:tabs>
              <w:tab w:val="right" w:leader="dot" w:pos="8290"/>
            </w:tabs>
            <w:rPr>
              <w:noProof/>
              <w:sz w:val="22"/>
              <w:szCs w:val="22"/>
            </w:rPr>
          </w:pPr>
          <w:hyperlink w:anchor="_Toc398595334" w:history="1">
            <w:r w:rsidR="00226D29" w:rsidRPr="00F6512D">
              <w:rPr>
                <w:rStyle w:val="Hyperlink"/>
                <w:i/>
                <w:noProof/>
              </w:rPr>
              <w:t>Information required</w:t>
            </w:r>
            <w:r w:rsidR="00226D29">
              <w:rPr>
                <w:noProof/>
                <w:webHidden/>
              </w:rPr>
              <w:tab/>
            </w:r>
            <w:r w:rsidR="00226D29">
              <w:rPr>
                <w:noProof/>
                <w:webHidden/>
              </w:rPr>
              <w:fldChar w:fldCharType="begin"/>
            </w:r>
            <w:r w:rsidR="00226D29">
              <w:rPr>
                <w:noProof/>
                <w:webHidden/>
              </w:rPr>
              <w:instrText xml:space="preserve"> PAGEREF _Toc398595334 \h </w:instrText>
            </w:r>
            <w:r w:rsidR="00226D29">
              <w:rPr>
                <w:noProof/>
                <w:webHidden/>
              </w:rPr>
            </w:r>
            <w:r w:rsidR="00226D29">
              <w:rPr>
                <w:noProof/>
                <w:webHidden/>
              </w:rPr>
              <w:fldChar w:fldCharType="separate"/>
            </w:r>
            <w:r w:rsidR="00BD7EBB">
              <w:rPr>
                <w:noProof/>
                <w:webHidden/>
              </w:rPr>
              <w:t>10</w:t>
            </w:r>
            <w:r w:rsidR="00226D29">
              <w:rPr>
                <w:noProof/>
                <w:webHidden/>
              </w:rPr>
              <w:fldChar w:fldCharType="end"/>
            </w:r>
          </w:hyperlink>
        </w:p>
        <w:p w14:paraId="2A2391AA" w14:textId="77777777" w:rsidR="00226D29" w:rsidRDefault="003C6C42">
          <w:pPr>
            <w:pStyle w:val="TOC2"/>
            <w:tabs>
              <w:tab w:val="right" w:leader="dot" w:pos="8290"/>
            </w:tabs>
            <w:rPr>
              <w:noProof/>
              <w:lang w:eastAsia="en-US"/>
            </w:rPr>
          </w:pPr>
          <w:hyperlink w:anchor="_Toc398595335" w:history="1">
            <w:r w:rsidR="00226D29" w:rsidRPr="00F6512D">
              <w:rPr>
                <w:rStyle w:val="Hyperlink"/>
                <w:i/>
                <w:noProof/>
              </w:rPr>
              <w:t>Data Analysis</w:t>
            </w:r>
            <w:r w:rsidR="00226D29">
              <w:rPr>
                <w:noProof/>
                <w:webHidden/>
              </w:rPr>
              <w:tab/>
            </w:r>
            <w:r w:rsidR="00226D29">
              <w:rPr>
                <w:noProof/>
                <w:webHidden/>
              </w:rPr>
              <w:fldChar w:fldCharType="begin"/>
            </w:r>
            <w:r w:rsidR="00226D29">
              <w:rPr>
                <w:noProof/>
                <w:webHidden/>
              </w:rPr>
              <w:instrText xml:space="preserve"> PAGEREF _Toc398595335 \h </w:instrText>
            </w:r>
            <w:r w:rsidR="00226D29">
              <w:rPr>
                <w:noProof/>
                <w:webHidden/>
              </w:rPr>
            </w:r>
            <w:r w:rsidR="00226D29">
              <w:rPr>
                <w:noProof/>
                <w:webHidden/>
              </w:rPr>
              <w:fldChar w:fldCharType="separate"/>
            </w:r>
            <w:r w:rsidR="00BD7EBB">
              <w:rPr>
                <w:noProof/>
                <w:webHidden/>
              </w:rPr>
              <w:t>10</w:t>
            </w:r>
            <w:r w:rsidR="00226D29">
              <w:rPr>
                <w:noProof/>
                <w:webHidden/>
              </w:rPr>
              <w:fldChar w:fldCharType="end"/>
            </w:r>
          </w:hyperlink>
        </w:p>
        <w:p w14:paraId="3197FDAD" w14:textId="77777777" w:rsidR="00226D29" w:rsidRDefault="003C6C42">
          <w:pPr>
            <w:pStyle w:val="TOC3"/>
            <w:tabs>
              <w:tab w:val="right" w:leader="dot" w:pos="8290"/>
            </w:tabs>
            <w:rPr>
              <w:noProof/>
              <w:sz w:val="22"/>
              <w:szCs w:val="22"/>
            </w:rPr>
          </w:pPr>
          <w:hyperlink w:anchor="_Toc398595336" w:history="1">
            <w:r w:rsidR="00226D29" w:rsidRPr="00F6512D">
              <w:rPr>
                <w:rStyle w:val="Hyperlink"/>
                <w:i/>
                <w:noProof/>
              </w:rPr>
              <w:t>Assessment of Heterogeneity</w:t>
            </w:r>
            <w:r w:rsidR="00226D29">
              <w:rPr>
                <w:noProof/>
                <w:webHidden/>
              </w:rPr>
              <w:tab/>
            </w:r>
            <w:r w:rsidR="00226D29">
              <w:rPr>
                <w:noProof/>
                <w:webHidden/>
              </w:rPr>
              <w:fldChar w:fldCharType="begin"/>
            </w:r>
            <w:r w:rsidR="00226D29">
              <w:rPr>
                <w:noProof/>
                <w:webHidden/>
              </w:rPr>
              <w:instrText xml:space="preserve"> PAGEREF _Toc398595336 \h </w:instrText>
            </w:r>
            <w:r w:rsidR="00226D29">
              <w:rPr>
                <w:noProof/>
                <w:webHidden/>
              </w:rPr>
            </w:r>
            <w:r w:rsidR="00226D29">
              <w:rPr>
                <w:noProof/>
                <w:webHidden/>
              </w:rPr>
              <w:fldChar w:fldCharType="separate"/>
            </w:r>
            <w:r w:rsidR="00BD7EBB">
              <w:rPr>
                <w:noProof/>
                <w:webHidden/>
              </w:rPr>
              <w:t>10</w:t>
            </w:r>
            <w:r w:rsidR="00226D29">
              <w:rPr>
                <w:noProof/>
                <w:webHidden/>
              </w:rPr>
              <w:fldChar w:fldCharType="end"/>
            </w:r>
          </w:hyperlink>
        </w:p>
        <w:p w14:paraId="2EEBA44D" w14:textId="77777777" w:rsidR="00226D29" w:rsidRDefault="003C6C42">
          <w:pPr>
            <w:pStyle w:val="TOC3"/>
            <w:tabs>
              <w:tab w:val="right" w:leader="dot" w:pos="8290"/>
            </w:tabs>
            <w:rPr>
              <w:noProof/>
              <w:sz w:val="22"/>
              <w:szCs w:val="22"/>
            </w:rPr>
          </w:pPr>
          <w:hyperlink w:anchor="_Toc398595337" w:history="1">
            <w:r w:rsidR="00226D29" w:rsidRPr="00F6512D">
              <w:rPr>
                <w:rStyle w:val="Hyperlink"/>
                <w:i/>
                <w:noProof/>
              </w:rPr>
              <w:t>Sub-Group Analyses</w:t>
            </w:r>
            <w:r w:rsidR="00226D29">
              <w:rPr>
                <w:noProof/>
                <w:webHidden/>
              </w:rPr>
              <w:tab/>
            </w:r>
            <w:r w:rsidR="00226D29">
              <w:rPr>
                <w:noProof/>
                <w:webHidden/>
              </w:rPr>
              <w:fldChar w:fldCharType="begin"/>
            </w:r>
            <w:r w:rsidR="00226D29">
              <w:rPr>
                <w:noProof/>
                <w:webHidden/>
              </w:rPr>
              <w:instrText xml:space="preserve"> PAGEREF _Toc398595337 \h </w:instrText>
            </w:r>
            <w:r w:rsidR="00226D29">
              <w:rPr>
                <w:noProof/>
                <w:webHidden/>
              </w:rPr>
            </w:r>
            <w:r w:rsidR="00226D29">
              <w:rPr>
                <w:noProof/>
                <w:webHidden/>
              </w:rPr>
              <w:fldChar w:fldCharType="separate"/>
            </w:r>
            <w:r w:rsidR="00BD7EBB">
              <w:rPr>
                <w:noProof/>
                <w:webHidden/>
              </w:rPr>
              <w:t>10</w:t>
            </w:r>
            <w:r w:rsidR="00226D29">
              <w:rPr>
                <w:noProof/>
                <w:webHidden/>
              </w:rPr>
              <w:fldChar w:fldCharType="end"/>
            </w:r>
          </w:hyperlink>
        </w:p>
        <w:p w14:paraId="210AD845" w14:textId="77777777" w:rsidR="00226D29" w:rsidRDefault="003C6C42">
          <w:pPr>
            <w:pStyle w:val="TOC3"/>
            <w:tabs>
              <w:tab w:val="right" w:leader="dot" w:pos="8290"/>
            </w:tabs>
            <w:rPr>
              <w:noProof/>
              <w:sz w:val="22"/>
              <w:szCs w:val="22"/>
            </w:rPr>
          </w:pPr>
          <w:hyperlink w:anchor="_Toc398595338" w:history="1">
            <w:r w:rsidR="00226D29" w:rsidRPr="00F6512D">
              <w:rPr>
                <w:rStyle w:val="Hyperlink"/>
                <w:i/>
                <w:noProof/>
              </w:rPr>
              <w:t>Assessing Quality of Included Studies/Risk of Bias</w:t>
            </w:r>
            <w:r w:rsidR="00226D29">
              <w:rPr>
                <w:noProof/>
                <w:webHidden/>
              </w:rPr>
              <w:tab/>
            </w:r>
            <w:r w:rsidR="00226D29">
              <w:rPr>
                <w:noProof/>
                <w:webHidden/>
              </w:rPr>
              <w:fldChar w:fldCharType="begin"/>
            </w:r>
            <w:r w:rsidR="00226D29">
              <w:rPr>
                <w:noProof/>
                <w:webHidden/>
              </w:rPr>
              <w:instrText xml:space="preserve"> PAGEREF _Toc398595338 \h </w:instrText>
            </w:r>
            <w:r w:rsidR="00226D29">
              <w:rPr>
                <w:noProof/>
                <w:webHidden/>
              </w:rPr>
            </w:r>
            <w:r w:rsidR="00226D29">
              <w:rPr>
                <w:noProof/>
                <w:webHidden/>
              </w:rPr>
              <w:fldChar w:fldCharType="separate"/>
            </w:r>
            <w:r w:rsidR="00BD7EBB">
              <w:rPr>
                <w:noProof/>
                <w:webHidden/>
              </w:rPr>
              <w:t>11</w:t>
            </w:r>
            <w:r w:rsidR="00226D29">
              <w:rPr>
                <w:noProof/>
                <w:webHidden/>
              </w:rPr>
              <w:fldChar w:fldCharType="end"/>
            </w:r>
          </w:hyperlink>
        </w:p>
        <w:p w14:paraId="38178EAE" w14:textId="77777777" w:rsidR="00226D29" w:rsidRDefault="003C6C42">
          <w:pPr>
            <w:pStyle w:val="TOC3"/>
            <w:tabs>
              <w:tab w:val="right" w:leader="dot" w:pos="8290"/>
            </w:tabs>
            <w:rPr>
              <w:noProof/>
              <w:sz w:val="22"/>
              <w:szCs w:val="22"/>
            </w:rPr>
          </w:pPr>
          <w:hyperlink w:anchor="_Toc398595339" w:history="1">
            <w:r w:rsidR="00226D29" w:rsidRPr="00F6512D">
              <w:rPr>
                <w:rStyle w:val="Hyperlink"/>
                <w:i/>
                <w:noProof/>
              </w:rPr>
              <w:t>Assessment of Quality of Evidence Across Studies</w:t>
            </w:r>
            <w:r w:rsidR="00226D29">
              <w:rPr>
                <w:noProof/>
                <w:webHidden/>
              </w:rPr>
              <w:tab/>
            </w:r>
            <w:r w:rsidR="00226D29">
              <w:rPr>
                <w:noProof/>
                <w:webHidden/>
              </w:rPr>
              <w:fldChar w:fldCharType="begin"/>
            </w:r>
            <w:r w:rsidR="00226D29">
              <w:rPr>
                <w:noProof/>
                <w:webHidden/>
              </w:rPr>
              <w:instrText xml:space="preserve"> PAGEREF _Toc398595339 \h </w:instrText>
            </w:r>
            <w:r w:rsidR="00226D29">
              <w:rPr>
                <w:noProof/>
                <w:webHidden/>
              </w:rPr>
            </w:r>
            <w:r w:rsidR="00226D29">
              <w:rPr>
                <w:noProof/>
                <w:webHidden/>
              </w:rPr>
              <w:fldChar w:fldCharType="separate"/>
            </w:r>
            <w:r w:rsidR="00BD7EBB">
              <w:rPr>
                <w:noProof/>
                <w:webHidden/>
              </w:rPr>
              <w:t>11</w:t>
            </w:r>
            <w:r w:rsidR="00226D29">
              <w:rPr>
                <w:noProof/>
                <w:webHidden/>
              </w:rPr>
              <w:fldChar w:fldCharType="end"/>
            </w:r>
          </w:hyperlink>
        </w:p>
        <w:p w14:paraId="7AC98B37" w14:textId="77777777" w:rsidR="00226D29" w:rsidRDefault="003C6C42">
          <w:pPr>
            <w:pStyle w:val="TOC1"/>
            <w:tabs>
              <w:tab w:val="right" w:leader="dot" w:pos="8290"/>
            </w:tabs>
            <w:rPr>
              <w:noProof/>
              <w:lang w:eastAsia="en-US"/>
            </w:rPr>
          </w:pPr>
          <w:hyperlink w:anchor="_Toc398595340" w:history="1">
            <w:r w:rsidR="00226D29" w:rsidRPr="00F6512D">
              <w:rPr>
                <w:rStyle w:val="Hyperlink"/>
                <w:noProof/>
              </w:rPr>
              <w:t>Ethics</w:t>
            </w:r>
            <w:r w:rsidR="00226D29">
              <w:rPr>
                <w:noProof/>
                <w:webHidden/>
              </w:rPr>
              <w:tab/>
            </w:r>
            <w:r w:rsidR="00226D29">
              <w:rPr>
                <w:noProof/>
                <w:webHidden/>
              </w:rPr>
              <w:fldChar w:fldCharType="begin"/>
            </w:r>
            <w:r w:rsidR="00226D29">
              <w:rPr>
                <w:noProof/>
                <w:webHidden/>
              </w:rPr>
              <w:instrText xml:space="preserve"> PAGEREF _Toc398595340 \h </w:instrText>
            </w:r>
            <w:r w:rsidR="00226D29">
              <w:rPr>
                <w:noProof/>
                <w:webHidden/>
              </w:rPr>
            </w:r>
            <w:r w:rsidR="00226D29">
              <w:rPr>
                <w:noProof/>
                <w:webHidden/>
              </w:rPr>
              <w:fldChar w:fldCharType="separate"/>
            </w:r>
            <w:r w:rsidR="00BD7EBB">
              <w:rPr>
                <w:noProof/>
                <w:webHidden/>
              </w:rPr>
              <w:t>11</w:t>
            </w:r>
            <w:r w:rsidR="00226D29">
              <w:rPr>
                <w:noProof/>
                <w:webHidden/>
              </w:rPr>
              <w:fldChar w:fldCharType="end"/>
            </w:r>
          </w:hyperlink>
        </w:p>
        <w:p w14:paraId="20EEAD4D" w14:textId="77777777" w:rsidR="00226D29" w:rsidRDefault="003C6C42">
          <w:pPr>
            <w:pStyle w:val="TOC2"/>
            <w:tabs>
              <w:tab w:val="right" w:leader="dot" w:pos="8290"/>
            </w:tabs>
            <w:rPr>
              <w:noProof/>
              <w:lang w:eastAsia="en-US"/>
            </w:rPr>
          </w:pPr>
          <w:hyperlink w:anchor="_Toc398595341" w:history="1">
            <w:r w:rsidR="00226D29" w:rsidRPr="00F6512D">
              <w:rPr>
                <w:rStyle w:val="Hyperlink"/>
                <w:i/>
                <w:noProof/>
              </w:rPr>
              <w:t>Risks to Subjects Included in the Study</w:t>
            </w:r>
            <w:r w:rsidR="00226D29">
              <w:rPr>
                <w:noProof/>
                <w:webHidden/>
              </w:rPr>
              <w:tab/>
            </w:r>
            <w:r w:rsidR="00226D29">
              <w:rPr>
                <w:noProof/>
                <w:webHidden/>
              </w:rPr>
              <w:fldChar w:fldCharType="begin"/>
            </w:r>
            <w:r w:rsidR="00226D29">
              <w:rPr>
                <w:noProof/>
                <w:webHidden/>
              </w:rPr>
              <w:instrText xml:space="preserve"> PAGEREF _Toc398595341 \h </w:instrText>
            </w:r>
            <w:r w:rsidR="00226D29">
              <w:rPr>
                <w:noProof/>
                <w:webHidden/>
              </w:rPr>
            </w:r>
            <w:r w:rsidR="00226D29">
              <w:rPr>
                <w:noProof/>
                <w:webHidden/>
              </w:rPr>
              <w:fldChar w:fldCharType="separate"/>
            </w:r>
            <w:r w:rsidR="00BD7EBB">
              <w:rPr>
                <w:noProof/>
                <w:webHidden/>
              </w:rPr>
              <w:t>11</w:t>
            </w:r>
            <w:r w:rsidR="00226D29">
              <w:rPr>
                <w:noProof/>
                <w:webHidden/>
              </w:rPr>
              <w:fldChar w:fldCharType="end"/>
            </w:r>
          </w:hyperlink>
        </w:p>
        <w:p w14:paraId="7F7B213C" w14:textId="77777777" w:rsidR="00226D29" w:rsidRDefault="003C6C42">
          <w:pPr>
            <w:pStyle w:val="TOC2"/>
            <w:tabs>
              <w:tab w:val="right" w:leader="dot" w:pos="8290"/>
            </w:tabs>
            <w:rPr>
              <w:noProof/>
              <w:lang w:eastAsia="en-US"/>
            </w:rPr>
          </w:pPr>
          <w:hyperlink w:anchor="_Toc398595342" w:history="1">
            <w:r w:rsidR="00226D29" w:rsidRPr="00F6512D">
              <w:rPr>
                <w:rStyle w:val="Hyperlink"/>
                <w:i/>
                <w:noProof/>
              </w:rPr>
              <w:t>Benefit to Subjects Included in Study</w:t>
            </w:r>
            <w:r w:rsidR="00226D29">
              <w:rPr>
                <w:noProof/>
                <w:webHidden/>
              </w:rPr>
              <w:tab/>
            </w:r>
            <w:r w:rsidR="00226D29">
              <w:rPr>
                <w:noProof/>
                <w:webHidden/>
              </w:rPr>
              <w:fldChar w:fldCharType="begin"/>
            </w:r>
            <w:r w:rsidR="00226D29">
              <w:rPr>
                <w:noProof/>
                <w:webHidden/>
              </w:rPr>
              <w:instrText xml:space="preserve"> PAGEREF _Toc398595342 \h </w:instrText>
            </w:r>
            <w:r w:rsidR="00226D29">
              <w:rPr>
                <w:noProof/>
                <w:webHidden/>
              </w:rPr>
            </w:r>
            <w:r w:rsidR="00226D29">
              <w:rPr>
                <w:noProof/>
                <w:webHidden/>
              </w:rPr>
              <w:fldChar w:fldCharType="separate"/>
            </w:r>
            <w:r w:rsidR="00BD7EBB">
              <w:rPr>
                <w:noProof/>
                <w:webHidden/>
              </w:rPr>
              <w:t>12</w:t>
            </w:r>
            <w:r w:rsidR="00226D29">
              <w:rPr>
                <w:noProof/>
                <w:webHidden/>
              </w:rPr>
              <w:fldChar w:fldCharType="end"/>
            </w:r>
          </w:hyperlink>
        </w:p>
        <w:p w14:paraId="31B6F8D4" w14:textId="77777777" w:rsidR="00226D29" w:rsidRDefault="003C6C42">
          <w:pPr>
            <w:pStyle w:val="TOC1"/>
            <w:tabs>
              <w:tab w:val="right" w:leader="dot" w:pos="8290"/>
            </w:tabs>
            <w:rPr>
              <w:noProof/>
              <w:lang w:eastAsia="en-US"/>
            </w:rPr>
          </w:pPr>
          <w:hyperlink w:anchor="_Toc398595343" w:history="1">
            <w:r w:rsidR="00226D29" w:rsidRPr="00F6512D">
              <w:rPr>
                <w:rStyle w:val="Hyperlink"/>
                <w:noProof/>
              </w:rPr>
              <w:t>Scope of Work</w:t>
            </w:r>
            <w:r w:rsidR="00226D29">
              <w:rPr>
                <w:noProof/>
                <w:webHidden/>
              </w:rPr>
              <w:tab/>
            </w:r>
            <w:r w:rsidR="00226D29">
              <w:rPr>
                <w:noProof/>
                <w:webHidden/>
              </w:rPr>
              <w:fldChar w:fldCharType="begin"/>
            </w:r>
            <w:r w:rsidR="00226D29">
              <w:rPr>
                <w:noProof/>
                <w:webHidden/>
              </w:rPr>
              <w:instrText xml:space="preserve"> PAGEREF _Toc398595343 \h </w:instrText>
            </w:r>
            <w:r w:rsidR="00226D29">
              <w:rPr>
                <w:noProof/>
                <w:webHidden/>
              </w:rPr>
            </w:r>
            <w:r w:rsidR="00226D29">
              <w:rPr>
                <w:noProof/>
                <w:webHidden/>
              </w:rPr>
              <w:fldChar w:fldCharType="separate"/>
            </w:r>
            <w:r w:rsidR="00BD7EBB">
              <w:rPr>
                <w:noProof/>
                <w:webHidden/>
              </w:rPr>
              <w:t>12</w:t>
            </w:r>
            <w:r w:rsidR="00226D29">
              <w:rPr>
                <w:noProof/>
                <w:webHidden/>
              </w:rPr>
              <w:fldChar w:fldCharType="end"/>
            </w:r>
          </w:hyperlink>
        </w:p>
        <w:p w14:paraId="5374A46C" w14:textId="77777777" w:rsidR="00226D29" w:rsidRDefault="003C6C42">
          <w:pPr>
            <w:pStyle w:val="TOC1"/>
            <w:tabs>
              <w:tab w:val="right" w:leader="dot" w:pos="8290"/>
            </w:tabs>
            <w:rPr>
              <w:noProof/>
              <w:lang w:eastAsia="en-US"/>
            </w:rPr>
          </w:pPr>
          <w:hyperlink w:anchor="_Toc398595344" w:history="1">
            <w:r w:rsidR="00226D29" w:rsidRPr="00F6512D">
              <w:rPr>
                <w:rStyle w:val="Hyperlink"/>
                <w:noProof/>
              </w:rPr>
              <w:t>References</w:t>
            </w:r>
            <w:r w:rsidR="00226D29">
              <w:rPr>
                <w:noProof/>
                <w:webHidden/>
              </w:rPr>
              <w:tab/>
            </w:r>
            <w:r w:rsidR="00226D29">
              <w:rPr>
                <w:noProof/>
                <w:webHidden/>
              </w:rPr>
              <w:fldChar w:fldCharType="begin"/>
            </w:r>
            <w:r w:rsidR="00226D29">
              <w:rPr>
                <w:noProof/>
                <w:webHidden/>
              </w:rPr>
              <w:instrText xml:space="preserve"> PAGEREF _Toc398595344 \h </w:instrText>
            </w:r>
            <w:r w:rsidR="00226D29">
              <w:rPr>
                <w:noProof/>
                <w:webHidden/>
              </w:rPr>
            </w:r>
            <w:r w:rsidR="00226D29">
              <w:rPr>
                <w:noProof/>
                <w:webHidden/>
              </w:rPr>
              <w:fldChar w:fldCharType="separate"/>
            </w:r>
            <w:r w:rsidR="00BD7EBB">
              <w:rPr>
                <w:noProof/>
                <w:webHidden/>
              </w:rPr>
              <w:t>13</w:t>
            </w:r>
            <w:r w:rsidR="00226D29">
              <w:rPr>
                <w:noProof/>
                <w:webHidden/>
              </w:rPr>
              <w:fldChar w:fldCharType="end"/>
            </w:r>
          </w:hyperlink>
        </w:p>
        <w:p w14:paraId="3CD4A10C" w14:textId="77777777" w:rsidR="00226D29" w:rsidRDefault="003C6C42">
          <w:pPr>
            <w:pStyle w:val="TOC1"/>
            <w:tabs>
              <w:tab w:val="right" w:leader="dot" w:pos="8290"/>
            </w:tabs>
            <w:rPr>
              <w:noProof/>
              <w:lang w:eastAsia="en-US"/>
            </w:rPr>
          </w:pPr>
          <w:hyperlink w:anchor="_Toc398595345" w:history="1">
            <w:r w:rsidR="00226D29" w:rsidRPr="00F6512D">
              <w:rPr>
                <w:rStyle w:val="Hyperlink"/>
                <w:noProof/>
              </w:rPr>
              <w:t>Appendix A: Study Objectives within PICO format</w:t>
            </w:r>
            <w:r w:rsidR="00226D29">
              <w:rPr>
                <w:noProof/>
                <w:webHidden/>
              </w:rPr>
              <w:tab/>
            </w:r>
            <w:r w:rsidR="00226D29">
              <w:rPr>
                <w:noProof/>
                <w:webHidden/>
              </w:rPr>
              <w:fldChar w:fldCharType="begin"/>
            </w:r>
            <w:r w:rsidR="00226D29">
              <w:rPr>
                <w:noProof/>
                <w:webHidden/>
              </w:rPr>
              <w:instrText xml:space="preserve"> PAGEREF _Toc398595345 \h </w:instrText>
            </w:r>
            <w:r w:rsidR="00226D29">
              <w:rPr>
                <w:noProof/>
                <w:webHidden/>
              </w:rPr>
            </w:r>
            <w:r w:rsidR="00226D29">
              <w:rPr>
                <w:noProof/>
                <w:webHidden/>
              </w:rPr>
              <w:fldChar w:fldCharType="separate"/>
            </w:r>
            <w:r w:rsidR="00BD7EBB">
              <w:rPr>
                <w:noProof/>
                <w:webHidden/>
              </w:rPr>
              <w:t>15</w:t>
            </w:r>
            <w:r w:rsidR="00226D29">
              <w:rPr>
                <w:noProof/>
                <w:webHidden/>
              </w:rPr>
              <w:fldChar w:fldCharType="end"/>
            </w:r>
          </w:hyperlink>
        </w:p>
        <w:p w14:paraId="44330CB8" w14:textId="77777777" w:rsidR="00226D29" w:rsidRDefault="003C6C42">
          <w:pPr>
            <w:pStyle w:val="TOC1"/>
            <w:tabs>
              <w:tab w:val="right" w:leader="dot" w:pos="8290"/>
            </w:tabs>
            <w:rPr>
              <w:noProof/>
              <w:lang w:eastAsia="en-US"/>
            </w:rPr>
          </w:pPr>
          <w:hyperlink w:anchor="_Toc398595346" w:history="1">
            <w:r w:rsidR="00226D29" w:rsidRPr="00F6512D">
              <w:rPr>
                <w:rStyle w:val="Hyperlink"/>
                <w:noProof/>
              </w:rPr>
              <w:t>Appendix B: Definitions for Study Classifications</w:t>
            </w:r>
            <w:r w:rsidR="00226D29">
              <w:rPr>
                <w:noProof/>
                <w:webHidden/>
              </w:rPr>
              <w:tab/>
            </w:r>
            <w:r w:rsidR="00226D29">
              <w:rPr>
                <w:noProof/>
                <w:webHidden/>
              </w:rPr>
              <w:fldChar w:fldCharType="begin"/>
            </w:r>
            <w:r w:rsidR="00226D29">
              <w:rPr>
                <w:noProof/>
                <w:webHidden/>
              </w:rPr>
              <w:instrText xml:space="preserve"> PAGEREF _Toc398595346 \h </w:instrText>
            </w:r>
            <w:r w:rsidR="00226D29">
              <w:rPr>
                <w:noProof/>
                <w:webHidden/>
              </w:rPr>
            </w:r>
            <w:r w:rsidR="00226D29">
              <w:rPr>
                <w:noProof/>
                <w:webHidden/>
              </w:rPr>
              <w:fldChar w:fldCharType="separate"/>
            </w:r>
            <w:r w:rsidR="00BD7EBB">
              <w:rPr>
                <w:noProof/>
                <w:webHidden/>
              </w:rPr>
              <w:t>16</w:t>
            </w:r>
            <w:r w:rsidR="00226D29">
              <w:rPr>
                <w:noProof/>
                <w:webHidden/>
              </w:rPr>
              <w:fldChar w:fldCharType="end"/>
            </w:r>
          </w:hyperlink>
        </w:p>
        <w:p w14:paraId="757BD3FE" w14:textId="77777777" w:rsidR="00226D29" w:rsidRDefault="003C6C42">
          <w:pPr>
            <w:pStyle w:val="TOC1"/>
            <w:tabs>
              <w:tab w:val="right" w:leader="dot" w:pos="8290"/>
            </w:tabs>
            <w:rPr>
              <w:noProof/>
              <w:lang w:eastAsia="en-US"/>
            </w:rPr>
          </w:pPr>
          <w:hyperlink w:anchor="_Toc398595347" w:history="1">
            <w:r w:rsidR="00226D29" w:rsidRPr="00F6512D">
              <w:rPr>
                <w:rStyle w:val="Hyperlink"/>
                <w:noProof/>
              </w:rPr>
              <w:t>Appendix C: General Information from Each Reporting Site/Centre</w:t>
            </w:r>
            <w:r w:rsidR="00226D29">
              <w:rPr>
                <w:noProof/>
                <w:webHidden/>
              </w:rPr>
              <w:tab/>
            </w:r>
            <w:r w:rsidR="00226D29">
              <w:rPr>
                <w:noProof/>
                <w:webHidden/>
              </w:rPr>
              <w:fldChar w:fldCharType="begin"/>
            </w:r>
            <w:r w:rsidR="00226D29">
              <w:rPr>
                <w:noProof/>
                <w:webHidden/>
              </w:rPr>
              <w:instrText xml:space="preserve"> PAGEREF _Toc398595347 \h </w:instrText>
            </w:r>
            <w:r w:rsidR="00226D29">
              <w:rPr>
                <w:noProof/>
                <w:webHidden/>
              </w:rPr>
            </w:r>
            <w:r w:rsidR="00226D29">
              <w:rPr>
                <w:noProof/>
                <w:webHidden/>
              </w:rPr>
              <w:fldChar w:fldCharType="separate"/>
            </w:r>
            <w:r w:rsidR="00BD7EBB">
              <w:rPr>
                <w:noProof/>
                <w:webHidden/>
              </w:rPr>
              <w:t>18</w:t>
            </w:r>
            <w:r w:rsidR="00226D29">
              <w:rPr>
                <w:noProof/>
                <w:webHidden/>
              </w:rPr>
              <w:fldChar w:fldCharType="end"/>
            </w:r>
          </w:hyperlink>
        </w:p>
        <w:p w14:paraId="2A80BFB8" w14:textId="77777777" w:rsidR="00226D29" w:rsidRDefault="003C6C42">
          <w:pPr>
            <w:pStyle w:val="TOC1"/>
            <w:tabs>
              <w:tab w:val="right" w:leader="dot" w:pos="8290"/>
            </w:tabs>
            <w:rPr>
              <w:noProof/>
              <w:lang w:eastAsia="en-US"/>
            </w:rPr>
          </w:pPr>
          <w:hyperlink w:anchor="_Toc398595348" w:history="1">
            <w:r w:rsidR="00226D29" w:rsidRPr="00F6512D">
              <w:rPr>
                <w:rStyle w:val="Hyperlink"/>
                <w:noProof/>
              </w:rPr>
              <w:t>Appendix D: Information for Each Patient</w:t>
            </w:r>
            <w:r w:rsidR="00226D29">
              <w:rPr>
                <w:noProof/>
                <w:webHidden/>
              </w:rPr>
              <w:tab/>
            </w:r>
            <w:r w:rsidR="00226D29">
              <w:rPr>
                <w:noProof/>
                <w:webHidden/>
              </w:rPr>
              <w:fldChar w:fldCharType="begin"/>
            </w:r>
            <w:r w:rsidR="00226D29">
              <w:rPr>
                <w:noProof/>
                <w:webHidden/>
              </w:rPr>
              <w:instrText xml:space="preserve"> PAGEREF _Toc398595348 \h </w:instrText>
            </w:r>
            <w:r w:rsidR="00226D29">
              <w:rPr>
                <w:noProof/>
                <w:webHidden/>
              </w:rPr>
            </w:r>
            <w:r w:rsidR="00226D29">
              <w:rPr>
                <w:noProof/>
                <w:webHidden/>
              </w:rPr>
              <w:fldChar w:fldCharType="separate"/>
            </w:r>
            <w:r w:rsidR="00BD7EBB">
              <w:rPr>
                <w:noProof/>
                <w:webHidden/>
              </w:rPr>
              <w:t>19</w:t>
            </w:r>
            <w:r w:rsidR="00226D29">
              <w:rPr>
                <w:noProof/>
                <w:webHidden/>
              </w:rPr>
              <w:fldChar w:fldCharType="end"/>
            </w:r>
          </w:hyperlink>
        </w:p>
        <w:p w14:paraId="17553C88" w14:textId="45CD48D9" w:rsidR="00200C4E" w:rsidRDefault="00200C4E">
          <w:r>
            <w:rPr>
              <w:b/>
              <w:bCs/>
              <w:noProof/>
            </w:rPr>
            <w:fldChar w:fldCharType="end"/>
          </w:r>
        </w:p>
      </w:sdtContent>
    </w:sdt>
    <w:p w14:paraId="6EB4B42D" w14:textId="2847C6D8" w:rsidR="00D11B8C" w:rsidRDefault="00D11B8C">
      <w:pPr>
        <w:rPr>
          <w:b/>
        </w:rPr>
      </w:pPr>
    </w:p>
    <w:p w14:paraId="647B41FD" w14:textId="77777777" w:rsidR="00D11B8C" w:rsidRPr="00200C4E" w:rsidRDefault="00D11B8C" w:rsidP="00200C4E">
      <w:pPr>
        <w:pStyle w:val="Heading1"/>
        <w:rPr>
          <w:rFonts w:asciiTheme="minorHAnsi" w:hAnsiTheme="minorHAnsi"/>
          <w:sz w:val="24"/>
          <w:szCs w:val="24"/>
        </w:rPr>
      </w:pPr>
      <w:bookmarkStart w:id="1" w:name="_Toc398595318"/>
      <w:r w:rsidRPr="00200C4E">
        <w:rPr>
          <w:rFonts w:asciiTheme="minorHAnsi" w:hAnsiTheme="minorHAnsi"/>
          <w:sz w:val="24"/>
          <w:szCs w:val="24"/>
        </w:rPr>
        <w:lastRenderedPageBreak/>
        <w:t>List of Abbreviations</w:t>
      </w:r>
      <w:bookmarkEnd w:id="1"/>
      <w:r w:rsidRPr="00200C4E">
        <w:rPr>
          <w:rFonts w:asciiTheme="minorHAnsi" w:hAnsiTheme="minorHAnsi"/>
          <w:sz w:val="24"/>
          <w:szCs w:val="24"/>
        </w:rPr>
        <w:t xml:space="preserve"> </w:t>
      </w:r>
    </w:p>
    <w:p w14:paraId="634E0E2E" w14:textId="77777777" w:rsidR="00D11B8C" w:rsidRDefault="00D11B8C">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58"/>
      </w:tblGrid>
      <w:tr w:rsidR="00D11B8C" w14:paraId="15704E9E" w14:textId="77777777" w:rsidTr="00577A36">
        <w:trPr>
          <w:trHeight w:val="252"/>
        </w:trPr>
        <w:tc>
          <w:tcPr>
            <w:tcW w:w="4258" w:type="dxa"/>
          </w:tcPr>
          <w:p w14:paraId="55696A7B" w14:textId="226848CC" w:rsidR="00DA7985" w:rsidRPr="00330167" w:rsidRDefault="00056CEC" w:rsidP="00330167">
            <w:r>
              <w:t>AFB</w:t>
            </w:r>
          </w:p>
        </w:tc>
        <w:tc>
          <w:tcPr>
            <w:tcW w:w="4258" w:type="dxa"/>
          </w:tcPr>
          <w:p w14:paraId="4826D96F" w14:textId="62300FBD" w:rsidR="00DA7985" w:rsidRPr="00330167" w:rsidRDefault="00FE188D" w:rsidP="00FE188D">
            <w:r>
              <w:t>Acid-</w:t>
            </w:r>
            <w:r w:rsidR="00056CEC">
              <w:t>fast bacilli</w:t>
            </w:r>
          </w:p>
        </w:tc>
      </w:tr>
      <w:tr w:rsidR="00330167" w14:paraId="230B4DF3" w14:textId="77777777" w:rsidTr="00577A36">
        <w:trPr>
          <w:trHeight w:val="240"/>
        </w:trPr>
        <w:tc>
          <w:tcPr>
            <w:tcW w:w="4258" w:type="dxa"/>
          </w:tcPr>
          <w:p w14:paraId="1D939C79" w14:textId="1F696733" w:rsidR="00330167" w:rsidRDefault="00330167" w:rsidP="00330167">
            <w:r>
              <w:t>ART</w:t>
            </w:r>
          </w:p>
        </w:tc>
        <w:tc>
          <w:tcPr>
            <w:tcW w:w="4258" w:type="dxa"/>
          </w:tcPr>
          <w:p w14:paraId="42E695BD" w14:textId="68D8AE7C" w:rsidR="00330167" w:rsidRDefault="00330167" w:rsidP="00FE188D">
            <w:r>
              <w:t>Antiretroviral treatment</w:t>
            </w:r>
          </w:p>
        </w:tc>
      </w:tr>
      <w:tr w:rsidR="00330167" w14:paraId="42E556BF" w14:textId="77777777" w:rsidTr="00577A36">
        <w:trPr>
          <w:trHeight w:val="312"/>
        </w:trPr>
        <w:tc>
          <w:tcPr>
            <w:tcW w:w="4258" w:type="dxa"/>
          </w:tcPr>
          <w:p w14:paraId="4A4AB154" w14:textId="7C32248D" w:rsidR="00330167" w:rsidRDefault="00330167" w:rsidP="00330167">
            <w:r>
              <w:t>DOT</w:t>
            </w:r>
          </w:p>
        </w:tc>
        <w:tc>
          <w:tcPr>
            <w:tcW w:w="4258" w:type="dxa"/>
          </w:tcPr>
          <w:p w14:paraId="2E81C167" w14:textId="3A628600" w:rsidR="00330167" w:rsidRDefault="00330167" w:rsidP="00DA7985">
            <w:r>
              <w:t>Directly observed therapy</w:t>
            </w:r>
          </w:p>
        </w:tc>
      </w:tr>
      <w:tr w:rsidR="00330167" w14:paraId="416D6339" w14:textId="77777777" w:rsidTr="00577A36">
        <w:trPr>
          <w:trHeight w:val="324"/>
        </w:trPr>
        <w:tc>
          <w:tcPr>
            <w:tcW w:w="4258" w:type="dxa"/>
          </w:tcPr>
          <w:p w14:paraId="222395A4" w14:textId="1734F48D" w:rsidR="00330167" w:rsidRDefault="00330167" w:rsidP="00330167">
            <w:r>
              <w:t>DST</w:t>
            </w:r>
          </w:p>
        </w:tc>
        <w:tc>
          <w:tcPr>
            <w:tcW w:w="4258" w:type="dxa"/>
          </w:tcPr>
          <w:p w14:paraId="4A307E62" w14:textId="29C8B980" w:rsidR="00330167" w:rsidRDefault="00330167" w:rsidP="00DA7985">
            <w:r>
              <w:t>Drug susceptibility testing</w:t>
            </w:r>
          </w:p>
        </w:tc>
      </w:tr>
      <w:tr w:rsidR="00330167" w14:paraId="1EAEAC9B" w14:textId="77777777" w:rsidTr="00577A36">
        <w:trPr>
          <w:trHeight w:val="279"/>
        </w:trPr>
        <w:tc>
          <w:tcPr>
            <w:tcW w:w="4258" w:type="dxa"/>
          </w:tcPr>
          <w:p w14:paraId="18D7F319" w14:textId="46B8222C" w:rsidR="00330167" w:rsidRDefault="00330167" w:rsidP="00330167">
            <w:r>
              <w:t>DR-TB</w:t>
            </w:r>
          </w:p>
        </w:tc>
        <w:tc>
          <w:tcPr>
            <w:tcW w:w="4258" w:type="dxa"/>
          </w:tcPr>
          <w:p w14:paraId="2F95BE34" w14:textId="56ECD9F7" w:rsidR="00330167" w:rsidRDefault="00330167" w:rsidP="00DA7985">
            <w:r>
              <w:t>Drug-resistant tuberculosis</w:t>
            </w:r>
          </w:p>
        </w:tc>
      </w:tr>
      <w:tr w:rsidR="00330167" w14:paraId="53F2463E" w14:textId="77777777" w:rsidTr="00577A36">
        <w:trPr>
          <w:trHeight w:val="310"/>
        </w:trPr>
        <w:tc>
          <w:tcPr>
            <w:tcW w:w="4258" w:type="dxa"/>
          </w:tcPr>
          <w:p w14:paraId="0717AA49" w14:textId="7027F16C" w:rsidR="00330167" w:rsidRDefault="00330167" w:rsidP="00330167">
            <w:r>
              <w:t>EML</w:t>
            </w:r>
          </w:p>
        </w:tc>
        <w:tc>
          <w:tcPr>
            <w:tcW w:w="4258" w:type="dxa"/>
          </w:tcPr>
          <w:p w14:paraId="31EC5E81" w14:textId="7A6C4C04" w:rsidR="00330167" w:rsidRDefault="00330167" w:rsidP="00DA7985">
            <w:r>
              <w:t>Essential Medicines List</w:t>
            </w:r>
          </w:p>
        </w:tc>
      </w:tr>
      <w:tr w:rsidR="00330167" w14:paraId="36101B13" w14:textId="77777777" w:rsidTr="00577A36">
        <w:trPr>
          <w:trHeight w:val="268"/>
        </w:trPr>
        <w:tc>
          <w:tcPr>
            <w:tcW w:w="4258" w:type="dxa"/>
          </w:tcPr>
          <w:p w14:paraId="70797C52" w14:textId="6E6693BC" w:rsidR="00330167" w:rsidRDefault="00330167" w:rsidP="00330167">
            <w:r>
              <w:t>HIV</w:t>
            </w:r>
          </w:p>
        </w:tc>
        <w:tc>
          <w:tcPr>
            <w:tcW w:w="4258" w:type="dxa"/>
          </w:tcPr>
          <w:p w14:paraId="7FA3480D" w14:textId="0E2CB817" w:rsidR="00330167" w:rsidRDefault="00330167" w:rsidP="00DA7985">
            <w:r>
              <w:t>Human immunodeficiency virus</w:t>
            </w:r>
          </w:p>
        </w:tc>
      </w:tr>
      <w:tr w:rsidR="00330167" w14:paraId="7BEA847F" w14:textId="77777777" w:rsidTr="00577A36">
        <w:trPr>
          <w:trHeight w:val="288"/>
        </w:trPr>
        <w:tc>
          <w:tcPr>
            <w:tcW w:w="4258" w:type="dxa"/>
          </w:tcPr>
          <w:p w14:paraId="42AFF3A0" w14:textId="58E1C9C7" w:rsidR="00330167" w:rsidRDefault="00330167" w:rsidP="00330167">
            <w:r>
              <w:t>INH</w:t>
            </w:r>
          </w:p>
        </w:tc>
        <w:tc>
          <w:tcPr>
            <w:tcW w:w="4258" w:type="dxa"/>
          </w:tcPr>
          <w:p w14:paraId="73220A1A" w14:textId="12374787" w:rsidR="00330167" w:rsidRDefault="00330167" w:rsidP="00DA7985">
            <w:r>
              <w:t>Isoniazid</w:t>
            </w:r>
          </w:p>
        </w:tc>
      </w:tr>
      <w:tr w:rsidR="00330167" w14:paraId="6C3B75FB" w14:textId="77777777" w:rsidTr="00577A36">
        <w:trPr>
          <w:trHeight w:val="276"/>
        </w:trPr>
        <w:tc>
          <w:tcPr>
            <w:tcW w:w="4258" w:type="dxa"/>
          </w:tcPr>
          <w:p w14:paraId="14FF3E13" w14:textId="6BBCAB6D" w:rsidR="00330167" w:rsidRDefault="00330167" w:rsidP="00330167">
            <w:r>
              <w:t>IPD</w:t>
            </w:r>
          </w:p>
        </w:tc>
        <w:tc>
          <w:tcPr>
            <w:tcW w:w="4258" w:type="dxa"/>
          </w:tcPr>
          <w:p w14:paraId="1EFD087D" w14:textId="1A718132" w:rsidR="00330167" w:rsidRDefault="00330167" w:rsidP="00DA7985">
            <w:r>
              <w:t>Individual patient data</w:t>
            </w:r>
          </w:p>
        </w:tc>
      </w:tr>
      <w:tr w:rsidR="00330167" w14:paraId="568AF4CD" w14:textId="77777777" w:rsidTr="00577A36">
        <w:trPr>
          <w:trHeight w:val="288"/>
        </w:trPr>
        <w:tc>
          <w:tcPr>
            <w:tcW w:w="4258" w:type="dxa"/>
          </w:tcPr>
          <w:p w14:paraId="5BC16193" w14:textId="2C493B1B" w:rsidR="00330167" w:rsidRDefault="00330167" w:rsidP="00330167">
            <w:r>
              <w:t>MDR-TB</w:t>
            </w:r>
          </w:p>
        </w:tc>
        <w:tc>
          <w:tcPr>
            <w:tcW w:w="4258" w:type="dxa"/>
          </w:tcPr>
          <w:p w14:paraId="24C9388B" w14:textId="1CC8FC07" w:rsidR="00330167" w:rsidRDefault="00330167" w:rsidP="00DA7985">
            <w:r>
              <w:t>Multidrug-resistant tuberculosis</w:t>
            </w:r>
          </w:p>
        </w:tc>
      </w:tr>
      <w:tr w:rsidR="00426D86" w14:paraId="4EDE4AE7" w14:textId="77777777" w:rsidTr="00577A36">
        <w:trPr>
          <w:trHeight w:val="288"/>
        </w:trPr>
        <w:tc>
          <w:tcPr>
            <w:tcW w:w="4258" w:type="dxa"/>
          </w:tcPr>
          <w:p w14:paraId="33C58C17" w14:textId="47A668DA" w:rsidR="00426D86" w:rsidRDefault="00426D86" w:rsidP="00330167">
            <w:r>
              <w:t>MTB</w:t>
            </w:r>
          </w:p>
        </w:tc>
        <w:tc>
          <w:tcPr>
            <w:tcW w:w="4258" w:type="dxa"/>
          </w:tcPr>
          <w:p w14:paraId="3C9C2FB0" w14:textId="56115E6B" w:rsidR="00426D86" w:rsidRDefault="00426D86" w:rsidP="00DA7985">
            <w:r>
              <w:t>Mycobacterium tuberculosis</w:t>
            </w:r>
          </w:p>
        </w:tc>
      </w:tr>
      <w:tr w:rsidR="00330167" w14:paraId="06DBF79A" w14:textId="77777777" w:rsidTr="00577A36">
        <w:trPr>
          <w:trHeight w:val="312"/>
        </w:trPr>
        <w:tc>
          <w:tcPr>
            <w:tcW w:w="4258" w:type="dxa"/>
          </w:tcPr>
          <w:p w14:paraId="40BC5581" w14:textId="6B7BE904" w:rsidR="00330167" w:rsidRDefault="00330167" w:rsidP="00330167">
            <w:r>
              <w:t>MUAC</w:t>
            </w:r>
          </w:p>
        </w:tc>
        <w:tc>
          <w:tcPr>
            <w:tcW w:w="4258" w:type="dxa"/>
          </w:tcPr>
          <w:p w14:paraId="14291374" w14:textId="1D8CF96C" w:rsidR="00330167" w:rsidRDefault="00330167" w:rsidP="00DA7985">
            <w:r>
              <w:t>Mid-upper arm circumference</w:t>
            </w:r>
          </w:p>
        </w:tc>
      </w:tr>
      <w:tr w:rsidR="00330167" w14:paraId="14F9AAA7" w14:textId="77777777" w:rsidTr="00577A36">
        <w:trPr>
          <w:trHeight w:val="290"/>
        </w:trPr>
        <w:tc>
          <w:tcPr>
            <w:tcW w:w="4258" w:type="dxa"/>
          </w:tcPr>
          <w:p w14:paraId="396E02B0" w14:textId="595A46FD" w:rsidR="00330167" w:rsidRDefault="00330167" w:rsidP="00330167">
            <w:r>
              <w:t>PK</w:t>
            </w:r>
          </w:p>
        </w:tc>
        <w:tc>
          <w:tcPr>
            <w:tcW w:w="4258" w:type="dxa"/>
          </w:tcPr>
          <w:p w14:paraId="4C69E16B" w14:textId="691D1C24" w:rsidR="00330167" w:rsidRDefault="00330167" w:rsidP="00DA7985">
            <w:r>
              <w:t>Pharmacokinetics</w:t>
            </w:r>
          </w:p>
        </w:tc>
      </w:tr>
      <w:tr w:rsidR="00330167" w14:paraId="721D1604" w14:textId="77777777" w:rsidTr="00577A36">
        <w:trPr>
          <w:trHeight w:val="564"/>
        </w:trPr>
        <w:tc>
          <w:tcPr>
            <w:tcW w:w="4258" w:type="dxa"/>
          </w:tcPr>
          <w:p w14:paraId="7F02A15B" w14:textId="77777777" w:rsidR="00330167" w:rsidRDefault="00330167">
            <w:r>
              <w:t>PICO</w:t>
            </w:r>
          </w:p>
          <w:p w14:paraId="3C8738DD" w14:textId="53C8E98F" w:rsidR="00330167" w:rsidRDefault="00330167" w:rsidP="00330167"/>
        </w:tc>
        <w:tc>
          <w:tcPr>
            <w:tcW w:w="4258" w:type="dxa"/>
          </w:tcPr>
          <w:p w14:paraId="2A9D5D9D" w14:textId="48153A99" w:rsidR="00330167" w:rsidRDefault="00330167" w:rsidP="00DA7985">
            <w:r w:rsidRPr="00330167">
              <w:t>Population and</w:t>
            </w:r>
            <w:r>
              <w:t xml:space="preserve"> </w:t>
            </w:r>
            <w:r w:rsidRPr="00330167">
              <w:t>Patients/</w:t>
            </w:r>
            <w:r>
              <w:t xml:space="preserve"> </w:t>
            </w:r>
            <w:r w:rsidRPr="00330167">
              <w:t>Intervention/Comparator/Outcome</w:t>
            </w:r>
          </w:p>
        </w:tc>
      </w:tr>
      <w:tr w:rsidR="00330167" w14:paraId="57A3FE92" w14:textId="77777777" w:rsidTr="00577A36">
        <w:trPr>
          <w:trHeight w:val="252"/>
        </w:trPr>
        <w:tc>
          <w:tcPr>
            <w:tcW w:w="4258" w:type="dxa"/>
          </w:tcPr>
          <w:p w14:paraId="09D3B784" w14:textId="7045B105" w:rsidR="00330167" w:rsidRDefault="00330167" w:rsidP="00330167">
            <w:r>
              <w:t>RMR</w:t>
            </w:r>
          </w:p>
        </w:tc>
        <w:tc>
          <w:tcPr>
            <w:tcW w:w="4258" w:type="dxa"/>
          </w:tcPr>
          <w:p w14:paraId="1A33FE00" w14:textId="53933F9E" w:rsidR="00330167" w:rsidRPr="00330167" w:rsidRDefault="00330167" w:rsidP="00DA7985">
            <w:r>
              <w:t>Rifampicin-</w:t>
            </w:r>
            <w:proofErr w:type="spellStart"/>
            <w:r>
              <w:t>monoresistant</w:t>
            </w:r>
            <w:proofErr w:type="spellEnd"/>
          </w:p>
        </w:tc>
      </w:tr>
      <w:tr w:rsidR="00330167" w14:paraId="6C79A092" w14:textId="77777777" w:rsidTr="00577A36">
        <w:trPr>
          <w:trHeight w:val="288"/>
        </w:trPr>
        <w:tc>
          <w:tcPr>
            <w:tcW w:w="4258" w:type="dxa"/>
          </w:tcPr>
          <w:p w14:paraId="61B311DE" w14:textId="6E484086" w:rsidR="00330167" w:rsidRDefault="00330167" w:rsidP="00330167">
            <w:r>
              <w:t>TB</w:t>
            </w:r>
          </w:p>
        </w:tc>
        <w:tc>
          <w:tcPr>
            <w:tcW w:w="4258" w:type="dxa"/>
          </w:tcPr>
          <w:p w14:paraId="2DC15228" w14:textId="0A2A05C9" w:rsidR="00330167" w:rsidRDefault="00330167" w:rsidP="00DA7985">
            <w:r>
              <w:t>Tuberculosis</w:t>
            </w:r>
          </w:p>
        </w:tc>
      </w:tr>
      <w:tr w:rsidR="00330167" w14:paraId="4288C063" w14:textId="77777777" w:rsidTr="00577A36">
        <w:trPr>
          <w:trHeight w:val="300"/>
        </w:trPr>
        <w:tc>
          <w:tcPr>
            <w:tcW w:w="4258" w:type="dxa"/>
          </w:tcPr>
          <w:p w14:paraId="7FA16C56" w14:textId="0FCA1B63" w:rsidR="00330167" w:rsidRDefault="00330167" w:rsidP="00330167">
            <w:r>
              <w:t>WHO</w:t>
            </w:r>
          </w:p>
        </w:tc>
        <w:tc>
          <w:tcPr>
            <w:tcW w:w="4258" w:type="dxa"/>
          </w:tcPr>
          <w:p w14:paraId="6EC62510" w14:textId="1D680B97" w:rsidR="00330167" w:rsidRDefault="00330167" w:rsidP="00DA7985">
            <w:r>
              <w:t>World Health Organization</w:t>
            </w:r>
          </w:p>
        </w:tc>
      </w:tr>
      <w:tr w:rsidR="00330167" w14:paraId="0DC2AF37" w14:textId="77777777" w:rsidTr="00577A36">
        <w:trPr>
          <w:trHeight w:val="252"/>
        </w:trPr>
        <w:tc>
          <w:tcPr>
            <w:tcW w:w="4258" w:type="dxa"/>
          </w:tcPr>
          <w:p w14:paraId="44297F0E" w14:textId="156CF39A" w:rsidR="00330167" w:rsidRDefault="00330167" w:rsidP="00330167">
            <w:r>
              <w:t>XDR-TB</w:t>
            </w:r>
          </w:p>
        </w:tc>
        <w:tc>
          <w:tcPr>
            <w:tcW w:w="4258" w:type="dxa"/>
          </w:tcPr>
          <w:p w14:paraId="06FC07C4" w14:textId="5BAAA94E" w:rsidR="00330167" w:rsidRDefault="00330167" w:rsidP="00FE188D">
            <w:r>
              <w:t xml:space="preserve">Extensively </w:t>
            </w:r>
            <w:r w:rsidR="00FE188D">
              <w:t>drug-</w:t>
            </w:r>
            <w:r>
              <w:t>resistant tuberculosis</w:t>
            </w:r>
          </w:p>
        </w:tc>
      </w:tr>
    </w:tbl>
    <w:p w14:paraId="1EEDDB83" w14:textId="0F0323EA" w:rsidR="00D11B8C" w:rsidRPr="00330167" w:rsidRDefault="00D11B8C">
      <w:r w:rsidRPr="00330167">
        <w:br w:type="page"/>
      </w:r>
    </w:p>
    <w:p w14:paraId="3EA4A77A" w14:textId="18DC34F9" w:rsidR="003E1BFD" w:rsidRPr="00200C4E" w:rsidRDefault="003E1BFD" w:rsidP="00200C4E">
      <w:pPr>
        <w:pStyle w:val="Heading1"/>
        <w:rPr>
          <w:rFonts w:asciiTheme="minorHAnsi" w:hAnsiTheme="minorHAnsi"/>
          <w:sz w:val="24"/>
          <w:szCs w:val="24"/>
        </w:rPr>
      </w:pPr>
      <w:bookmarkStart w:id="2" w:name="_Toc398595319"/>
      <w:r w:rsidRPr="00200C4E">
        <w:rPr>
          <w:rFonts w:asciiTheme="minorHAnsi" w:hAnsiTheme="minorHAnsi"/>
          <w:sz w:val="24"/>
          <w:szCs w:val="24"/>
        </w:rPr>
        <w:lastRenderedPageBreak/>
        <w:t>B</w:t>
      </w:r>
      <w:r w:rsidR="005058B4">
        <w:rPr>
          <w:rFonts w:asciiTheme="minorHAnsi" w:hAnsiTheme="minorHAnsi"/>
          <w:sz w:val="24"/>
          <w:szCs w:val="24"/>
        </w:rPr>
        <w:t>ackground and S</w:t>
      </w:r>
      <w:r w:rsidR="006F0578" w:rsidRPr="00200C4E">
        <w:rPr>
          <w:rFonts w:asciiTheme="minorHAnsi" w:hAnsiTheme="minorHAnsi"/>
          <w:sz w:val="24"/>
          <w:szCs w:val="24"/>
        </w:rPr>
        <w:t xml:space="preserve">cientific </w:t>
      </w:r>
      <w:r w:rsidR="005058B4">
        <w:rPr>
          <w:rFonts w:asciiTheme="minorHAnsi" w:hAnsiTheme="minorHAnsi"/>
          <w:sz w:val="24"/>
          <w:szCs w:val="24"/>
        </w:rPr>
        <w:t>R</w:t>
      </w:r>
      <w:r w:rsidR="006F0578" w:rsidRPr="00200C4E">
        <w:rPr>
          <w:rFonts w:asciiTheme="minorHAnsi" w:hAnsiTheme="minorHAnsi"/>
          <w:sz w:val="24"/>
          <w:szCs w:val="24"/>
        </w:rPr>
        <w:t>ational</w:t>
      </w:r>
      <w:r w:rsidR="0081775E" w:rsidRPr="00200C4E">
        <w:rPr>
          <w:rFonts w:asciiTheme="minorHAnsi" w:hAnsiTheme="minorHAnsi"/>
          <w:sz w:val="24"/>
          <w:szCs w:val="24"/>
        </w:rPr>
        <w:t>e</w:t>
      </w:r>
      <w:bookmarkEnd w:id="2"/>
    </w:p>
    <w:p w14:paraId="6912DB03" w14:textId="16D496A2" w:rsidR="001315D1" w:rsidRDefault="00E508F4" w:rsidP="001315D1">
      <w:r>
        <w:t>Multidrug-resistant tuberculosis (MDR-TB) in children is under recognized, under diagnosed and under treated.  Despite the fact that approximately 32,000 children develop MDR-TB each year [</w:t>
      </w:r>
      <w:proofErr w:type="gramStart"/>
      <w:r w:rsidR="009A05E0">
        <w:t>9</w:t>
      </w:r>
      <w:r>
        <w:t>]and</w:t>
      </w:r>
      <w:proofErr w:type="gramEnd"/>
      <w:r>
        <w:t xml:space="preserve"> that historical studies have shown mortality rates </w:t>
      </w:r>
      <w:r w:rsidR="009A05E0">
        <w:t xml:space="preserve">from TB </w:t>
      </w:r>
      <w:r w:rsidR="00C03679">
        <w:t xml:space="preserve">of </w:t>
      </w:r>
      <w:r w:rsidR="009A05E0">
        <w:t>40%</w:t>
      </w:r>
      <w:r w:rsidR="00C03679">
        <w:t>, 16% and 5%, respectively,</w:t>
      </w:r>
      <w:r w:rsidR="009A05E0">
        <w:t xml:space="preserve"> for </w:t>
      </w:r>
      <w:r w:rsidR="009A75FF">
        <w:t>infants</w:t>
      </w:r>
      <w:r w:rsidR="009A05E0">
        <w:t xml:space="preserve">, toddlers and young children [10] , very little is known about the optimal treatment for children infected with MDR-TB.  </w:t>
      </w:r>
      <w:r w:rsidR="009A75FF">
        <w:t xml:space="preserve">Treatment for </w:t>
      </w:r>
      <w:r w:rsidR="00EF76F5">
        <w:t xml:space="preserve">MDR-TB </w:t>
      </w:r>
      <w:r w:rsidR="009A75FF">
        <w:t xml:space="preserve">is difficult, </w:t>
      </w:r>
      <w:r w:rsidR="00EF76F5">
        <w:t>requir</w:t>
      </w:r>
      <w:r w:rsidR="009A75FF">
        <w:t xml:space="preserve">ing use of </w:t>
      </w:r>
      <w:r w:rsidR="00EF76F5">
        <w:t>toxic medications for at least 18 months</w:t>
      </w:r>
      <w:r w:rsidR="009A75FF">
        <w:t xml:space="preserve"> and with only 80% of children </w:t>
      </w:r>
      <w:r w:rsidR="00C81C0E">
        <w:t xml:space="preserve">achieving </w:t>
      </w:r>
      <w:r w:rsidR="009A75FF">
        <w:t>successful outcomes [1].   T</w:t>
      </w:r>
      <w:r w:rsidR="00EF76F5">
        <w:t xml:space="preserve">herefore, more data is needed </w:t>
      </w:r>
      <w:r w:rsidR="009A75FF">
        <w:t>to help</w:t>
      </w:r>
      <w:r w:rsidR="00EF76F5">
        <w:t xml:space="preserve"> improv</w:t>
      </w:r>
      <w:r w:rsidR="009A75FF">
        <w:t xml:space="preserve">e </w:t>
      </w:r>
      <w:r w:rsidR="00EF76F5">
        <w:t xml:space="preserve">MDR-TB treatment regimens.  </w:t>
      </w:r>
      <w:r w:rsidR="00C03679">
        <w:t xml:space="preserve">A systemic review in 2012 sought to better quantify treatment outcomes in children [1], however, many questions remain on how to optimize successful treatment outcomes and minimize adverse events. </w:t>
      </w:r>
      <w:r w:rsidR="009A75FF">
        <w:t xml:space="preserve">  This systemic review and meta-analysis will seek to </w:t>
      </w:r>
      <w:r w:rsidR="00B16F79" w:rsidRPr="000B1A12">
        <w:t xml:space="preserve">inform updated guidelines on </w:t>
      </w:r>
      <w:r w:rsidR="00AA31E7" w:rsidRPr="000B1A12">
        <w:t xml:space="preserve">the management of children with </w:t>
      </w:r>
      <w:r w:rsidR="00057E99">
        <w:t>MDR-TB</w:t>
      </w:r>
      <w:r w:rsidR="00AA31E7" w:rsidRPr="000B1A12">
        <w:t xml:space="preserve">, </w:t>
      </w:r>
      <w:r w:rsidR="007E1700">
        <w:t>by</w:t>
      </w:r>
      <w:r w:rsidR="00AA31E7" w:rsidRPr="000B1A12">
        <w:t xml:space="preserve"> </w:t>
      </w:r>
      <w:r w:rsidR="007E1700">
        <w:t xml:space="preserve">describing </w:t>
      </w:r>
      <w:r w:rsidR="00AA31E7" w:rsidRPr="000B1A12">
        <w:t xml:space="preserve">key outcomes among children treated for </w:t>
      </w:r>
      <w:r w:rsidR="002F4E00" w:rsidRPr="000B1A12">
        <w:t xml:space="preserve">MDR-TB </w:t>
      </w:r>
      <w:r w:rsidR="00AA31E7" w:rsidRPr="000B1A12">
        <w:t>and address</w:t>
      </w:r>
      <w:r w:rsidR="007E1700">
        <w:t>ing</w:t>
      </w:r>
      <w:r w:rsidR="00AA31E7" w:rsidRPr="000B1A12">
        <w:t xml:space="preserve"> questions specifically relevant to the </w:t>
      </w:r>
      <w:proofErr w:type="spellStart"/>
      <w:r w:rsidR="00AA31E7" w:rsidRPr="000B1A12">
        <w:t>paediatric</w:t>
      </w:r>
      <w:proofErr w:type="spellEnd"/>
      <w:r w:rsidR="00AA31E7" w:rsidRPr="000B1A12">
        <w:t xml:space="preserve"> population</w:t>
      </w:r>
      <w:r w:rsidR="00573492">
        <w:t xml:space="preserve"> with MDR-TB</w:t>
      </w:r>
      <w:r w:rsidR="00AA31E7" w:rsidRPr="000B1A12">
        <w:t xml:space="preserve">.  </w:t>
      </w:r>
      <w:r w:rsidR="00AD2F1B">
        <w:t>T</w:t>
      </w:r>
      <w:r w:rsidR="00AA31E7" w:rsidRPr="000B1A12">
        <w:t xml:space="preserve">o achieve this, we </w:t>
      </w:r>
      <w:r w:rsidR="00AD2F1B">
        <w:t>will</w:t>
      </w:r>
      <w:r w:rsidR="006223B0" w:rsidRPr="000B1A12">
        <w:t xml:space="preserve"> complete </w:t>
      </w:r>
      <w:r w:rsidR="00A24E66">
        <w:t>a s</w:t>
      </w:r>
      <w:r w:rsidR="006223B0" w:rsidRPr="000B1A12">
        <w:t xml:space="preserve">ystematic review and individual patient </w:t>
      </w:r>
      <w:r w:rsidR="00856496" w:rsidRPr="000B1A12">
        <w:t xml:space="preserve">data (IPD) </w:t>
      </w:r>
      <w:r w:rsidR="006223B0" w:rsidRPr="000B1A12">
        <w:t>meta-analysis of MDR-TB treatment regimens and outcomes in children</w:t>
      </w:r>
      <w:r w:rsidR="00A24E66">
        <w:t>.</w:t>
      </w:r>
      <w:r w:rsidR="00200C4E">
        <w:t xml:space="preserve"> </w:t>
      </w:r>
    </w:p>
    <w:p w14:paraId="503C035E" w14:textId="6862685B" w:rsidR="0040125A" w:rsidRPr="00200C4E" w:rsidRDefault="00FB60A2" w:rsidP="00200C4E">
      <w:pPr>
        <w:pStyle w:val="Heading1"/>
        <w:rPr>
          <w:rFonts w:asciiTheme="minorHAnsi" w:hAnsiTheme="minorHAnsi"/>
          <w:sz w:val="24"/>
          <w:szCs w:val="24"/>
        </w:rPr>
      </w:pPr>
      <w:bookmarkStart w:id="3" w:name="_Toc398595320"/>
      <w:r w:rsidRPr="00200C4E">
        <w:rPr>
          <w:rFonts w:asciiTheme="minorHAnsi" w:hAnsiTheme="minorHAnsi"/>
          <w:sz w:val="24"/>
          <w:szCs w:val="24"/>
        </w:rPr>
        <w:t>Systemic Review and Individual Patient Data Meta-Analysis</w:t>
      </w:r>
      <w:bookmarkEnd w:id="3"/>
    </w:p>
    <w:p w14:paraId="459090B2" w14:textId="74A38BE1" w:rsidR="00954444" w:rsidRPr="00200C4E" w:rsidRDefault="00954444" w:rsidP="00200C4E">
      <w:pPr>
        <w:pStyle w:val="Heading1"/>
        <w:rPr>
          <w:rFonts w:asciiTheme="minorHAnsi" w:hAnsiTheme="minorHAnsi"/>
          <w:sz w:val="24"/>
          <w:szCs w:val="24"/>
        </w:rPr>
      </w:pPr>
      <w:bookmarkStart w:id="4" w:name="_Toc398595321"/>
      <w:r w:rsidRPr="00200C4E">
        <w:rPr>
          <w:rFonts w:asciiTheme="minorHAnsi" w:hAnsiTheme="minorHAnsi"/>
          <w:sz w:val="24"/>
          <w:szCs w:val="24"/>
        </w:rPr>
        <w:t>O</w:t>
      </w:r>
      <w:r w:rsidR="00BB26A9" w:rsidRPr="00200C4E">
        <w:rPr>
          <w:rFonts w:asciiTheme="minorHAnsi" w:hAnsiTheme="minorHAnsi"/>
          <w:sz w:val="24"/>
          <w:szCs w:val="24"/>
        </w:rPr>
        <w:t>bjectives</w:t>
      </w:r>
      <w:bookmarkEnd w:id="4"/>
    </w:p>
    <w:p w14:paraId="6D4C5222" w14:textId="15C0E25F" w:rsidR="00B731EF" w:rsidRDefault="00954444" w:rsidP="00932BDF">
      <w:pPr>
        <w:tabs>
          <w:tab w:val="left" w:pos="2552"/>
        </w:tabs>
        <w:rPr>
          <w:rFonts w:cs="Calibri"/>
        </w:rPr>
      </w:pPr>
      <w:r>
        <w:rPr>
          <w:rFonts w:cs="Calibri"/>
        </w:rPr>
        <w:t>The objectives of this review are to</w:t>
      </w:r>
      <w:r w:rsidR="000E2FDC">
        <w:rPr>
          <w:rFonts w:cs="Calibri"/>
        </w:rPr>
        <w:t xml:space="preserve"> </w:t>
      </w:r>
      <w:r w:rsidR="00E30C05">
        <w:rPr>
          <w:rFonts w:cs="Calibri"/>
        </w:rPr>
        <w:t xml:space="preserve">evaluate the safety and efficacy of various </w:t>
      </w:r>
      <w:r w:rsidR="00A24E66">
        <w:rPr>
          <w:rFonts w:cs="Calibri"/>
        </w:rPr>
        <w:t>MDR</w:t>
      </w:r>
      <w:r w:rsidR="00E30C05">
        <w:rPr>
          <w:rFonts w:cs="Calibri"/>
        </w:rPr>
        <w:t xml:space="preserve">-TB treatment regimens in children diagnosed with MDR-TB.  This will be addressed through the formation of several </w:t>
      </w:r>
      <w:r w:rsidR="00D21157">
        <w:rPr>
          <w:rFonts w:cs="Calibri"/>
        </w:rPr>
        <w:t xml:space="preserve">specific </w:t>
      </w:r>
      <w:r w:rsidR="00A501D6">
        <w:rPr>
          <w:rFonts w:cs="Calibri"/>
        </w:rPr>
        <w:t xml:space="preserve">questions regarding </w:t>
      </w:r>
      <w:proofErr w:type="spellStart"/>
      <w:r w:rsidR="00D21157">
        <w:rPr>
          <w:rFonts w:cs="Calibri"/>
        </w:rPr>
        <w:t>paediatric</w:t>
      </w:r>
      <w:proofErr w:type="spellEnd"/>
      <w:r w:rsidR="00D21157">
        <w:rPr>
          <w:rFonts w:cs="Calibri"/>
        </w:rPr>
        <w:t xml:space="preserve"> MDR-TB </w:t>
      </w:r>
      <w:r w:rsidR="00A501D6">
        <w:rPr>
          <w:rFonts w:cs="Calibri"/>
        </w:rPr>
        <w:t xml:space="preserve">management and </w:t>
      </w:r>
      <w:r w:rsidR="00D21157">
        <w:rPr>
          <w:rFonts w:cs="Calibri"/>
        </w:rPr>
        <w:t>treatment</w:t>
      </w:r>
      <w:r w:rsidR="00A501D6">
        <w:rPr>
          <w:rFonts w:cs="Calibri"/>
        </w:rPr>
        <w:t>.</w:t>
      </w:r>
      <w:r w:rsidR="00BB26A9">
        <w:rPr>
          <w:rFonts w:cs="Calibri"/>
        </w:rPr>
        <w:t xml:space="preserve"> </w:t>
      </w:r>
      <w:r w:rsidR="00A501D6">
        <w:rPr>
          <w:rFonts w:cs="Calibri"/>
        </w:rPr>
        <w:t xml:space="preserve"> </w:t>
      </w:r>
      <w:r w:rsidR="0040125A" w:rsidRPr="000B1A12">
        <w:rPr>
          <w:rFonts w:cs="Calibri"/>
        </w:rPr>
        <w:t>Anticipated limitations</w:t>
      </w:r>
      <w:r w:rsidR="000E2FDC">
        <w:rPr>
          <w:rFonts w:cs="Calibri"/>
        </w:rPr>
        <w:t xml:space="preserve"> in analyzing and interpreting </w:t>
      </w:r>
      <w:proofErr w:type="spellStart"/>
      <w:r w:rsidR="000E2FDC">
        <w:rPr>
          <w:rFonts w:cs="Calibri"/>
        </w:rPr>
        <w:t>paediatric</w:t>
      </w:r>
      <w:proofErr w:type="spellEnd"/>
      <w:r w:rsidR="000E2FDC">
        <w:rPr>
          <w:rFonts w:cs="Calibri"/>
        </w:rPr>
        <w:t xml:space="preserve"> data</w:t>
      </w:r>
      <w:r w:rsidR="0040125A" w:rsidRPr="000B1A12">
        <w:rPr>
          <w:rFonts w:cs="Calibri"/>
        </w:rPr>
        <w:t xml:space="preserve"> include the lack of standardization of MDR-TB therapy</w:t>
      </w:r>
      <w:r w:rsidR="00383236">
        <w:rPr>
          <w:rFonts w:cs="Calibri"/>
        </w:rPr>
        <w:t>.</w:t>
      </w:r>
      <w:r w:rsidR="0040125A" w:rsidRPr="000B1A12">
        <w:rPr>
          <w:rFonts w:cs="Calibri"/>
        </w:rPr>
        <w:t xml:space="preserve"> </w:t>
      </w:r>
      <w:r w:rsidR="00A24E66">
        <w:rPr>
          <w:rFonts w:cs="Calibri"/>
        </w:rPr>
        <w:t xml:space="preserve"> </w:t>
      </w:r>
      <w:r w:rsidR="00383236">
        <w:rPr>
          <w:rFonts w:cs="Calibri"/>
        </w:rPr>
        <w:t>Treatment</w:t>
      </w:r>
      <w:r w:rsidR="0040125A" w:rsidRPr="000B1A12">
        <w:rPr>
          <w:rFonts w:cs="Calibri"/>
        </w:rPr>
        <w:t xml:space="preserve"> may be individualized according to several factors such as disease severity (</w:t>
      </w:r>
      <w:r w:rsidR="00426D86">
        <w:rPr>
          <w:rFonts w:cs="Calibri"/>
        </w:rPr>
        <w:t xml:space="preserve">e.g. </w:t>
      </w:r>
      <w:r w:rsidR="00577A36">
        <w:rPr>
          <w:rFonts w:cs="Calibri"/>
        </w:rPr>
        <w:t xml:space="preserve">time of diagnosis, </w:t>
      </w:r>
      <w:r w:rsidR="00426D86" w:rsidRPr="000A367A">
        <w:rPr>
          <w:rFonts w:cs="Calibri"/>
          <w:i/>
        </w:rPr>
        <w:t xml:space="preserve">Mycobacterium tuberculosis </w:t>
      </w:r>
      <w:r w:rsidR="00426D86" w:rsidRPr="00384982">
        <w:rPr>
          <w:rFonts w:cs="Calibri"/>
        </w:rPr>
        <w:t>(</w:t>
      </w:r>
      <w:r w:rsidR="00577A36">
        <w:rPr>
          <w:rFonts w:cs="Calibri"/>
        </w:rPr>
        <w:t>MTB</w:t>
      </w:r>
      <w:r w:rsidR="00426D86">
        <w:rPr>
          <w:rFonts w:cs="Calibri"/>
        </w:rPr>
        <w:t>)</w:t>
      </w:r>
      <w:r w:rsidR="00577A36">
        <w:rPr>
          <w:rFonts w:cs="Calibri"/>
        </w:rPr>
        <w:t xml:space="preserve"> burden, extent of disease) and drug susceptibility testing </w:t>
      </w:r>
      <w:r w:rsidR="00FE188D">
        <w:rPr>
          <w:rFonts w:cs="Calibri"/>
        </w:rPr>
        <w:t xml:space="preserve">(DST) </w:t>
      </w:r>
      <w:r w:rsidR="00577A36">
        <w:rPr>
          <w:rFonts w:cs="Calibri"/>
        </w:rPr>
        <w:t xml:space="preserve">results. </w:t>
      </w:r>
      <w:r w:rsidR="00BB26A9">
        <w:rPr>
          <w:rFonts w:cs="Calibri"/>
        </w:rPr>
        <w:t>T</w:t>
      </w:r>
      <w:r w:rsidR="0040125A" w:rsidRPr="000B1A12">
        <w:rPr>
          <w:rFonts w:cs="Calibri"/>
        </w:rPr>
        <w:t>he collection</w:t>
      </w:r>
      <w:r w:rsidR="00946748">
        <w:rPr>
          <w:rFonts w:cs="Calibri"/>
        </w:rPr>
        <w:t xml:space="preserve"> and analysis</w:t>
      </w:r>
      <w:r w:rsidR="0040125A" w:rsidRPr="000B1A12">
        <w:rPr>
          <w:rFonts w:cs="Calibri"/>
        </w:rPr>
        <w:t xml:space="preserve"> of </w:t>
      </w:r>
      <w:r w:rsidR="00946748">
        <w:rPr>
          <w:rFonts w:cs="Calibri"/>
        </w:rPr>
        <w:t xml:space="preserve">the available </w:t>
      </w:r>
      <w:proofErr w:type="spellStart"/>
      <w:r w:rsidR="00946748">
        <w:rPr>
          <w:rFonts w:cs="Calibri"/>
        </w:rPr>
        <w:t>p</w:t>
      </w:r>
      <w:r w:rsidR="004E39FB">
        <w:rPr>
          <w:rFonts w:cs="Calibri"/>
        </w:rPr>
        <w:t>a</w:t>
      </w:r>
      <w:r w:rsidR="00946748">
        <w:rPr>
          <w:rFonts w:cs="Calibri"/>
        </w:rPr>
        <w:t>ediatric</w:t>
      </w:r>
      <w:proofErr w:type="spellEnd"/>
      <w:r w:rsidR="00946748">
        <w:rPr>
          <w:rFonts w:cs="Calibri"/>
        </w:rPr>
        <w:t xml:space="preserve"> data</w:t>
      </w:r>
      <w:r w:rsidR="0040125A" w:rsidRPr="000B1A12">
        <w:rPr>
          <w:rFonts w:cs="Calibri"/>
        </w:rPr>
        <w:t xml:space="preserve"> in</w:t>
      </w:r>
      <w:r w:rsidR="00A501D6">
        <w:rPr>
          <w:rFonts w:cs="Calibri"/>
        </w:rPr>
        <w:t>to an</w:t>
      </w:r>
      <w:r w:rsidR="0040125A" w:rsidRPr="000B1A12">
        <w:rPr>
          <w:rFonts w:cs="Calibri"/>
        </w:rPr>
        <w:t xml:space="preserve"> individual patient database will </w:t>
      </w:r>
      <w:r w:rsidR="00A501D6">
        <w:rPr>
          <w:rFonts w:cs="Calibri"/>
        </w:rPr>
        <w:t xml:space="preserve">help </w:t>
      </w:r>
      <w:r w:rsidR="00A33D2C">
        <w:rPr>
          <w:rFonts w:cs="Calibri"/>
        </w:rPr>
        <w:t>unite</w:t>
      </w:r>
      <w:r w:rsidR="0040125A" w:rsidRPr="000B1A12">
        <w:rPr>
          <w:rFonts w:cs="Calibri"/>
        </w:rPr>
        <w:t xml:space="preserve"> individual patient outcomes </w:t>
      </w:r>
      <w:r w:rsidR="00A501D6">
        <w:rPr>
          <w:rFonts w:cs="Calibri"/>
        </w:rPr>
        <w:t xml:space="preserve">into </w:t>
      </w:r>
      <w:r w:rsidR="00E402D3">
        <w:rPr>
          <w:rFonts w:cs="Calibri"/>
        </w:rPr>
        <w:t>eviden</w:t>
      </w:r>
      <w:r w:rsidR="00F51AE7">
        <w:rPr>
          <w:rFonts w:cs="Calibri"/>
        </w:rPr>
        <w:t>ce</w:t>
      </w:r>
      <w:r w:rsidR="00E402D3">
        <w:rPr>
          <w:rFonts w:cs="Calibri"/>
        </w:rPr>
        <w:t xml:space="preserve"> for treatment guidelines</w:t>
      </w:r>
      <w:r w:rsidR="0040125A" w:rsidRPr="000B1A12">
        <w:rPr>
          <w:rFonts w:cs="Calibri"/>
        </w:rPr>
        <w:t xml:space="preserve">.  </w:t>
      </w:r>
      <w:r w:rsidR="00B45DCF">
        <w:rPr>
          <w:rFonts w:cs="Calibri"/>
        </w:rPr>
        <w:t xml:space="preserve">Additional considerations for interpretation of </w:t>
      </w:r>
      <w:proofErr w:type="spellStart"/>
      <w:r w:rsidR="00B45DCF">
        <w:rPr>
          <w:rFonts w:cs="Calibri"/>
        </w:rPr>
        <w:t>paediatric</w:t>
      </w:r>
      <w:proofErr w:type="spellEnd"/>
      <w:r w:rsidR="00B45DCF">
        <w:rPr>
          <w:rFonts w:cs="Calibri"/>
        </w:rPr>
        <w:t xml:space="preserve"> MDR-TB data include the lack of bacteriological confirmation in a substantial proportion of cases and </w:t>
      </w:r>
      <w:r w:rsidR="003D13CA">
        <w:rPr>
          <w:rFonts w:cs="Calibri"/>
        </w:rPr>
        <w:t xml:space="preserve">the </w:t>
      </w:r>
      <w:r w:rsidR="00B45DCF">
        <w:rPr>
          <w:rFonts w:cs="Calibri"/>
        </w:rPr>
        <w:t>definition of successful treatment outcome.</w:t>
      </w:r>
    </w:p>
    <w:p w14:paraId="23F7C93B" w14:textId="77777777" w:rsidR="00B731EF" w:rsidRDefault="00B731EF" w:rsidP="00932BDF">
      <w:pPr>
        <w:tabs>
          <w:tab w:val="left" w:pos="2552"/>
        </w:tabs>
        <w:rPr>
          <w:rFonts w:cs="Calibri"/>
        </w:rPr>
      </w:pPr>
    </w:p>
    <w:p w14:paraId="67CB6412" w14:textId="77777777" w:rsidR="008D1889" w:rsidRDefault="008D1889" w:rsidP="00CC6DC0">
      <w:pPr>
        <w:rPr>
          <w:b/>
        </w:rPr>
        <w:sectPr w:rsidR="008D1889" w:rsidSect="00851DA8">
          <w:headerReference w:type="default" r:id="rId9"/>
          <w:footerReference w:type="even" r:id="rId10"/>
          <w:footerReference w:type="default" r:id="rId11"/>
          <w:pgSz w:w="11900" w:h="16840"/>
          <w:pgMar w:top="1440" w:right="1800" w:bottom="1440" w:left="1800" w:header="708" w:footer="708" w:gutter="0"/>
          <w:cols w:space="708"/>
          <w:docGrid w:linePitch="360"/>
        </w:sectPr>
      </w:pPr>
    </w:p>
    <w:p w14:paraId="544FD024" w14:textId="6D45CD45" w:rsidR="00BC5C24" w:rsidRPr="00200C4E" w:rsidRDefault="003E1BFD" w:rsidP="00200C4E">
      <w:pPr>
        <w:pStyle w:val="Heading1"/>
        <w:rPr>
          <w:rFonts w:asciiTheme="minorHAnsi" w:hAnsiTheme="minorHAnsi"/>
          <w:sz w:val="24"/>
          <w:szCs w:val="24"/>
        </w:rPr>
      </w:pPr>
      <w:bookmarkStart w:id="5" w:name="_Toc398595322"/>
      <w:r w:rsidRPr="00200C4E">
        <w:rPr>
          <w:rFonts w:asciiTheme="minorHAnsi" w:hAnsiTheme="minorHAnsi"/>
          <w:sz w:val="24"/>
          <w:szCs w:val="24"/>
        </w:rPr>
        <w:lastRenderedPageBreak/>
        <w:t>M</w:t>
      </w:r>
      <w:r w:rsidR="00200C4E" w:rsidRPr="00200C4E">
        <w:rPr>
          <w:rFonts w:asciiTheme="minorHAnsi" w:hAnsiTheme="minorHAnsi"/>
          <w:sz w:val="24"/>
          <w:szCs w:val="24"/>
        </w:rPr>
        <w:t>ethods</w:t>
      </w:r>
      <w:bookmarkEnd w:id="5"/>
    </w:p>
    <w:p w14:paraId="6CFB84AC" w14:textId="3BF4EB8A" w:rsidR="00820B15" w:rsidRPr="000B1A12" w:rsidRDefault="00820B15" w:rsidP="00820B15">
      <w:pPr>
        <w:tabs>
          <w:tab w:val="left" w:pos="2552"/>
        </w:tabs>
      </w:pPr>
      <w:r>
        <w:t xml:space="preserve">Methods will follow the previously completed adult review [1], as far as possible, with consideration of </w:t>
      </w:r>
      <w:proofErr w:type="spellStart"/>
      <w:r>
        <w:t>paediatric</w:t>
      </w:r>
      <w:proofErr w:type="spellEnd"/>
      <w:r>
        <w:t xml:space="preserve"> specific aspects in the analysis </w:t>
      </w:r>
      <w:r w:rsidRPr="00285B53">
        <w:t>(e.g. case definitions</w:t>
      </w:r>
      <w:r>
        <w:t>, disease severity</w:t>
      </w:r>
      <w:r w:rsidRPr="00285B53">
        <w:t xml:space="preserve"> and treatment outcomes).</w:t>
      </w:r>
      <w:r>
        <w:t xml:space="preserve">  </w:t>
      </w:r>
    </w:p>
    <w:p w14:paraId="5A641C96" w14:textId="77777777" w:rsidR="00BC5C24" w:rsidRPr="000B1A12" w:rsidRDefault="00BC5C24" w:rsidP="00BC5C24"/>
    <w:p w14:paraId="4DA984C0" w14:textId="769E895B" w:rsidR="00BC5C24" w:rsidRPr="000B1A12" w:rsidRDefault="00BC5C24" w:rsidP="00BC5C24">
      <w:pPr>
        <w:tabs>
          <w:tab w:val="left" w:pos="2552"/>
        </w:tabs>
        <w:rPr>
          <w:i/>
        </w:rPr>
      </w:pPr>
      <w:r w:rsidRPr="000B1A12">
        <w:t xml:space="preserve">There is limited data on the programmatic management and outcomes of children treated for MDR-TB.  A systematic review of children treated for MDR-TB published in 2012 included eight studies with 315 total patients [1].  </w:t>
      </w:r>
      <w:r>
        <w:t xml:space="preserve">This review did not include IPD meta-analysis. </w:t>
      </w:r>
      <w:r w:rsidRPr="000B1A12">
        <w:t xml:space="preserve">Additional </w:t>
      </w:r>
      <w:r>
        <w:t xml:space="preserve">studies </w:t>
      </w:r>
      <w:r w:rsidRPr="000B1A12">
        <w:t>ha</w:t>
      </w:r>
      <w:r>
        <w:t>ve</w:t>
      </w:r>
      <w:r w:rsidRPr="000B1A12">
        <w:t xml:space="preserve"> since been published</w:t>
      </w:r>
      <w:r>
        <w:t>.</w:t>
      </w:r>
      <w:r w:rsidRPr="000B1A12">
        <w:t xml:space="preserve"> </w:t>
      </w:r>
      <w:r>
        <w:t>An</w:t>
      </w:r>
      <w:r w:rsidRPr="000B1A12">
        <w:t xml:space="preserve"> updated review will be important for characterizing current management strategies and outcomes</w:t>
      </w:r>
      <w:r>
        <w:t xml:space="preserve"> to</w:t>
      </w:r>
      <w:r w:rsidRPr="000B1A12">
        <w:t xml:space="preserve"> inform updated </w:t>
      </w:r>
      <w:r>
        <w:t xml:space="preserve">MDR-TB treatment </w:t>
      </w:r>
      <w:r w:rsidRPr="000B1A12">
        <w:t xml:space="preserve">guidelines in children.  We propose to conduct a systematic review of </w:t>
      </w:r>
      <w:r>
        <w:t xml:space="preserve">the available literature </w:t>
      </w:r>
      <w:r w:rsidRPr="000B1A12">
        <w:t xml:space="preserve">of children treated for MDR-TB.  </w:t>
      </w:r>
    </w:p>
    <w:p w14:paraId="7B56A6EB" w14:textId="77777777" w:rsidR="00BC5C24" w:rsidRPr="000B1A12" w:rsidRDefault="00BC5C24" w:rsidP="00BC5C24">
      <w:pPr>
        <w:tabs>
          <w:tab w:val="left" w:pos="2552"/>
        </w:tabs>
      </w:pPr>
    </w:p>
    <w:p w14:paraId="4D83BAE1" w14:textId="700F6AC0" w:rsidR="00820B15" w:rsidRDefault="00BC5C24" w:rsidP="00200C4E">
      <w:pPr>
        <w:tabs>
          <w:tab w:val="left" w:pos="2552"/>
        </w:tabs>
      </w:pPr>
      <w:r w:rsidRPr="000B1A12">
        <w:t xml:space="preserve">An </w:t>
      </w:r>
      <w:r>
        <w:t>IPD</w:t>
      </w:r>
      <w:r w:rsidRPr="000B1A12">
        <w:t xml:space="preserve"> meta-analysis</w:t>
      </w:r>
      <w:r>
        <w:t xml:space="preserve"> </w:t>
      </w:r>
      <w:r w:rsidRPr="000B1A12">
        <w:t>for (</w:t>
      </w:r>
      <w:r w:rsidR="00FD4E85" w:rsidRPr="000B1A12">
        <w:t>pr</w:t>
      </w:r>
      <w:r w:rsidR="00FD4E85">
        <w:t>edominately</w:t>
      </w:r>
      <w:r w:rsidRPr="000B1A12">
        <w:t>) adult MDR-TB treatment outcomes</w:t>
      </w:r>
      <w:r>
        <w:t xml:space="preserve"> was published</w:t>
      </w:r>
      <w:r w:rsidRPr="000B1A12">
        <w:t xml:space="preserve"> in 2012</w:t>
      </w:r>
      <w:r>
        <w:t xml:space="preserve"> [</w:t>
      </w:r>
      <w:r w:rsidRPr="000B1A12">
        <w:t>2]</w:t>
      </w:r>
      <w:r>
        <w:t>.  An IPD</w:t>
      </w:r>
      <w:r w:rsidRPr="000B1A12">
        <w:t xml:space="preserve"> meta-analysis</w:t>
      </w:r>
      <w:r>
        <w:t xml:space="preserve"> based on pediatric data</w:t>
      </w:r>
      <w:r w:rsidRPr="000B1A12">
        <w:t xml:space="preserve"> c</w:t>
      </w:r>
      <w:r>
        <w:t>an</w:t>
      </w:r>
      <w:r w:rsidRPr="000B1A12">
        <w:t xml:space="preserve"> be used to estimate associations of </w:t>
      </w:r>
      <w:r>
        <w:t xml:space="preserve">different </w:t>
      </w:r>
      <w:r w:rsidRPr="000B1A12">
        <w:t xml:space="preserve">treatment </w:t>
      </w:r>
      <w:r>
        <w:t>regimens</w:t>
      </w:r>
      <w:r w:rsidRPr="000B1A12">
        <w:t xml:space="preserve"> with </w:t>
      </w:r>
      <w:r>
        <w:t xml:space="preserve">treatment </w:t>
      </w:r>
      <w:r w:rsidRPr="000B1A12">
        <w:t>outcome</w:t>
      </w:r>
      <w:r>
        <w:t xml:space="preserve"> and other clinically relevant outcomes (e.g. toxicity) in children</w:t>
      </w:r>
      <w:r w:rsidRPr="000B1A12">
        <w:t xml:space="preserve">, with consideration of clinically relevant covariates of interest.  We propose to conduct an </w:t>
      </w:r>
      <w:r>
        <w:t>IPD</w:t>
      </w:r>
      <w:r w:rsidRPr="000B1A12">
        <w:t xml:space="preserve"> meta-analysis from the studies in</w:t>
      </w:r>
      <w:r>
        <w:t>cluded in</w:t>
      </w:r>
      <w:r w:rsidRPr="000B1A12">
        <w:t xml:space="preserve"> the overall </w:t>
      </w:r>
      <w:r>
        <w:t xml:space="preserve">updated </w:t>
      </w:r>
      <w:r w:rsidRPr="000B1A12">
        <w:t xml:space="preserve">systematic review.  This will provide an </w:t>
      </w:r>
      <w:r>
        <w:t xml:space="preserve">updated </w:t>
      </w:r>
      <w:r w:rsidRPr="000B1A12">
        <w:t xml:space="preserve">evidence synthesis that is harmonized with the previously completed adult review, and will allow us to address specific questions relevant to </w:t>
      </w:r>
      <w:proofErr w:type="spellStart"/>
      <w:r w:rsidRPr="000B1A12">
        <w:t>paediatric</w:t>
      </w:r>
      <w:proofErr w:type="spellEnd"/>
      <w:r w:rsidRPr="000B1A12">
        <w:t xml:space="preserve"> MDR-TB treatment as specified below. </w:t>
      </w:r>
      <w:r w:rsidR="00200C4E">
        <w:t xml:space="preserve"> </w:t>
      </w:r>
    </w:p>
    <w:p w14:paraId="279AF282" w14:textId="0BFDA41A" w:rsidR="008B687F" w:rsidRPr="00200C4E" w:rsidRDefault="008B687F" w:rsidP="00200C4E">
      <w:pPr>
        <w:pStyle w:val="Heading2"/>
        <w:rPr>
          <w:rFonts w:asciiTheme="minorHAnsi" w:hAnsiTheme="minorHAnsi"/>
          <w:i/>
          <w:sz w:val="24"/>
          <w:szCs w:val="24"/>
        </w:rPr>
      </w:pPr>
      <w:bookmarkStart w:id="6" w:name="_Toc398595323"/>
      <w:r w:rsidRPr="00200C4E">
        <w:rPr>
          <w:rFonts w:asciiTheme="minorHAnsi" w:hAnsiTheme="minorHAnsi"/>
          <w:i/>
          <w:sz w:val="24"/>
          <w:szCs w:val="24"/>
        </w:rPr>
        <w:t>Study Designs Eli</w:t>
      </w:r>
      <w:r w:rsidR="00EC677C" w:rsidRPr="00200C4E">
        <w:rPr>
          <w:rFonts w:asciiTheme="minorHAnsi" w:hAnsiTheme="minorHAnsi"/>
          <w:i/>
          <w:sz w:val="24"/>
          <w:szCs w:val="24"/>
        </w:rPr>
        <w:t>g</w:t>
      </w:r>
      <w:r w:rsidRPr="00200C4E">
        <w:rPr>
          <w:rFonts w:asciiTheme="minorHAnsi" w:hAnsiTheme="minorHAnsi"/>
          <w:i/>
          <w:sz w:val="24"/>
          <w:szCs w:val="24"/>
        </w:rPr>
        <w:t xml:space="preserve">ible for </w:t>
      </w:r>
      <w:r w:rsidR="00820B15" w:rsidRPr="00200C4E">
        <w:rPr>
          <w:rFonts w:asciiTheme="minorHAnsi" w:hAnsiTheme="minorHAnsi"/>
          <w:i/>
          <w:sz w:val="24"/>
          <w:szCs w:val="24"/>
        </w:rPr>
        <w:t>Inclusion</w:t>
      </w:r>
      <w:bookmarkEnd w:id="6"/>
    </w:p>
    <w:p w14:paraId="7E1E1962" w14:textId="42FB3369" w:rsidR="00EC677C" w:rsidRDefault="00820B15" w:rsidP="00CC6DC0">
      <w:r w:rsidRPr="003E1BFD">
        <w:t>Studies w</w:t>
      </w:r>
      <w:r>
        <w:t>ill be</w:t>
      </w:r>
      <w:r w:rsidRPr="003E1BFD">
        <w:t xml:space="preserve"> eligible if they included more than five children (aged ≤16 years</w:t>
      </w:r>
      <w:r>
        <w:t xml:space="preserve"> for the systemic review, aged ≤ 14 years for the IPD meta-analysis</w:t>
      </w:r>
      <w:r w:rsidRPr="003E1BFD">
        <w:t xml:space="preserve">) within a defined treatment cohort. </w:t>
      </w:r>
      <w:r>
        <w:t xml:space="preserve">Both controlled and non-controlled retrospective and prospective studies will be included.  </w:t>
      </w:r>
      <w:r w:rsidRPr="003E1BFD">
        <w:t>In anticipation of a paucity of data, case series of fi</w:t>
      </w:r>
      <w:r>
        <w:t>ve or more children will</w:t>
      </w:r>
      <w:r w:rsidRPr="003E1BFD">
        <w:t xml:space="preserve"> also </w:t>
      </w:r>
      <w:r>
        <w:t>be included.</w:t>
      </w:r>
      <w:r w:rsidRPr="003E1BFD">
        <w:t xml:space="preserve"> </w:t>
      </w:r>
      <w:r w:rsidR="00321DAD">
        <w:t xml:space="preserve">Unpublished data will also be included, as long as </w:t>
      </w:r>
      <w:proofErr w:type="gramStart"/>
      <w:r w:rsidR="00321DAD">
        <w:t>its collection was approved by the ethics board of its originating institution</w:t>
      </w:r>
      <w:proofErr w:type="gramEnd"/>
      <w:r w:rsidR="00321DAD">
        <w:t xml:space="preserve">.  </w:t>
      </w:r>
    </w:p>
    <w:p w14:paraId="324A1EB2" w14:textId="39F01425" w:rsidR="00820B15" w:rsidRPr="00200C4E" w:rsidRDefault="00835212" w:rsidP="00200C4E">
      <w:pPr>
        <w:pStyle w:val="Heading2"/>
        <w:rPr>
          <w:rFonts w:asciiTheme="minorHAnsi" w:hAnsiTheme="minorHAnsi"/>
          <w:i/>
          <w:sz w:val="24"/>
          <w:szCs w:val="24"/>
        </w:rPr>
      </w:pPr>
      <w:bookmarkStart w:id="7" w:name="_Toc398595324"/>
      <w:r w:rsidRPr="00200C4E">
        <w:rPr>
          <w:rFonts w:asciiTheme="minorHAnsi" w:hAnsiTheme="minorHAnsi"/>
          <w:i/>
          <w:sz w:val="24"/>
          <w:szCs w:val="24"/>
        </w:rPr>
        <w:t>Description of Participants</w:t>
      </w:r>
      <w:bookmarkEnd w:id="7"/>
    </w:p>
    <w:p w14:paraId="5FDEE7E2" w14:textId="539A3B57" w:rsidR="00EC677C" w:rsidRDefault="00820B15" w:rsidP="00CC6DC0">
      <w:pPr>
        <w:rPr>
          <w:rFonts w:cstheme="majorHAnsi"/>
        </w:rPr>
      </w:pPr>
      <w:r>
        <w:rPr>
          <w:rFonts w:cstheme="majorHAnsi"/>
        </w:rPr>
        <w:t>For the IPD meta-analysis, only children 0-14 years old will be included.</w:t>
      </w:r>
      <w:r w:rsidR="00E62873">
        <w:rPr>
          <w:rFonts w:cstheme="majorHAnsi"/>
        </w:rPr>
        <w:t xml:space="preserve"> </w:t>
      </w:r>
      <w:r>
        <w:rPr>
          <w:rFonts w:cstheme="majorHAnsi"/>
        </w:rPr>
        <w:t xml:space="preserve"> </w:t>
      </w:r>
      <w:r w:rsidR="00E62873">
        <w:rPr>
          <w:rFonts w:cstheme="majorHAnsi"/>
        </w:rPr>
        <w:t>This age group was chosen because historical data shows that children up to this age range have drastically different outcomes, with higher mortality, than adults [10]</w:t>
      </w:r>
      <w:r w:rsidR="00321DAD">
        <w:rPr>
          <w:rFonts w:cstheme="majorHAnsi"/>
        </w:rPr>
        <w:t>.</w:t>
      </w:r>
      <w:r w:rsidR="00E62873">
        <w:rPr>
          <w:rFonts w:cstheme="majorHAnsi"/>
        </w:rPr>
        <w:t xml:space="preserve"> </w:t>
      </w:r>
      <w:r>
        <w:rPr>
          <w:rFonts w:cstheme="majorHAnsi"/>
        </w:rPr>
        <w:t xml:space="preserve"> </w:t>
      </w:r>
      <w:r w:rsidR="00E62873">
        <w:rPr>
          <w:rFonts w:cstheme="majorHAnsi"/>
        </w:rPr>
        <w:t xml:space="preserve">For the systematic review, the </w:t>
      </w:r>
      <w:r w:rsidR="00E62873" w:rsidRPr="00A33D2C">
        <w:rPr>
          <w:rFonts w:cstheme="majorHAnsi"/>
        </w:rPr>
        <w:t>population examined will be</w:t>
      </w:r>
      <w:r w:rsidR="00E62873" w:rsidRPr="000B1A12">
        <w:rPr>
          <w:rFonts w:cstheme="majorHAnsi"/>
        </w:rPr>
        <w:t xml:space="preserve"> </w:t>
      </w:r>
      <w:r w:rsidR="00E62873">
        <w:rPr>
          <w:rFonts w:cstheme="majorHAnsi"/>
        </w:rPr>
        <w:t>c</w:t>
      </w:r>
      <w:r w:rsidR="00E62873" w:rsidRPr="000B1A12">
        <w:rPr>
          <w:rFonts w:cstheme="majorHAnsi"/>
        </w:rPr>
        <w:t>hildren</w:t>
      </w:r>
      <w:r w:rsidR="00E62873" w:rsidRPr="000B1A12">
        <w:rPr>
          <w:rFonts w:cstheme="majorHAnsi"/>
          <w:i/>
        </w:rPr>
        <w:t xml:space="preserve"> </w:t>
      </w:r>
      <w:r w:rsidR="00E62873" w:rsidRPr="000B1A12">
        <w:rPr>
          <w:rFonts w:cstheme="majorHAnsi"/>
        </w:rPr>
        <w:t>between 0-1</w:t>
      </w:r>
      <w:r w:rsidR="00E62873">
        <w:rPr>
          <w:rFonts w:cstheme="majorHAnsi"/>
        </w:rPr>
        <w:t xml:space="preserve">6 </w:t>
      </w:r>
      <w:proofErr w:type="gramStart"/>
      <w:r w:rsidR="00E62873" w:rsidRPr="000B1A12">
        <w:rPr>
          <w:rFonts w:cstheme="majorHAnsi"/>
        </w:rPr>
        <w:t>years</w:t>
      </w:r>
      <w:r w:rsidR="00E62873">
        <w:rPr>
          <w:rFonts w:cstheme="majorHAnsi"/>
        </w:rPr>
        <w:t xml:space="preserve"> .</w:t>
      </w:r>
      <w:proofErr w:type="gramEnd"/>
      <w:r w:rsidR="00E62873">
        <w:rPr>
          <w:rFonts w:cstheme="majorHAnsi"/>
        </w:rPr>
        <w:t xml:space="preserve">  This age group will be used for the systemic review </w:t>
      </w:r>
      <w:r w:rsidR="00490CA8">
        <w:rPr>
          <w:rFonts w:cstheme="majorHAnsi"/>
        </w:rPr>
        <w:t xml:space="preserve">as frequently studies include children up to 16 years old, and given the paucity of </w:t>
      </w:r>
      <w:proofErr w:type="spellStart"/>
      <w:r w:rsidR="00490CA8">
        <w:rPr>
          <w:rFonts w:cstheme="majorHAnsi"/>
        </w:rPr>
        <w:t>paediatric</w:t>
      </w:r>
      <w:proofErr w:type="spellEnd"/>
      <w:r w:rsidR="00490CA8">
        <w:rPr>
          <w:rFonts w:cstheme="majorHAnsi"/>
        </w:rPr>
        <w:t xml:space="preserve"> MDR</w:t>
      </w:r>
      <w:r w:rsidR="00CA0D49">
        <w:rPr>
          <w:rFonts w:cstheme="majorHAnsi"/>
        </w:rPr>
        <w:t>-TB</w:t>
      </w:r>
      <w:r w:rsidR="00490CA8">
        <w:rPr>
          <w:rFonts w:cstheme="majorHAnsi"/>
        </w:rPr>
        <w:t xml:space="preserve"> data, we want </w:t>
      </w:r>
      <w:r w:rsidR="00E62873">
        <w:rPr>
          <w:rFonts w:cstheme="majorHAnsi"/>
        </w:rPr>
        <w:t xml:space="preserve">to avoid the exclusion of </w:t>
      </w:r>
      <w:r w:rsidR="00490CA8">
        <w:rPr>
          <w:rFonts w:cstheme="majorHAnsi"/>
        </w:rPr>
        <w:t xml:space="preserve">otherwise </w:t>
      </w:r>
      <w:r w:rsidR="00E62873">
        <w:rPr>
          <w:rFonts w:cstheme="majorHAnsi"/>
        </w:rPr>
        <w:t>appropriate studies</w:t>
      </w:r>
      <w:r w:rsidR="00490CA8">
        <w:rPr>
          <w:rFonts w:cstheme="majorHAnsi"/>
        </w:rPr>
        <w:t xml:space="preserve">. </w:t>
      </w:r>
      <w:r w:rsidR="00321DAD">
        <w:rPr>
          <w:rFonts w:cstheme="majorHAnsi"/>
        </w:rPr>
        <w:t xml:space="preserve">  It is expected that, due to anticipated low numbers of children, including studies that include children up to 16 years old will not significantly affect the review. </w:t>
      </w:r>
      <w:r w:rsidR="00490CA8">
        <w:rPr>
          <w:rFonts w:cstheme="majorHAnsi"/>
        </w:rPr>
        <w:t xml:space="preserve"> The children </w:t>
      </w:r>
      <w:r>
        <w:rPr>
          <w:rFonts w:cstheme="majorHAnsi"/>
        </w:rPr>
        <w:t xml:space="preserve">must be </w:t>
      </w:r>
      <w:r w:rsidRPr="000B1A12">
        <w:rPr>
          <w:rFonts w:cstheme="majorHAnsi"/>
        </w:rPr>
        <w:t xml:space="preserve">treated </w:t>
      </w:r>
      <w:r w:rsidRPr="00C325A5">
        <w:rPr>
          <w:rFonts w:cstheme="majorHAnsi"/>
        </w:rPr>
        <w:t xml:space="preserve">for clinically </w:t>
      </w:r>
      <w:r w:rsidRPr="00C325A5">
        <w:rPr>
          <w:rFonts w:cstheme="majorHAnsi"/>
        </w:rPr>
        <w:lastRenderedPageBreak/>
        <w:t xml:space="preserve">diagnosed or bacteriologically confirmed pulmonary or </w:t>
      </w:r>
      <w:proofErr w:type="spellStart"/>
      <w:r w:rsidRPr="00C325A5">
        <w:rPr>
          <w:rFonts w:cstheme="majorHAnsi"/>
        </w:rPr>
        <w:t>extrapulmonary</w:t>
      </w:r>
      <w:proofErr w:type="spellEnd"/>
      <w:r w:rsidRPr="00C325A5">
        <w:rPr>
          <w:rFonts w:cstheme="majorHAnsi"/>
        </w:rPr>
        <w:t xml:space="preserve"> MDR-TB, using </w:t>
      </w:r>
      <w:r>
        <w:rPr>
          <w:rFonts w:cstheme="majorHAnsi"/>
        </w:rPr>
        <w:t xml:space="preserve">standard </w:t>
      </w:r>
      <w:r w:rsidRPr="00C325A5">
        <w:rPr>
          <w:rFonts w:cstheme="majorHAnsi"/>
        </w:rPr>
        <w:t>WHO TB case definitions [4,</w:t>
      </w:r>
      <w:r w:rsidR="008B687F">
        <w:rPr>
          <w:rFonts w:cstheme="majorHAnsi"/>
        </w:rPr>
        <w:t xml:space="preserve"> </w:t>
      </w:r>
      <w:r w:rsidRPr="00C325A5">
        <w:rPr>
          <w:rFonts w:cstheme="majorHAnsi"/>
        </w:rPr>
        <w:t>5].</w:t>
      </w:r>
      <w:r w:rsidR="00200C4E">
        <w:rPr>
          <w:rFonts w:cstheme="majorHAnsi"/>
        </w:rPr>
        <w:t xml:space="preserve"> </w:t>
      </w:r>
    </w:p>
    <w:p w14:paraId="1D2083DA" w14:textId="77777777" w:rsidR="00EC677C" w:rsidRPr="00442DA6" w:rsidRDefault="00EC677C" w:rsidP="00200C4E">
      <w:pPr>
        <w:pStyle w:val="Heading3"/>
        <w:rPr>
          <w:rFonts w:asciiTheme="minorHAnsi" w:hAnsiTheme="minorHAnsi"/>
          <w:b w:val="0"/>
          <w:i/>
          <w:color w:val="auto"/>
        </w:rPr>
      </w:pPr>
      <w:bookmarkStart w:id="8" w:name="_Toc398595325"/>
      <w:r w:rsidRPr="00442DA6">
        <w:rPr>
          <w:rFonts w:asciiTheme="minorHAnsi" w:hAnsiTheme="minorHAnsi"/>
          <w:b w:val="0"/>
          <w:i/>
          <w:color w:val="auto"/>
        </w:rPr>
        <w:t>Case definitions</w:t>
      </w:r>
      <w:bookmarkEnd w:id="8"/>
    </w:p>
    <w:p w14:paraId="0F009F25" w14:textId="77777777" w:rsidR="002F1AD5" w:rsidRPr="009A3DAB" w:rsidRDefault="002F1AD5" w:rsidP="00EC677C">
      <w:pPr>
        <w:rPr>
          <w:i/>
        </w:rPr>
      </w:pPr>
    </w:p>
    <w:p w14:paraId="036EF381" w14:textId="52E8F678" w:rsidR="00EC677C" w:rsidRDefault="002F1AD5" w:rsidP="00EC677C">
      <w:r>
        <w:t>Please see Appendix B for complete study definitions</w:t>
      </w:r>
      <w:r w:rsidR="005058B4">
        <w:t xml:space="preserve"> regarding diagnosis of TB</w:t>
      </w:r>
      <w:r>
        <w:t>.  Children</w:t>
      </w:r>
      <w:r w:rsidRPr="003E1BFD">
        <w:t xml:space="preserve"> </w:t>
      </w:r>
      <w:r w:rsidR="00EC677C" w:rsidRPr="003E1BFD">
        <w:t xml:space="preserve">meeting the following criteria </w:t>
      </w:r>
      <w:r w:rsidR="00EC677C">
        <w:t>will be considered</w:t>
      </w:r>
      <w:r w:rsidR="00EC677C" w:rsidRPr="003E1BFD">
        <w:t xml:space="preserve"> as having MDR</w:t>
      </w:r>
      <w:r w:rsidR="00CA0D49">
        <w:t>-TB</w:t>
      </w:r>
      <w:r w:rsidR="00EC677C">
        <w:t>:</w:t>
      </w:r>
    </w:p>
    <w:p w14:paraId="2ED6E811" w14:textId="657AD880" w:rsidR="002F1AD5" w:rsidRDefault="002F1AD5" w:rsidP="00225944">
      <w:pPr>
        <w:pStyle w:val="ListParagraph"/>
        <w:numPr>
          <w:ilvl w:val="0"/>
          <w:numId w:val="40"/>
        </w:numPr>
      </w:pPr>
      <w:r>
        <w:t>B</w:t>
      </w:r>
      <w:r w:rsidR="00EC677C">
        <w:t>acteriologically confirmed</w:t>
      </w:r>
      <w:r>
        <w:t>:</w:t>
      </w:r>
      <w:r w:rsidR="00EC677C">
        <w:t xml:space="preserve"> based on </w:t>
      </w:r>
      <w:r w:rsidR="00490CA8">
        <w:t>confirmed MDR DST results from a MTB isolate or genotypic result</w:t>
      </w:r>
      <w:r w:rsidR="00EC677C">
        <w:t xml:space="preserve"> </w:t>
      </w:r>
      <w:r w:rsidR="00EC677C" w:rsidRPr="005058B4">
        <w:rPr>
          <w:i/>
        </w:rPr>
        <w:t>or</w:t>
      </w:r>
      <w:r w:rsidR="00EC677C">
        <w:t xml:space="preserve"> </w:t>
      </w:r>
    </w:p>
    <w:p w14:paraId="55ACC62C" w14:textId="0E450F20" w:rsidR="002F1AD5" w:rsidRDefault="002F1AD5" w:rsidP="00225944">
      <w:pPr>
        <w:pStyle w:val="ListParagraph"/>
        <w:numPr>
          <w:ilvl w:val="0"/>
          <w:numId w:val="40"/>
        </w:numPr>
      </w:pPr>
      <w:r>
        <w:t xml:space="preserve">Clinically </w:t>
      </w:r>
      <w:r w:rsidR="00EC677C">
        <w:t xml:space="preserve">diagnosed </w:t>
      </w:r>
      <w:r w:rsidR="00490CA8">
        <w:t>MDR-</w:t>
      </w:r>
      <w:r w:rsidR="00EC677C">
        <w:t>TB</w:t>
      </w:r>
      <w:r>
        <w:t>:</w:t>
      </w:r>
      <w:r w:rsidR="00490CA8">
        <w:t xml:space="preserve"> based on t</w:t>
      </w:r>
      <w:r w:rsidR="00490CA8" w:rsidRPr="003E1BFD">
        <w:t xml:space="preserve">he provision of second-line </w:t>
      </w:r>
      <w:r w:rsidR="00490CA8">
        <w:t xml:space="preserve">TB </w:t>
      </w:r>
      <w:r w:rsidR="00490CA8" w:rsidRPr="003E1BFD">
        <w:t xml:space="preserve">drugs </w:t>
      </w:r>
      <w:r w:rsidR="00490CA8">
        <w:t xml:space="preserve">for at least 2 months </w:t>
      </w:r>
      <w:r w:rsidR="00490CA8" w:rsidRPr="003E1BFD">
        <w:t xml:space="preserve">together with either clinical evidence of tuberculosis </w:t>
      </w:r>
      <w:r w:rsidR="00CA0D49">
        <w:t>or</w:t>
      </w:r>
      <w:r w:rsidR="00CA0D49" w:rsidRPr="003E1BFD">
        <w:t xml:space="preserve"> </w:t>
      </w:r>
      <w:r w:rsidR="00490CA8" w:rsidRPr="003E1BFD">
        <w:t>a known contact with MDR</w:t>
      </w:r>
      <w:r w:rsidR="00CA0D49">
        <w:t>-TB</w:t>
      </w:r>
      <w:r w:rsidR="00490CA8" w:rsidRPr="003E1BFD">
        <w:t xml:space="preserve"> disease</w:t>
      </w:r>
      <w:r>
        <w:t>.</w:t>
      </w:r>
    </w:p>
    <w:p w14:paraId="6281602F" w14:textId="77777777" w:rsidR="002F1AD5" w:rsidRDefault="002F1AD5" w:rsidP="00EC677C"/>
    <w:p w14:paraId="7AD220F3" w14:textId="6CD602DC" w:rsidR="00EC677C" w:rsidRDefault="00EC677C" w:rsidP="00EC677C">
      <w:r>
        <w:t xml:space="preserve">Clinically diagnosed TB will be further categorized, where possible, using standard research diagnostic criteria for </w:t>
      </w:r>
      <w:proofErr w:type="spellStart"/>
      <w:r>
        <w:t>paediatric</w:t>
      </w:r>
      <w:proofErr w:type="spellEnd"/>
      <w:r>
        <w:t xml:space="preserve"> TB</w:t>
      </w:r>
      <w:r w:rsidR="00CA0D49">
        <w:t xml:space="preserve"> (see Appendix B)</w:t>
      </w:r>
      <w:r w:rsidR="00225944">
        <w:t>.</w:t>
      </w:r>
      <w:r w:rsidR="00E62873">
        <w:t xml:space="preserve"> </w:t>
      </w:r>
    </w:p>
    <w:p w14:paraId="752F439E" w14:textId="77777777" w:rsidR="002F1AD5" w:rsidRDefault="002F1AD5" w:rsidP="00EC677C"/>
    <w:p w14:paraId="3B4D296F" w14:textId="5B896DEC" w:rsidR="00835212" w:rsidRDefault="00490CA8" w:rsidP="00CC6DC0">
      <w:r>
        <w:t xml:space="preserve">Children with an isolated </w:t>
      </w:r>
      <w:proofErr w:type="spellStart"/>
      <w:r>
        <w:t>GeneXpert</w:t>
      </w:r>
      <w:proofErr w:type="spellEnd"/>
      <w:r>
        <w:t xml:space="preserve"> MTB/RIF result indicating </w:t>
      </w:r>
      <w:r w:rsidR="00321DAD">
        <w:t xml:space="preserve">rifampicin </w:t>
      </w:r>
      <w:r>
        <w:t xml:space="preserve">resistance, but in the absence of confirmed additional isoniazid resistance, </w:t>
      </w:r>
      <w:r w:rsidR="004C44EE">
        <w:t>will be analyzed as a subgroup.</w:t>
      </w:r>
    </w:p>
    <w:p w14:paraId="29BEE57D" w14:textId="424ADAB0" w:rsidR="008B687F" w:rsidRPr="004C44EE" w:rsidRDefault="00835212" w:rsidP="004C44EE">
      <w:pPr>
        <w:pStyle w:val="Heading2"/>
        <w:rPr>
          <w:rFonts w:asciiTheme="minorHAnsi" w:hAnsiTheme="minorHAnsi"/>
          <w:i/>
          <w:sz w:val="24"/>
          <w:szCs w:val="24"/>
        </w:rPr>
      </w:pPr>
      <w:bookmarkStart w:id="9" w:name="_Toc398595326"/>
      <w:r w:rsidRPr="004C44EE">
        <w:rPr>
          <w:rFonts w:asciiTheme="minorHAnsi" w:hAnsiTheme="minorHAnsi"/>
          <w:i/>
          <w:sz w:val="24"/>
          <w:szCs w:val="24"/>
        </w:rPr>
        <w:t>Interventions</w:t>
      </w:r>
      <w:bookmarkEnd w:id="9"/>
      <w:r w:rsidRPr="004C44EE">
        <w:rPr>
          <w:rFonts w:asciiTheme="minorHAnsi" w:hAnsiTheme="minorHAnsi"/>
          <w:i/>
          <w:sz w:val="24"/>
          <w:szCs w:val="24"/>
        </w:rPr>
        <w:t xml:space="preserve"> </w:t>
      </w:r>
    </w:p>
    <w:p w14:paraId="1B76AF8C" w14:textId="77777777" w:rsidR="008B687F" w:rsidRPr="004C44EE" w:rsidRDefault="008B687F" w:rsidP="004C44EE">
      <w:pPr>
        <w:pStyle w:val="Heading3"/>
        <w:rPr>
          <w:rFonts w:asciiTheme="minorHAnsi" w:hAnsiTheme="minorHAnsi"/>
          <w:b w:val="0"/>
          <w:i/>
          <w:color w:val="auto"/>
        </w:rPr>
      </w:pPr>
      <w:bookmarkStart w:id="10" w:name="_Toc398595327"/>
      <w:r w:rsidRPr="004C44EE">
        <w:rPr>
          <w:rFonts w:asciiTheme="minorHAnsi" w:hAnsiTheme="minorHAnsi"/>
          <w:b w:val="0"/>
          <w:i/>
          <w:color w:val="auto"/>
        </w:rPr>
        <w:t>Specific Primary Objectives</w:t>
      </w:r>
      <w:bookmarkEnd w:id="10"/>
    </w:p>
    <w:p w14:paraId="33395E1C" w14:textId="77777777" w:rsidR="008B687F" w:rsidRDefault="008B687F" w:rsidP="008B687F">
      <w:pPr>
        <w:rPr>
          <w:rFonts w:cstheme="majorHAnsi"/>
        </w:rPr>
      </w:pPr>
    </w:p>
    <w:p w14:paraId="3ADC2041" w14:textId="7C1956D8" w:rsidR="008B687F" w:rsidRPr="004214AE" w:rsidRDefault="008B687F" w:rsidP="008B687F">
      <w:pPr>
        <w:pStyle w:val="ListParagraph"/>
        <w:numPr>
          <w:ilvl w:val="0"/>
          <w:numId w:val="33"/>
        </w:numPr>
        <w:rPr>
          <w:rFonts w:cstheme="majorHAnsi"/>
        </w:rPr>
      </w:pPr>
      <w:r w:rsidRPr="003A1414">
        <w:rPr>
          <w:rFonts w:cstheme="majorHAnsi"/>
        </w:rPr>
        <w:t xml:space="preserve">To evaluate the efficacy and safety of MDR-TB treatment in children between 0-16 years of age with clinically or bacteriologically confirmed pulmonary or </w:t>
      </w:r>
      <w:proofErr w:type="spellStart"/>
      <w:r w:rsidRPr="003A1414">
        <w:rPr>
          <w:rFonts w:cstheme="majorHAnsi"/>
        </w:rPr>
        <w:t>extrapulmonary</w:t>
      </w:r>
      <w:proofErr w:type="spellEnd"/>
      <w:r w:rsidRPr="003A1414">
        <w:rPr>
          <w:rFonts w:cstheme="majorHAnsi"/>
        </w:rPr>
        <w:t xml:space="preserve"> MDR- TB, using standard WHO TB case definition</w:t>
      </w:r>
      <w:r w:rsidRPr="00B160AE">
        <w:rPr>
          <w:rFonts w:cstheme="majorHAnsi"/>
        </w:rPr>
        <w:t>s</w:t>
      </w:r>
      <w:r w:rsidRPr="004214AE">
        <w:rPr>
          <w:rFonts w:cstheme="majorHAnsi"/>
        </w:rPr>
        <w:t>.</w:t>
      </w:r>
      <w:r>
        <w:rPr>
          <w:rFonts w:cstheme="majorHAnsi"/>
        </w:rPr>
        <w:t xml:space="preserve"> (</w:t>
      </w:r>
      <w:proofErr w:type="gramStart"/>
      <w:r>
        <w:rPr>
          <w:rFonts w:cstheme="majorHAnsi"/>
        </w:rPr>
        <w:t>see</w:t>
      </w:r>
      <w:proofErr w:type="gramEnd"/>
      <w:r>
        <w:rPr>
          <w:rFonts w:cstheme="majorHAnsi"/>
        </w:rPr>
        <w:t xml:space="preserve"> </w:t>
      </w:r>
      <w:r w:rsidR="002F1AD5">
        <w:rPr>
          <w:rFonts w:cstheme="majorHAnsi"/>
        </w:rPr>
        <w:t>Appendix B</w:t>
      </w:r>
      <w:r>
        <w:rPr>
          <w:rFonts w:cstheme="majorHAnsi"/>
        </w:rPr>
        <w:t>)</w:t>
      </w:r>
    </w:p>
    <w:p w14:paraId="29CE2D6A" w14:textId="77777777" w:rsidR="008B687F" w:rsidRDefault="008B687F" w:rsidP="008B687F"/>
    <w:p w14:paraId="65B10024" w14:textId="77777777" w:rsidR="008B687F" w:rsidRPr="00BB07AE" w:rsidRDefault="008B687F" w:rsidP="008B687F">
      <w:r w:rsidRPr="0077406E">
        <w:t xml:space="preserve">We will describe the regimens </w:t>
      </w:r>
      <w:r w:rsidRPr="00BB07AE">
        <w:t xml:space="preserve">and </w:t>
      </w:r>
      <w:r>
        <w:t xml:space="preserve">related </w:t>
      </w:r>
      <w:r w:rsidRPr="00BB07AE">
        <w:t xml:space="preserve">treatment outcomes in children </w:t>
      </w:r>
      <w:r>
        <w:t xml:space="preserve">with </w:t>
      </w:r>
      <w:r w:rsidRPr="00BB07AE">
        <w:t>MDR-TB</w:t>
      </w:r>
      <w:r>
        <w:t xml:space="preserve">, and will address specific questions detailed below: </w:t>
      </w:r>
    </w:p>
    <w:p w14:paraId="525F4D9A" w14:textId="77777777" w:rsidR="008B687F" w:rsidRDefault="008B687F" w:rsidP="008B687F">
      <w:pPr>
        <w:rPr>
          <w:rFonts w:cstheme="majorHAnsi"/>
        </w:rPr>
      </w:pPr>
    </w:p>
    <w:p w14:paraId="2D30F5B2" w14:textId="0A6204C3" w:rsidR="008B687F" w:rsidRDefault="008B687F" w:rsidP="008B687F">
      <w:r w:rsidRPr="00A33D2C">
        <w:rPr>
          <w:i/>
        </w:rPr>
        <w:t>Question 1</w:t>
      </w:r>
      <w:r>
        <w:t>:</w:t>
      </w:r>
      <w:r w:rsidRPr="000B1A12">
        <w:t xml:space="preserve"> Among children treated for MDR-TB, do regimens containing </w:t>
      </w:r>
      <w:r w:rsidRPr="000B1A12">
        <w:sym w:font="Symbol" w:char="F0B3"/>
      </w:r>
      <w:r w:rsidRPr="000B1A12">
        <w:t>6 drugs</w:t>
      </w:r>
      <w:r>
        <w:t>, given at least during the intensive phase of treatment,</w:t>
      </w:r>
      <w:r w:rsidRPr="000B1A12">
        <w:t xml:space="preserve"> result in a similar proportion of </w:t>
      </w:r>
      <w:r w:rsidR="001A3D9D">
        <w:t>successful</w:t>
      </w:r>
      <w:r w:rsidR="001A3D9D" w:rsidRPr="000B1A12">
        <w:t xml:space="preserve"> </w:t>
      </w:r>
      <w:r w:rsidRPr="000B1A12">
        <w:t xml:space="preserve">treatment outcomes compared to regimens containing &lt;6 drugs? </w:t>
      </w:r>
    </w:p>
    <w:p w14:paraId="4A4E84F5" w14:textId="77777777" w:rsidR="008B687F" w:rsidRPr="000B1A12" w:rsidRDefault="008B687F" w:rsidP="008B687F"/>
    <w:p w14:paraId="414F75EF" w14:textId="6D5D60EA" w:rsidR="008B687F" w:rsidRPr="000B1A12" w:rsidRDefault="008B687F" w:rsidP="008B687F">
      <w:r w:rsidRPr="000B1A12">
        <w:rPr>
          <w:i/>
        </w:rPr>
        <w:t xml:space="preserve">Question </w:t>
      </w:r>
      <w:r>
        <w:rPr>
          <w:i/>
        </w:rPr>
        <w:t>2</w:t>
      </w:r>
      <w:r w:rsidRPr="000B1A12">
        <w:rPr>
          <w:i/>
        </w:rPr>
        <w:t>:</w:t>
      </w:r>
      <w:r w:rsidRPr="000B1A12">
        <w:t xml:space="preserve">  Among children treated for MDR-TB, do regimens using &lt;</w:t>
      </w:r>
      <w:r>
        <w:t>4</w:t>
      </w:r>
      <w:r w:rsidRPr="000B1A12">
        <w:t xml:space="preserve"> months of a second</w:t>
      </w:r>
      <w:r>
        <w:t>-</w:t>
      </w:r>
      <w:r w:rsidRPr="000B1A12">
        <w:t>line injectable drug (</w:t>
      </w:r>
      <w:proofErr w:type="spellStart"/>
      <w:r w:rsidRPr="000B1A12">
        <w:t>amikacin</w:t>
      </w:r>
      <w:proofErr w:type="spellEnd"/>
      <w:r w:rsidRPr="000B1A12">
        <w:t xml:space="preserve">, kanamycin, or </w:t>
      </w:r>
      <w:proofErr w:type="spellStart"/>
      <w:r w:rsidRPr="000B1A12">
        <w:t>capreomycin</w:t>
      </w:r>
      <w:proofErr w:type="spellEnd"/>
      <w:r w:rsidRPr="000B1A12">
        <w:t xml:space="preserve">) result in a similar proportion of </w:t>
      </w:r>
      <w:r w:rsidR="001A3D9D">
        <w:t>successful</w:t>
      </w:r>
      <w:r w:rsidR="001A3D9D" w:rsidRPr="000B1A12">
        <w:t xml:space="preserve"> </w:t>
      </w:r>
      <w:r w:rsidRPr="000B1A12">
        <w:t xml:space="preserve">treatment outcomes compared to regimens using </w:t>
      </w:r>
      <w:r w:rsidRPr="000B1A12">
        <w:sym w:font="Symbol" w:char="F0B3"/>
      </w:r>
      <w:r>
        <w:t>4</w:t>
      </w:r>
      <w:r w:rsidRPr="000B1A12">
        <w:t xml:space="preserve"> months of a second</w:t>
      </w:r>
      <w:r>
        <w:t>-</w:t>
      </w:r>
      <w:r w:rsidRPr="000B1A12">
        <w:t xml:space="preserve">line injectable drug? </w:t>
      </w:r>
    </w:p>
    <w:p w14:paraId="206C1DE1" w14:textId="77777777" w:rsidR="008B687F" w:rsidRPr="000B1A12" w:rsidRDefault="008B687F" w:rsidP="008B687F"/>
    <w:p w14:paraId="6EC30239" w14:textId="325BD410" w:rsidR="008B687F" w:rsidRDefault="008B687F" w:rsidP="008B687F">
      <w:pPr>
        <w:rPr>
          <w:i/>
        </w:rPr>
      </w:pPr>
      <w:r w:rsidRPr="000B1A12">
        <w:rPr>
          <w:i/>
        </w:rPr>
        <w:t xml:space="preserve">Question </w:t>
      </w:r>
      <w:r>
        <w:rPr>
          <w:i/>
        </w:rPr>
        <w:t>3</w:t>
      </w:r>
      <w:r w:rsidRPr="000B1A12">
        <w:rPr>
          <w:i/>
        </w:rPr>
        <w:t xml:space="preserve">: </w:t>
      </w:r>
      <w:r w:rsidRPr="000B1A12">
        <w:t xml:space="preserve">Among children treated for MDR-TB, do total treatment durations of &lt;18 months, result in a similar proportion of </w:t>
      </w:r>
      <w:r w:rsidR="001A3D9D">
        <w:t>successful</w:t>
      </w:r>
      <w:r w:rsidR="001A3D9D" w:rsidRPr="000B1A12">
        <w:t xml:space="preserve"> </w:t>
      </w:r>
      <w:r w:rsidRPr="000B1A12">
        <w:t xml:space="preserve">treatment outcomes compared to total treatment durations of </w:t>
      </w:r>
      <w:r w:rsidRPr="000B1A12">
        <w:sym w:font="Symbol" w:char="F0B3"/>
      </w:r>
      <w:r w:rsidRPr="000B1A12">
        <w:t>18 month regimens?</w:t>
      </w:r>
      <w:r w:rsidRPr="000B1A12">
        <w:rPr>
          <w:i/>
        </w:rPr>
        <w:t xml:space="preserve"> </w:t>
      </w:r>
    </w:p>
    <w:p w14:paraId="4A393B78" w14:textId="77777777" w:rsidR="008B687F" w:rsidRDefault="008B687F" w:rsidP="008B687F"/>
    <w:p w14:paraId="10AB40B1" w14:textId="07E3489A" w:rsidR="008B687F" w:rsidRDefault="008B687F" w:rsidP="008B687F">
      <w:r>
        <w:rPr>
          <w:i/>
        </w:rPr>
        <w:t xml:space="preserve">Question 4: </w:t>
      </w:r>
      <w:r w:rsidRPr="000B1A12">
        <w:t xml:space="preserve">Among children treated for MDR-TB, </w:t>
      </w:r>
      <w:r>
        <w:t xml:space="preserve">does the inclusion of a later generation fluoroquinolone (moxifloxacin or levofloxacin) in the treatment regimen, result </w:t>
      </w:r>
      <w:r w:rsidRPr="000B1A12">
        <w:t xml:space="preserve">in a similar proportion of </w:t>
      </w:r>
      <w:r w:rsidR="001A3D9D">
        <w:t>successful</w:t>
      </w:r>
      <w:r w:rsidR="001A3D9D" w:rsidRPr="000B1A12">
        <w:t xml:space="preserve"> </w:t>
      </w:r>
      <w:r w:rsidRPr="000B1A12">
        <w:t xml:space="preserve">treatment outcomes </w:t>
      </w:r>
      <w:r w:rsidRPr="000B1A12">
        <w:lastRenderedPageBreak/>
        <w:t xml:space="preserve">compared to treatment </w:t>
      </w:r>
      <w:r>
        <w:t>with an earlier generation fluoroquinolone (</w:t>
      </w:r>
      <w:proofErr w:type="spellStart"/>
      <w:r>
        <w:t>ofloxacin</w:t>
      </w:r>
      <w:proofErr w:type="spellEnd"/>
      <w:r>
        <w:t xml:space="preserve"> or ciprofloxacin)?</w:t>
      </w:r>
    </w:p>
    <w:p w14:paraId="14DD6E77" w14:textId="77777777" w:rsidR="008B687F" w:rsidRDefault="008B687F" w:rsidP="008B687F"/>
    <w:p w14:paraId="0DE38C7F" w14:textId="3564E6CE" w:rsidR="008B687F" w:rsidRDefault="008B687F" w:rsidP="008B687F">
      <w:r>
        <w:rPr>
          <w:i/>
        </w:rPr>
        <w:t xml:space="preserve">Question 5: </w:t>
      </w:r>
      <w:r w:rsidRPr="000B1A12">
        <w:t xml:space="preserve">Among children treated for MDR-TB, </w:t>
      </w:r>
      <w:r>
        <w:t xml:space="preserve">does the inclusion of isoniazid (high-dose, i.e. 20 mg/kg/day) in the treatment regimen, result </w:t>
      </w:r>
      <w:r w:rsidRPr="000B1A12">
        <w:t xml:space="preserve">in a similar proportion of </w:t>
      </w:r>
      <w:r w:rsidR="001A3D9D">
        <w:t xml:space="preserve">successful </w:t>
      </w:r>
      <w:r w:rsidRPr="000B1A12">
        <w:t xml:space="preserve">treatment outcomes compared to treatment </w:t>
      </w:r>
      <w:r>
        <w:t xml:space="preserve">without isoniazid (high-dose)?  </w:t>
      </w:r>
    </w:p>
    <w:p w14:paraId="6D919FA1" w14:textId="77777777" w:rsidR="008B687F" w:rsidRDefault="008B687F" w:rsidP="008B687F"/>
    <w:p w14:paraId="06A5C5DF" w14:textId="7AF742C7" w:rsidR="008B687F" w:rsidRDefault="008B687F" w:rsidP="008B687F">
      <w:pPr>
        <w:rPr>
          <w:rFonts w:cstheme="majorHAnsi"/>
          <w:b/>
          <w:i/>
        </w:rPr>
      </w:pPr>
      <w:r>
        <w:rPr>
          <w:i/>
        </w:rPr>
        <w:t xml:space="preserve">Question 6: </w:t>
      </w:r>
      <w:r w:rsidRPr="000B1A12">
        <w:t xml:space="preserve">Among children treated for MDR-TB, </w:t>
      </w:r>
      <w:r>
        <w:t xml:space="preserve">does the inclusion of ethionamide/prothionamide in the treatment regimen, result </w:t>
      </w:r>
      <w:r w:rsidRPr="000B1A12">
        <w:t xml:space="preserve">in a similar proportion of </w:t>
      </w:r>
      <w:r w:rsidR="001A3D9D">
        <w:t>successful</w:t>
      </w:r>
      <w:r w:rsidR="001A3D9D" w:rsidRPr="000B1A12">
        <w:t xml:space="preserve"> </w:t>
      </w:r>
      <w:r w:rsidRPr="000B1A12">
        <w:t xml:space="preserve">treatment outcomes compared to treatment </w:t>
      </w:r>
      <w:r>
        <w:t>without ethionamide/prothionamide?</w:t>
      </w:r>
    </w:p>
    <w:p w14:paraId="069EEB06" w14:textId="77777777" w:rsidR="008B687F" w:rsidRDefault="008B687F" w:rsidP="008B687F">
      <w:pPr>
        <w:rPr>
          <w:i/>
        </w:rPr>
      </w:pPr>
    </w:p>
    <w:p w14:paraId="7A12B167" w14:textId="1A89837A" w:rsidR="003673F5" w:rsidRPr="004C44EE" w:rsidRDefault="008B687F" w:rsidP="004C44EE">
      <w:pPr>
        <w:tabs>
          <w:tab w:val="left" w:pos="2552"/>
        </w:tabs>
        <w:rPr>
          <w:rFonts w:cs="Calibri"/>
        </w:rPr>
      </w:pPr>
      <w:r>
        <w:rPr>
          <w:rFonts w:cs="Calibri"/>
        </w:rPr>
        <w:t xml:space="preserve">See </w:t>
      </w:r>
      <w:r w:rsidR="007A58EF">
        <w:rPr>
          <w:rFonts w:cs="Calibri"/>
        </w:rPr>
        <w:t>Appendix A</w:t>
      </w:r>
      <w:r>
        <w:rPr>
          <w:rFonts w:cs="Calibri"/>
        </w:rPr>
        <w:t xml:space="preserve"> for study objectives displayed in PICO format.</w:t>
      </w:r>
    </w:p>
    <w:p w14:paraId="11963A1C" w14:textId="28859D10" w:rsidR="003673F5" w:rsidRPr="004C44EE" w:rsidRDefault="003673F5" w:rsidP="004C44EE">
      <w:pPr>
        <w:pStyle w:val="Heading2"/>
        <w:rPr>
          <w:rFonts w:asciiTheme="minorHAnsi" w:hAnsiTheme="minorHAnsi"/>
          <w:i/>
          <w:sz w:val="24"/>
          <w:szCs w:val="24"/>
        </w:rPr>
      </w:pPr>
      <w:bookmarkStart w:id="11" w:name="_Toc398595328"/>
      <w:r w:rsidRPr="004C44EE">
        <w:rPr>
          <w:rFonts w:asciiTheme="minorHAnsi" w:hAnsiTheme="minorHAnsi"/>
          <w:i/>
          <w:sz w:val="24"/>
          <w:szCs w:val="24"/>
        </w:rPr>
        <w:t>Outcome Measures</w:t>
      </w:r>
      <w:bookmarkEnd w:id="11"/>
    </w:p>
    <w:p w14:paraId="4B3FF5D9" w14:textId="77777777" w:rsidR="003673F5" w:rsidRPr="004C44EE" w:rsidRDefault="003673F5" w:rsidP="004C44EE">
      <w:pPr>
        <w:pStyle w:val="Heading3"/>
        <w:rPr>
          <w:b w:val="0"/>
          <w:i/>
          <w:color w:val="auto"/>
        </w:rPr>
      </w:pPr>
      <w:bookmarkStart w:id="12" w:name="_Toc398595329"/>
      <w:r w:rsidRPr="004C44EE">
        <w:rPr>
          <w:b w:val="0"/>
          <w:i/>
          <w:color w:val="auto"/>
        </w:rPr>
        <w:t>Primary outcome</w:t>
      </w:r>
      <w:bookmarkEnd w:id="12"/>
    </w:p>
    <w:p w14:paraId="7E562716" w14:textId="77A909FF" w:rsidR="008B687F" w:rsidRPr="00AC21E2" w:rsidRDefault="003673F5" w:rsidP="004C44EE">
      <w:pPr>
        <w:pStyle w:val="ListParagraph"/>
        <w:numPr>
          <w:ilvl w:val="0"/>
          <w:numId w:val="7"/>
        </w:numPr>
      </w:pPr>
      <w:r w:rsidRPr="00AC21E2">
        <w:t xml:space="preserve">TB treatment outcome: Successful treatment outcomes (cure or treatment completed) and unsuccessful outcome (treatment failure, death, </w:t>
      </w:r>
      <w:proofErr w:type="spellStart"/>
      <w:r w:rsidRPr="00AC21E2">
        <w:t>etc</w:t>
      </w:r>
      <w:proofErr w:type="spellEnd"/>
      <w:r w:rsidRPr="00AC21E2">
        <w:t xml:space="preserve">) as defined by WHO [4,5] (see detailed definitions </w:t>
      </w:r>
      <w:r w:rsidR="001A3D9D">
        <w:t>in Appendix B</w:t>
      </w:r>
      <w:r w:rsidRPr="00AC21E2">
        <w:t>)</w:t>
      </w:r>
    </w:p>
    <w:p w14:paraId="51239ED5" w14:textId="77777777" w:rsidR="003673F5" w:rsidRPr="004C44EE" w:rsidRDefault="003673F5" w:rsidP="004C44EE">
      <w:pPr>
        <w:pStyle w:val="Heading3"/>
        <w:rPr>
          <w:rFonts w:asciiTheme="minorHAnsi" w:hAnsiTheme="minorHAnsi"/>
          <w:b w:val="0"/>
          <w:i/>
          <w:color w:val="auto"/>
        </w:rPr>
      </w:pPr>
      <w:bookmarkStart w:id="13" w:name="_Toc398595330"/>
      <w:r w:rsidRPr="004C44EE">
        <w:rPr>
          <w:rFonts w:asciiTheme="minorHAnsi" w:hAnsiTheme="minorHAnsi"/>
          <w:b w:val="0"/>
          <w:i/>
          <w:color w:val="auto"/>
        </w:rPr>
        <w:t>Secondary outcomes</w:t>
      </w:r>
      <w:bookmarkEnd w:id="13"/>
    </w:p>
    <w:p w14:paraId="5E913D0D" w14:textId="77777777" w:rsidR="003673F5" w:rsidRPr="00AC21E2" w:rsidRDefault="003673F5" w:rsidP="003673F5">
      <w:pPr>
        <w:pStyle w:val="ListParagraph"/>
        <w:numPr>
          <w:ilvl w:val="0"/>
          <w:numId w:val="8"/>
        </w:numPr>
      </w:pPr>
      <w:r w:rsidRPr="00AC21E2">
        <w:t>Death [4,5]</w:t>
      </w:r>
    </w:p>
    <w:p w14:paraId="04DFF63D" w14:textId="77777777" w:rsidR="003673F5" w:rsidRPr="00AC21E2" w:rsidRDefault="003673F5" w:rsidP="003673F5">
      <w:pPr>
        <w:pStyle w:val="ListParagraph"/>
        <w:numPr>
          <w:ilvl w:val="0"/>
          <w:numId w:val="8"/>
        </w:numPr>
      </w:pPr>
      <w:r w:rsidRPr="00AC21E2">
        <w:t>Lost to follow-up/not evaluated [4,5]</w:t>
      </w:r>
    </w:p>
    <w:p w14:paraId="1EF645D3" w14:textId="77777777" w:rsidR="003673F5" w:rsidRPr="00AC21E2" w:rsidRDefault="003673F5" w:rsidP="003673F5">
      <w:pPr>
        <w:pStyle w:val="ListParagraph"/>
        <w:numPr>
          <w:ilvl w:val="0"/>
          <w:numId w:val="8"/>
        </w:numPr>
      </w:pPr>
      <w:r w:rsidRPr="00AC21E2">
        <w:t>2-month sputum culture conversion among those with bacteriologically confirmed TB</w:t>
      </w:r>
    </w:p>
    <w:p w14:paraId="68E163F3" w14:textId="77777777" w:rsidR="003673F5" w:rsidRPr="00AC21E2" w:rsidRDefault="003673F5" w:rsidP="003673F5">
      <w:pPr>
        <w:pStyle w:val="ListParagraph"/>
        <w:numPr>
          <w:ilvl w:val="0"/>
          <w:numId w:val="8"/>
        </w:numPr>
      </w:pPr>
      <w:r w:rsidRPr="00AC21E2">
        <w:t>Clinically significant adverse events (e.g. optic neuritis/peripheral neuropathy; thyroid dysfunction; hepatotoxicity and arthralgia/arthritis)</w:t>
      </w:r>
    </w:p>
    <w:p w14:paraId="3F3AB4C2" w14:textId="3A7205A8" w:rsidR="00A545B3" w:rsidRDefault="003673F5" w:rsidP="00A545B3">
      <w:pPr>
        <w:pStyle w:val="ListParagraph"/>
        <w:numPr>
          <w:ilvl w:val="0"/>
          <w:numId w:val="8"/>
        </w:numPr>
      </w:pPr>
      <w:r w:rsidRPr="00AC21E2">
        <w:t>Drug cost would be calculated but formal costing and health economics evaluation is beyond the scope of this revie</w:t>
      </w:r>
      <w:r w:rsidR="00A545B3">
        <w:t>w.</w:t>
      </w:r>
    </w:p>
    <w:p w14:paraId="63C0C361" w14:textId="434FD7DF" w:rsidR="00EC677C" w:rsidRPr="004C44EE" w:rsidRDefault="00820B15" w:rsidP="004C44EE">
      <w:pPr>
        <w:pStyle w:val="Heading2"/>
        <w:rPr>
          <w:rFonts w:asciiTheme="minorHAnsi" w:hAnsiTheme="minorHAnsi"/>
          <w:i/>
          <w:sz w:val="24"/>
          <w:szCs w:val="24"/>
        </w:rPr>
      </w:pPr>
      <w:bookmarkStart w:id="14" w:name="_Toc398595331"/>
      <w:r w:rsidRPr="004C44EE">
        <w:rPr>
          <w:rFonts w:asciiTheme="minorHAnsi" w:hAnsiTheme="minorHAnsi"/>
          <w:i/>
          <w:sz w:val="24"/>
          <w:szCs w:val="24"/>
        </w:rPr>
        <w:t>Search Strategy</w:t>
      </w:r>
      <w:bookmarkEnd w:id="14"/>
      <w:r w:rsidRPr="004C44EE">
        <w:rPr>
          <w:rFonts w:asciiTheme="minorHAnsi" w:hAnsiTheme="minorHAnsi"/>
          <w:i/>
          <w:sz w:val="24"/>
          <w:szCs w:val="24"/>
        </w:rPr>
        <w:t xml:space="preserve"> </w:t>
      </w:r>
    </w:p>
    <w:p w14:paraId="29E4761A" w14:textId="2293F8AC" w:rsidR="00820B15" w:rsidRDefault="00820B15">
      <w:r w:rsidRPr="003E1BFD">
        <w:t xml:space="preserve">We will </w:t>
      </w:r>
      <w:r>
        <w:t xml:space="preserve">conduct a comprehensive </w:t>
      </w:r>
      <w:r w:rsidRPr="003E1BFD">
        <w:t xml:space="preserve">search for </w:t>
      </w:r>
      <w:r>
        <w:t>all relevant evidence, regardless of language</w:t>
      </w:r>
      <w:r w:rsidR="00441CE0">
        <w:t xml:space="preserve"> </w:t>
      </w:r>
      <w:r>
        <w:t xml:space="preserve">or publication status. </w:t>
      </w:r>
      <w:r w:rsidR="007A58EF">
        <w:t xml:space="preserve">We will include unpublished data </w:t>
      </w:r>
      <w:r w:rsidR="00225944">
        <w:t>if</w:t>
      </w:r>
      <w:r w:rsidR="007A58EF">
        <w:t xml:space="preserve"> </w:t>
      </w:r>
      <w:proofErr w:type="gramStart"/>
      <w:r w:rsidR="007A58EF">
        <w:t>it has been approved by the ethics committee at it originating institution</w:t>
      </w:r>
      <w:proofErr w:type="gramEnd"/>
      <w:r w:rsidR="007A58EF">
        <w:t xml:space="preserve">.  </w:t>
      </w:r>
      <w:r>
        <w:t xml:space="preserve">We will search the following databases: </w:t>
      </w:r>
    </w:p>
    <w:p w14:paraId="64DDDC11" w14:textId="77777777" w:rsidR="00441CE0" w:rsidRDefault="00820B15">
      <w:r w:rsidRPr="003E1BFD">
        <w:t>PubMed,</w:t>
      </w:r>
      <w:r w:rsidR="00FD4E85">
        <w:t xml:space="preserve"> LILACS,</w:t>
      </w:r>
      <w:r w:rsidRPr="003E1BFD">
        <w:t xml:space="preserve"> </w:t>
      </w:r>
      <w:proofErr w:type="spellStart"/>
      <w:r w:rsidRPr="003E1BFD">
        <w:t>Embase</w:t>
      </w:r>
      <w:proofErr w:type="spellEnd"/>
      <w:r w:rsidRPr="003E1BFD">
        <w:t xml:space="preserve">, </w:t>
      </w:r>
      <w:r w:rsidRPr="00B1775D">
        <w:rPr>
          <w:i/>
        </w:rPr>
        <w:t>The Cochrane Library</w:t>
      </w:r>
      <w:r w:rsidRPr="003E1BFD">
        <w:t xml:space="preserve">, </w:t>
      </w:r>
      <w:proofErr w:type="spellStart"/>
      <w:r w:rsidRPr="003E1BFD">
        <w:t>PsychINFO</w:t>
      </w:r>
      <w:proofErr w:type="spellEnd"/>
      <w:r w:rsidRPr="003E1BFD">
        <w:t xml:space="preserve">, and </w:t>
      </w:r>
      <w:proofErr w:type="spellStart"/>
      <w:r w:rsidRPr="003E1BFD">
        <w:t>BioMedCentral</w:t>
      </w:r>
      <w:proofErr w:type="spellEnd"/>
      <w:r w:rsidRPr="003E1BFD">
        <w:t xml:space="preserve"> databases up to </w:t>
      </w:r>
      <w:r>
        <w:t>30 September 2014</w:t>
      </w:r>
      <w:r w:rsidRPr="003E1BFD">
        <w:t xml:space="preserve">, with </w:t>
      </w:r>
      <w:proofErr w:type="gramStart"/>
      <w:r w:rsidRPr="003E1BFD">
        <w:t xml:space="preserve">a </w:t>
      </w:r>
      <w:r>
        <w:t xml:space="preserve"> </w:t>
      </w:r>
      <w:r w:rsidRPr="003E1BFD">
        <w:t>search</w:t>
      </w:r>
      <w:proofErr w:type="gramEnd"/>
      <w:r w:rsidRPr="003E1BFD">
        <w:t xml:space="preserve"> strategy, using a combination of the search terms “tuberculosis”, “multidrug resistance”, </w:t>
      </w:r>
      <w:r>
        <w:t xml:space="preserve"> “MDR-TB”, </w:t>
      </w:r>
      <w:r w:rsidRPr="003E1BFD">
        <w:t>“multidrug</w:t>
      </w:r>
      <w:r>
        <w:t>-</w:t>
      </w:r>
      <w:r w:rsidRPr="003E1BFD">
        <w:t xml:space="preserve">resistant”, and “children”, both as exploded MESH headings and free-text terms, and without language restriction. </w:t>
      </w:r>
      <w:r w:rsidRPr="004214AE">
        <w:t xml:space="preserve"> </w:t>
      </w:r>
    </w:p>
    <w:p w14:paraId="3C9380D0" w14:textId="2E505338" w:rsidR="00820B15" w:rsidRDefault="00820B15">
      <w:r>
        <w:t>We will work with a search expert, and consider the following search terms: TUBERCULOSIS MULTIDRUG-RESISTANT; multidrug-resistant tuberculosis;</w:t>
      </w:r>
      <w:r w:rsidRPr="00B160AE">
        <w:t xml:space="preserve"> </w:t>
      </w:r>
      <w:r>
        <w:t>MDR tuberculosis; MDR-TB; multi-drug resistant tuberculosis; drug-resistant tuberculosis; multiple drug resistant tuberculosis</w:t>
      </w:r>
    </w:p>
    <w:p w14:paraId="76CBC1BC" w14:textId="77777777" w:rsidR="00820B15" w:rsidRDefault="00820B15" w:rsidP="00820B15">
      <w:r w:rsidRPr="003E1BFD">
        <w:t>We will search all electronically available conference abstracts from the International Union Against Tuberculosis and Lung Disease (2004–</w:t>
      </w:r>
      <w:r>
        <w:t>2014</w:t>
      </w:r>
      <w:r w:rsidRPr="003E1BFD">
        <w:t xml:space="preserve">).  </w:t>
      </w:r>
    </w:p>
    <w:p w14:paraId="01D448FB" w14:textId="77777777" w:rsidR="00820B15" w:rsidRDefault="00820B15" w:rsidP="00820B15"/>
    <w:p w14:paraId="48007D01" w14:textId="77777777" w:rsidR="00820B15" w:rsidRDefault="00820B15" w:rsidP="00820B15">
      <w:r w:rsidRPr="003E1BFD">
        <w:t>We will review the bibliographies of all retrieved articles and also contact experts in the field, to identify any additional studies.</w:t>
      </w:r>
    </w:p>
    <w:p w14:paraId="55C87591" w14:textId="77777777" w:rsidR="00820B15" w:rsidRDefault="00820B15" w:rsidP="00820B15"/>
    <w:p w14:paraId="766B330A" w14:textId="0B1F7174" w:rsidR="00835212" w:rsidRDefault="00820B15" w:rsidP="00CC6DC0">
      <w:r>
        <w:t>We will search for ongoing studies or clinical trials on the WHO International Clinical Tr</w:t>
      </w:r>
      <w:r w:rsidR="004C44EE">
        <w:t>ials Registry Platform (ICTRP).</w:t>
      </w:r>
    </w:p>
    <w:p w14:paraId="24163892" w14:textId="1BC12053" w:rsidR="00835212" w:rsidRPr="004C44EE" w:rsidRDefault="00835212" w:rsidP="004C44EE">
      <w:pPr>
        <w:pStyle w:val="Heading2"/>
        <w:rPr>
          <w:rFonts w:asciiTheme="minorHAnsi" w:hAnsiTheme="minorHAnsi"/>
          <w:i/>
          <w:sz w:val="24"/>
          <w:szCs w:val="24"/>
        </w:rPr>
      </w:pPr>
      <w:bookmarkStart w:id="15" w:name="_Toc398595332"/>
      <w:r w:rsidRPr="004C44EE">
        <w:rPr>
          <w:rFonts w:asciiTheme="minorHAnsi" w:hAnsiTheme="minorHAnsi"/>
          <w:i/>
          <w:sz w:val="24"/>
          <w:szCs w:val="24"/>
        </w:rPr>
        <w:t>Data Collection</w:t>
      </w:r>
      <w:bookmarkEnd w:id="15"/>
    </w:p>
    <w:p w14:paraId="28645FC2" w14:textId="77777777" w:rsidR="00EC677C" w:rsidRPr="00AC21E2" w:rsidRDefault="00EC677C" w:rsidP="00EC677C">
      <w:pPr>
        <w:pStyle w:val="NormalWeb"/>
        <w:rPr>
          <w:sz w:val="24"/>
          <w:szCs w:val="24"/>
        </w:rPr>
      </w:pPr>
      <w:r w:rsidRPr="00AC21E2">
        <w:rPr>
          <w:sz w:val="24"/>
          <w:szCs w:val="24"/>
        </w:rPr>
        <w:t>Two authors will independently select potentially relevant studies by scanning the titles, abstracts, and descriptor terms of the references found by the search. They will apply the inclusion criteria as defined above. Irrelevant reports will be discarded, and the full article or abstract obtained for all potentially relevant or uncertain reports. The two authors will independently apply the inclusion criteria. Studies will be reviewed for relevance, based on study design, types of participants, exposures and outcomes measures. A third party will adjudicate any disagreements that could not have been resolved by discussion. Where there is missing data, authors of relevant studies will be contacted for clarification and additional information.</w:t>
      </w:r>
    </w:p>
    <w:p w14:paraId="5F14A43C" w14:textId="77777777" w:rsidR="00EC677C" w:rsidRPr="004C44EE" w:rsidRDefault="00EC677C" w:rsidP="004C44EE">
      <w:pPr>
        <w:pStyle w:val="Heading3"/>
        <w:rPr>
          <w:rFonts w:asciiTheme="minorHAnsi" w:hAnsiTheme="minorHAnsi"/>
          <w:b w:val="0"/>
          <w:i/>
          <w:color w:val="auto"/>
        </w:rPr>
      </w:pPr>
      <w:bookmarkStart w:id="16" w:name="_Toc398595333"/>
      <w:r w:rsidRPr="004C44EE">
        <w:rPr>
          <w:rFonts w:asciiTheme="minorHAnsi" w:hAnsiTheme="minorHAnsi"/>
          <w:b w:val="0"/>
          <w:i/>
          <w:color w:val="auto"/>
        </w:rPr>
        <w:t>Data extraction and management</w:t>
      </w:r>
      <w:bookmarkEnd w:id="16"/>
      <w:r w:rsidRPr="004C44EE">
        <w:rPr>
          <w:rFonts w:asciiTheme="minorHAnsi" w:hAnsiTheme="minorHAnsi"/>
          <w:b w:val="0"/>
          <w:i/>
          <w:color w:val="auto"/>
        </w:rPr>
        <w:t xml:space="preserve">  </w:t>
      </w:r>
    </w:p>
    <w:p w14:paraId="35ED6950" w14:textId="75F1477D" w:rsidR="00EC677C" w:rsidRPr="00AC21E2" w:rsidRDefault="00EC677C" w:rsidP="00EC677C">
      <w:pPr>
        <w:pStyle w:val="NormalWeb"/>
        <w:rPr>
          <w:sz w:val="24"/>
          <w:szCs w:val="24"/>
        </w:rPr>
      </w:pPr>
      <w:r w:rsidRPr="00AC21E2">
        <w:rPr>
          <w:sz w:val="24"/>
          <w:szCs w:val="24"/>
        </w:rPr>
        <w:t xml:space="preserve">After initial search and article screening, two reviewers will independently extract information from each selected study onto </w:t>
      </w:r>
      <w:r w:rsidR="007A58EF" w:rsidRPr="00AC21E2">
        <w:rPr>
          <w:sz w:val="24"/>
          <w:szCs w:val="24"/>
        </w:rPr>
        <w:t>standardi</w:t>
      </w:r>
      <w:r w:rsidR="007A58EF">
        <w:rPr>
          <w:sz w:val="24"/>
          <w:szCs w:val="24"/>
        </w:rPr>
        <w:t>z</w:t>
      </w:r>
      <w:r w:rsidR="007A58EF" w:rsidRPr="00AC21E2">
        <w:rPr>
          <w:sz w:val="24"/>
          <w:szCs w:val="24"/>
        </w:rPr>
        <w:t xml:space="preserve">ed </w:t>
      </w:r>
      <w:r w:rsidRPr="00AC21E2">
        <w:rPr>
          <w:sz w:val="24"/>
          <w:szCs w:val="24"/>
        </w:rPr>
        <w:t>data extraction form. Extracted information will include</w:t>
      </w:r>
      <w:r w:rsidR="00441CE0">
        <w:rPr>
          <w:sz w:val="24"/>
          <w:szCs w:val="24"/>
        </w:rPr>
        <w:t xml:space="preserve"> (See Appendix C and D for complete list)</w:t>
      </w:r>
      <w:r w:rsidRPr="00AC21E2">
        <w:rPr>
          <w:sz w:val="24"/>
          <w:szCs w:val="24"/>
        </w:rPr>
        <w:t>:</w:t>
      </w:r>
    </w:p>
    <w:p w14:paraId="6FEE01E5" w14:textId="651736EA" w:rsidR="00EC677C" w:rsidRDefault="00EC677C" w:rsidP="00EC677C">
      <w:pPr>
        <w:numPr>
          <w:ilvl w:val="0"/>
          <w:numId w:val="35"/>
        </w:numPr>
        <w:spacing w:before="100" w:beforeAutospacing="1" w:after="100" w:afterAutospacing="1"/>
      </w:pPr>
      <w:r w:rsidRPr="00D11A4F">
        <w:t xml:space="preserve">Study details: citation, start and end dates, location, </w:t>
      </w:r>
      <w:proofErr w:type="gramStart"/>
      <w:r w:rsidRPr="00D11A4F">
        <w:t>study</w:t>
      </w:r>
      <w:proofErr w:type="gramEnd"/>
      <w:r w:rsidRPr="00D11A4F">
        <w:t xml:space="preserve"> design</w:t>
      </w:r>
      <w:r w:rsidR="00C538EB">
        <w:t>.</w:t>
      </w:r>
    </w:p>
    <w:p w14:paraId="4707C01D" w14:textId="66743CC3" w:rsidR="00C538EB" w:rsidRPr="00D11A4F" w:rsidRDefault="00C538EB" w:rsidP="00EC677C">
      <w:pPr>
        <w:numPr>
          <w:ilvl w:val="0"/>
          <w:numId w:val="35"/>
        </w:numPr>
        <w:spacing w:before="100" w:beforeAutospacing="1" w:after="100" w:afterAutospacing="1"/>
      </w:pPr>
      <w:r>
        <w:t xml:space="preserve">Site details: type of health care </w:t>
      </w:r>
      <w:proofErr w:type="spellStart"/>
      <w:r>
        <w:t>centre</w:t>
      </w:r>
      <w:proofErr w:type="spellEnd"/>
      <w:r>
        <w:t>, TB culture and DST methods, ability to assess for adverse events.</w:t>
      </w:r>
    </w:p>
    <w:p w14:paraId="18CB943F" w14:textId="64A34CFD" w:rsidR="00EC677C" w:rsidRDefault="00C538EB" w:rsidP="00EC677C">
      <w:pPr>
        <w:numPr>
          <w:ilvl w:val="0"/>
          <w:numId w:val="35"/>
        </w:numPr>
        <w:spacing w:before="100" w:beforeAutospacing="1" w:after="100" w:afterAutospacing="1"/>
      </w:pPr>
      <w:r>
        <w:t xml:space="preserve">Baseline patient characteristics: age, gender, date of TB diagnosis, </w:t>
      </w:r>
      <w:r w:rsidR="00C02F00">
        <w:t>nutritional status, HIV status</w:t>
      </w:r>
    </w:p>
    <w:p w14:paraId="14564C8E" w14:textId="5AFEE2B6" w:rsidR="00C02F00" w:rsidRPr="00D11A4F" w:rsidRDefault="00C02F00" w:rsidP="00EC677C">
      <w:pPr>
        <w:numPr>
          <w:ilvl w:val="0"/>
          <w:numId w:val="35"/>
        </w:numPr>
        <w:spacing w:before="100" w:beforeAutospacing="1" w:after="100" w:afterAutospacing="1"/>
      </w:pPr>
      <w:r>
        <w:t>Diagnostics: details regarding diagnosis of MDR-TB and site and extent of disease</w:t>
      </w:r>
    </w:p>
    <w:p w14:paraId="6D61E245" w14:textId="6BE4987B" w:rsidR="005473C9" w:rsidRPr="00D11A4F" w:rsidRDefault="00EC677C" w:rsidP="00EC677C">
      <w:pPr>
        <w:numPr>
          <w:ilvl w:val="0"/>
          <w:numId w:val="35"/>
        </w:numPr>
        <w:spacing w:before="100" w:beforeAutospacing="1" w:after="100" w:afterAutospacing="1"/>
      </w:pPr>
      <w:r w:rsidRPr="00D11A4F">
        <w:t xml:space="preserve">Intervention details: </w:t>
      </w:r>
      <w:r w:rsidR="00C02F00">
        <w:t>duration and medications used in MDR-</w:t>
      </w:r>
      <w:r w:rsidRPr="00D11A4F">
        <w:t xml:space="preserve">TB </w:t>
      </w:r>
      <w:r w:rsidR="00C02F00">
        <w:t>treatment</w:t>
      </w:r>
    </w:p>
    <w:p w14:paraId="6EE43BCC" w14:textId="6A0B4F8A" w:rsidR="00A545B3" w:rsidRPr="003E1BFD" w:rsidRDefault="00EC677C" w:rsidP="00225944">
      <w:pPr>
        <w:numPr>
          <w:ilvl w:val="0"/>
          <w:numId w:val="35"/>
        </w:numPr>
        <w:spacing w:before="100" w:beforeAutospacing="1" w:after="100" w:afterAutospacing="1"/>
      </w:pPr>
      <w:r w:rsidRPr="00D11A4F">
        <w:t xml:space="preserve">Outcome details: </w:t>
      </w:r>
      <w:r w:rsidR="00C02F00">
        <w:t>treatment outcomes, length of time to culture and smear conversion, length of follow-up, adverse events</w:t>
      </w:r>
      <w:r w:rsidR="00A545B3">
        <w:t>.</w:t>
      </w:r>
    </w:p>
    <w:p w14:paraId="603E3E1B" w14:textId="77777777" w:rsidR="00EC677C" w:rsidRPr="003E1BFD" w:rsidRDefault="00EC677C" w:rsidP="00EC677C">
      <w:r w:rsidRPr="003E1BFD">
        <w:t>After identification of eligible primary studies/cohorts,</w:t>
      </w:r>
      <w:r>
        <w:t xml:space="preserve"> i</w:t>
      </w:r>
      <w:r w:rsidRPr="000B1A12">
        <w:t>ndividual patient data will be requested from the authors of the studies</w:t>
      </w:r>
      <w:r>
        <w:t xml:space="preserve"> selected for inclusion.  </w:t>
      </w:r>
      <w:r w:rsidRPr="003E1BFD">
        <w:t>Studies/cohorts included in the IPD analysis will meet the following inclusion criteria:</w:t>
      </w:r>
    </w:p>
    <w:p w14:paraId="4EE173F7" w14:textId="77777777" w:rsidR="00EC677C" w:rsidRPr="003E1BFD" w:rsidRDefault="00EC677C" w:rsidP="00EC677C">
      <w:r w:rsidRPr="003E1BFD">
        <w:t>(</w:t>
      </w:r>
      <w:proofErr w:type="spellStart"/>
      <w:r w:rsidRPr="003E1BFD">
        <w:t>i</w:t>
      </w:r>
      <w:proofErr w:type="spellEnd"/>
      <w:r w:rsidRPr="003E1BFD">
        <w:t xml:space="preserve">) Investigators agree to collaborate and can provide data in electronic format within </w:t>
      </w:r>
      <w:r>
        <w:t xml:space="preserve">3 </w:t>
      </w:r>
      <w:r w:rsidRPr="003E1BFD">
        <w:t>month</w:t>
      </w:r>
      <w:r>
        <w:t>s</w:t>
      </w:r>
      <w:r w:rsidRPr="003E1BFD">
        <w:t xml:space="preserve">. </w:t>
      </w:r>
    </w:p>
    <w:p w14:paraId="3A2AA29F" w14:textId="77777777" w:rsidR="00EC677C" w:rsidRPr="003E1BFD" w:rsidRDefault="00EC677C" w:rsidP="00EC677C">
      <w:r w:rsidRPr="003E1BFD">
        <w:t>(ii) Information is complete for at least 75% of patients with the essential information (listed below).</w:t>
      </w:r>
    </w:p>
    <w:p w14:paraId="10AD8A14" w14:textId="14CBFE04" w:rsidR="00EC677C" w:rsidRDefault="00EC677C" w:rsidP="00EC677C">
      <w:pPr>
        <w:autoSpaceDE w:val="0"/>
        <w:autoSpaceDN w:val="0"/>
        <w:adjustRightInd w:val="0"/>
      </w:pPr>
      <w:r w:rsidRPr="003E1BFD">
        <w:t xml:space="preserve">(iii) At least one of the </w:t>
      </w:r>
      <w:r>
        <w:t xml:space="preserve">4 key </w:t>
      </w:r>
      <w:r w:rsidRPr="003E1BFD">
        <w:t>treatment outcomes</w:t>
      </w:r>
      <w:r>
        <w:t xml:space="preserve"> (i.e. </w:t>
      </w:r>
      <w:r w:rsidR="00441CE0">
        <w:rPr>
          <w:rFonts w:cs="AGaramond-Regular"/>
          <w:szCs w:val="18"/>
        </w:rPr>
        <w:t>c</w:t>
      </w:r>
      <w:r w:rsidRPr="006D5578">
        <w:rPr>
          <w:rFonts w:cs="AGaramond-Regular"/>
          <w:szCs w:val="18"/>
        </w:rPr>
        <w:t xml:space="preserve">ure, </w:t>
      </w:r>
      <w:r w:rsidR="00441CE0">
        <w:rPr>
          <w:rFonts w:cs="AGaramond-Regular"/>
          <w:szCs w:val="18"/>
        </w:rPr>
        <w:t>t</w:t>
      </w:r>
      <w:r w:rsidRPr="006D5578">
        <w:rPr>
          <w:rFonts w:cs="AGaramond-Regular"/>
          <w:szCs w:val="18"/>
        </w:rPr>
        <w:t>reatment completion</w:t>
      </w:r>
      <w:r>
        <w:rPr>
          <w:rFonts w:cs="AGaramond-Regular"/>
          <w:szCs w:val="18"/>
        </w:rPr>
        <w:t>,</w:t>
      </w:r>
      <w:r w:rsidRPr="006D5578">
        <w:rPr>
          <w:rFonts w:cs="AGaramond-Regular"/>
          <w:szCs w:val="18"/>
        </w:rPr>
        <w:t xml:space="preserve"> </w:t>
      </w:r>
      <w:r w:rsidR="00441CE0">
        <w:rPr>
          <w:rFonts w:cs="AGaramond-Regular"/>
          <w:szCs w:val="18"/>
        </w:rPr>
        <w:t>t</w:t>
      </w:r>
      <w:r w:rsidRPr="006D5578">
        <w:rPr>
          <w:rFonts w:cs="AGaramond-Regular"/>
          <w:szCs w:val="18"/>
        </w:rPr>
        <w:t xml:space="preserve">reatment failure, </w:t>
      </w:r>
      <w:r w:rsidR="00441CE0">
        <w:rPr>
          <w:rFonts w:cs="AGaramond-Regular"/>
          <w:szCs w:val="18"/>
        </w:rPr>
        <w:t>d</w:t>
      </w:r>
      <w:r w:rsidR="00441CE0" w:rsidRPr="006D5578">
        <w:rPr>
          <w:rFonts w:cs="AGaramond-Regular"/>
          <w:szCs w:val="18"/>
        </w:rPr>
        <w:t>ied</w:t>
      </w:r>
      <w:r w:rsidRPr="006D5578">
        <w:rPr>
          <w:rFonts w:cs="AGaramond-Regular"/>
          <w:szCs w:val="18"/>
        </w:rPr>
        <w:t xml:space="preserve">, </w:t>
      </w:r>
      <w:r>
        <w:rPr>
          <w:rFonts w:cs="AGaramond-Regular"/>
          <w:szCs w:val="18"/>
        </w:rPr>
        <w:t>l</w:t>
      </w:r>
      <w:r w:rsidRPr="00AC21E2">
        <w:rPr>
          <w:rFonts w:cs="AGaramond-Regular"/>
          <w:szCs w:val="18"/>
        </w:rPr>
        <w:t>ost to follow-up</w:t>
      </w:r>
      <w:r w:rsidR="00441CE0">
        <w:rPr>
          <w:rFonts w:cs="AGaramond-Regular"/>
          <w:szCs w:val="18"/>
        </w:rPr>
        <w:t xml:space="preserve">) were </w:t>
      </w:r>
      <w:r w:rsidRPr="003E1BFD">
        <w:t>measured</w:t>
      </w:r>
      <w:r>
        <w:t xml:space="preserve"> and reported</w:t>
      </w:r>
      <w:r w:rsidRPr="003E1BFD">
        <w:t xml:space="preserve">. </w:t>
      </w:r>
    </w:p>
    <w:p w14:paraId="44508963" w14:textId="77777777" w:rsidR="00441CE0" w:rsidRDefault="00441CE0" w:rsidP="00EC677C">
      <w:pPr>
        <w:autoSpaceDE w:val="0"/>
        <w:autoSpaceDN w:val="0"/>
        <w:adjustRightInd w:val="0"/>
      </w:pPr>
    </w:p>
    <w:p w14:paraId="702A5D2D" w14:textId="3CDD107C" w:rsidR="00EC677C" w:rsidRPr="004C44EE" w:rsidRDefault="00EC677C" w:rsidP="004C44EE">
      <w:pPr>
        <w:autoSpaceDE w:val="0"/>
        <w:autoSpaceDN w:val="0"/>
        <w:adjustRightInd w:val="0"/>
      </w:pPr>
      <w:r>
        <w:lastRenderedPageBreak/>
        <w:t>Defaulted treatment will be classified as not taking treatment for 2 months or more.</w:t>
      </w:r>
    </w:p>
    <w:p w14:paraId="2445884D" w14:textId="77777777" w:rsidR="00EC677C" w:rsidRPr="004C44EE" w:rsidRDefault="00EC677C" w:rsidP="004C44EE">
      <w:pPr>
        <w:pStyle w:val="Heading3"/>
        <w:rPr>
          <w:b w:val="0"/>
          <w:i/>
          <w:color w:val="auto"/>
        </w:rPr>
      </w:pPr>
      <w:bookmarkStart w:id="17" w:name="_Toc398595334"/>
      <w:r w:rsidRPr="004C44EE">
        <w:rPr>
          <w:b w:val="0"/>
          <w:i/>
          <w:color w:val="auto"/>
        </w:rPr>
        <w:t>Information required</w:t>
      </w:r>
      <w:bookmarkEnd w:id="17"/>
    </w:p>
    <w:p w14:paraId="0EE219A4" w14:textId="77777777" w:rsidR="00C02F00" w:rsidRPr="00BD46D3" w:rsidRDefault="00C02F00" w:rsidP="00EC677C">
      <w:pPr>
        <w:rPr>
          <w:i/>
        </w:rPr>
      </w:pPr>
    </w:p>
    <w:p w14:paraId="5196FC92" w14:textId="293D4F0F" w:rsidR="00EC677C" w:rsidRDefault="00EC677C" w:rsidP="00CC6DC0">
      <w:r>
        <w:t>If not available in the publication, t</w:t>
      </w:r>
      <w:r w:rsidRPr="003E1BFD">
        <w:t>he information</w:t>
      </w:r>
      <w:r w:rsidR="005A5898">
        <w:t xml:space="preserve"> will</w:t>
      </w:r>
      <w:r>
        <w:t xml:space="preserve"> be </w:t>
      </w:r>
      <w:r w:rsidRPr="003E1BFD">
        <w:t xml:space="preserve">requested </w:t>
      </w:r>
      <w:r>
        <w:t>from individual authors</w:t>
      </w:r>
      <w:r w:rsidR="005A5898">
        <w:t>.</w:t>
      </w:r>
      <w:r w:rsidRPr="003E1BFD">
        <w:t xml:space="preserve"> </w:t>
      </w:r>
      <w:r w:rsidR="005A5898">
        <w:t>Information requested will pertain either to the study site or individual patient (see Appendix C and D</w:t>
      </w:r>
      <w:r w:rsidR="00A545B3">
        <w:t xml:space="preserve"> for information that will be requested from authors</w:t>
      </w:r>
      <w:r w:rsidR="005A5898">
        <w:t>)</w:t>
      </w:r>
      <w:r w:rsidR="00225944">
        <w:t>.</w:t>
      </w:r>
    </w:p>
    <w:p w14:paraId="0AE25FC5" w14:textId="2DF0786D" w:rsidR="00BD46D3" w:rsidRPr="004C44EE" w:rsidRDefault="00835212" w:rsidP="004C44EE">
      <w:pPr>
        <w:pStyle w:val="Heading2"/>
        <w:rPr>
          <w:rFonts w:asciiTheme="minorHAnsi" w:hAnsiTheme="minorHAnsi"/>
          <w:i/>
          <w:sz w:val="24"/>
          <w:szCs w:val="24"/>
        </w:rPr>
      </w:pPr>
      <w:bookmarkStart w:id="18" w:name="_Toc398595335"/>
      <w:r w:rsidRPr="004C44EE">
        <w:rPr>
          <w:rFonts w:asciiTheme="minorHAnsi" w:hAnsiTheme="minorHAnsi"/>
          <w:i/>
          <w:sz w:val="24"/>
          <w:szCs w:val="24"/>
        </w:rPr>
        <w:t>Data Analysis</w:t>
      </w:r>
      <w:bookmarkEnd w:id="18"/>
    </w:p>
    <w:p w14:paraId="2980AFE8" w14:textId="0D1BBD9F" w:rsidR="00BD46D3" w:rsidRPr="00AC21E2" w:rsidRDefault="00BD46D3" w:rsidP="00BD46D3">
      <w:pPr>
        <w:pStyle w:val="NormalWeb"/>
        <w:rPr>
          <w:rFonts w:ascii="Times New Roman" w:hAnsi="Times New Roman"/>
          <w:sz w:val="24"/>
          <w:szCs w:val="24"/>
        </w:rPr>
      </w:pPr>
      <w:r w:rsidRPr="00AC21E2">
        <w:rPr>
          <w:rFonts w:ascii="Times New Roman" w:hAnsi="Times New Roman"/>
          <w:sz w:val="24"/>
          <w:szCs w:val="24"/>
        </w:rPr>
        <w:t>We will use STATA</w:t>
      </w:r>
      <w:r w:rsidR="001A3D9D">
        <w:rPr>
          <w:rFonts w:ascii="Times New Roman" w:hAnsi="Times New Roman"/>
          <w:sz w:val="24"/>
          <w:szCs w:val="24"/>
        </w:rPr>
        <w:t xml:space="preserve"> and</w:t>
      </w:r>
      <w:r w:rsidR="001A3D9D" w:rsidRPr="00AC21E2">
        <w:rPr>
          <w:rFonts w:ascii="Times New Roman" w:hAnsi="Times New Roman"/>
          <w:sz w:val="24"/>
          <w:szCs w:val="24"/>
        </w:rPr>
        <w:t xml:space="preserve"> </w:t>
      </w:r>
      <w:r w:rsidRPr="00AC21E2">
        <w:rPr>
          <w:rFonts w:ascii="Times New Roman" w:hAnsi="Times New Roman"/>
          <w:sz w:val="24"/>
          <w:szCs w:val="24"/>
        </w:rPr>
        <w:t xml:space="preserve">Excel for statistical analysis and </w:t>
      </w:r>
      <w:proofErr w:type="spellStart"/>
      <w:r w:rsidRPr="00AC21E2">
        <w:rPr>
          <w:rFonts w:ascii="Times New Roman" w:hAnsi="Times New Roman"/>
          <w:sz w:val="24"/>
          <w:szCs w:val="24"/>
        </w:rPr>
        <w:t>GRADEpro</w:t>
      </w:r>
      <w:proofErr w:type="spellEnd"/>
      <w:r w:rsidRPr="00AC21E2">
        <w:rPr>
          <w:rFonts w:ascii="Times New Roman" w:hAnsi="Times New Roman"/>
          <w:sz w:val="24"/>
          <w:szCs w:val="24"/>
        </w:rPr>
        <w:t xml:space="preserve"> software </w:t>
      </w:r>
      <w:r w:rsidRPr="00A545B3">
        <w:rPr>
          <w:rFonts w:ascii="Times New Roman" w:hAnsi="Times New Roman"/>
          <w:sz w:val="24"/>
          <w:szCs w:val="24"/>
        </w:rPr>
        <w:t>(</w:t>
      </w:r>
      <w:hyperlink r:id="rId12" w:history="1">
        <w:proofErr w:type="spellStart"/>
        <w:r w:rsidRPr="00225944">
          <w:rPr>
            <w:rStyle w:val="Hyperlink"/>
            <w:rFonts w:ascii="Times New Roman" w:hAnsi="Times New Roman"/>
            <w:color w:val="auto"/>
            <w:sz w:val="24"/>
            <w:szCs w:val="24"/>
          </w:rPr>
          <w:t>GRADEpro</w:t>
        </w:r>
        <w:proofErr w:type="spellEnd"/>
        <w:r w:rsidRPr="00225944">
          <w:rPr>
            <w:rStyle w:val="Hyperlink"/>
            <w:rFonts w:ascii="Times New Roman" w:hAnsi="Times New Roman"/>
            <w:color w:val="auto"/>
            <w:sz w:val="24"/>
            <w:szCs w:val="24"/>
          </w:rPr>
          <w:t xml:space="preserve"> 2008</w:t>
        </w:r>
      </w:hyperlink>
      <w:r w:rsidRPr="00A545B3">
        <w:rPr>
          <w:rFonts w:ascii="Times New Roman" w:hAnsi="Times New Roman"/>
          <w:sz w:val="24"/>
          <w:szCs w:val="24"/>
        </w:rPr>
        <w:t xml:space="preserve">) </w:t>
      </w:r>
      <w:r w:rsidRPr="00AC21E2">
        <w:rPr>
          <w:rFonts w:ascii="Times New Roman" w:hAnsi="Times New Roman"/>
          <w:sz w:val="24"/>
          <w:szCs w:val="24"/>
        </w:rPr>
        <w:t xml:space="preserve">to produce GRADE Summary of Findings tables and GRADE Evidence Profiles. We will </w:t>
      </w:r>
      <w:r w:rsidR="00A545B3" w:rsidRPr="00AC21E2">
        <w:rPr>
          <w:rFonts w:ascii="Times New Roman" w:hAnsi="Times New Roman"/>
          <w:sz w:val="24"/>
          <w:szCs w:val="24"/>
        </w:rPr>
        <w:t>summari</w:t>
      </w:r>
      <w:r w:rsidR="00A545B3">
        <w:rPr>
          <w:rFonts w:ascii="Times New Roman" w:hAnsi="Times New Roman"/>
          <w:sz w:val="24"/>
          <w:szCs w:val="24"/>
        </w:rPr>
        <w:t>z</w:t>
      </w:r>
      <w:r w:rsidR="00A545B3" w:rsidRPr="00AC21E2">
        <w:rPr>
          <w:rFonts w:ascii="Times New Roman" w:hAnsi="Times New Roman"/>
          <w:sz w:val="24"/>
          <w:szCs w:val="24"/>
        </w:rPr>
        <w:t xml:space="preserve">e </w:t>
      </w:r>
      <w:r w:rsidRPr="00AC21E2">
        <w:rPr>
          <w:rFonts w:ascii="Times New Roman" w:hAnsi="Times New Roman"/>
          <w:sz w:val="24"/>
          <w:szCs w:val="24"/>
        </w:rPr>
        <w:t>dichotomous outcomes for effect in terms of risk ratio (RR) with their 95% confidence intervals. We will calculate summary statistics using meta-analytic methods and present findings in GRADE Summary of Findings tables and GRADE Evidence Profiles for all outcomes of interest. </w:t>
      </w:r>
    </w:p>
    <w:p w14:paraId="48E9189E" w14:textId="2128592F" w:rsidR="00BD46D3" w:rsidRPr="004C44EE" w:rsidRDefault="00BD46D3" w:rsidP="004C44EE">
      <w:pPr>
        <w:pStyle w:val="Heading3"/>
        <w:rPr>
          <w:rFonts w:asciiTheme="minorHAnsi" w:hAnsiTheme="minorHAnsi"/>
          <w:b w:val="0"/>
          <w:i/>
          <w:color w:val="auto"/>
        </w:rPr>
      </w:pPr>
      <w:bookmarkStart w:id="19" w:name="_Toc398595336"/>
      <w:r w:rsidRPr="004C44EE">
        <w:rPr>
          <w:rFonts w:asciiTheme="minorHAnsi" w:hAnsiTheme="minorHAnsi"/>
          <w:b w:val="0"/>
          <w:i/>
          <w:color w:val="auto"/>
        </w:rPr>
        <w:t xml:space="preserve">Assessment of </w:t>
      </w:r>
      <w:r w:rsidR="00441CE0" w:rsidRPr="004C44EE">
        <w:rPr>
          <w:rFonts w:asciiTheme="minorHAnsi" w:hAnsiTheme="minorHAnsi"/>
          <w:b w:val="0"/>
          <w:i/>
          <w:color w:val="auto"/>
        </w:rPr>
        <w:t>Heterogeneity</w:t>
      </w:r>
      <w:bookmarkEnd w:id="19"/>
      <w:r w:rsidR="00441CE0" w:rsidRPr="004C44EE">
        <w:rPr>
          <w:rFonts w:asciiTheme="minorHAnsi" w:hAnsiTheme="minorHAnsi"/>
          <w:b w:val="0"/>
          <w:i/>
          <w:color w:val="auto"/>
        </w:rPr>
        <w:t xml:space="preserve">  </w:t>
      </w:r>
    </w:p>
    <w:p w14:paraId="31624E39" w14:textId="733B08E4" w:rsidR="00BD46D3" w:rsidRPr="00AC21E2" w:rsidRDefault="00441CE0" w:rsidP="00BD46D3">
      <w:pPr>
        <w:pStyle w:val="NormalWeb"/>
        <w:rPr>
          <w:rFonts w:ascii="Times New Roman" w:hAnsi="Times New Roman"/>
          <w:sz w:val="24"/>
          <w:szCs w:val="24"/>
        </w:rPr>
      </w:pPr>
      <w:r>
        <w:rPr>
          <w:rFonts w:ascii="Times New Roman" w:hAnsi="Times New Roman"/>
          <w:sz w:val="24"/>
          <w:szCs w:val="24"/>
        </w:rPr>
        <w:t>For outcomes that undergo meta-analysis</w:t>
      </w:r>
      <w:r w:rsidR="00BD46D3" w:rsidRPr="00AC21E2">
        <w:rPr>
          <w:rFonts w:ascii="Times New Roman" w:hAnsi="Times New Roman"/>
          <w:sz w:val="24"/>
          <w:szCs w:val="24"/>
        </w:rPr>
        <w:t>,</w:t>
      </w:r>
      <w:r w:rsidR="00225944">
        <w:rPr>
          <w:rFonts w:ascii="Times New Roman" w:hAnsi="Times New Roman"/>
          <w:sz w:val="24"/>
          <w:szCs w:val="24"/>
        </w:rPr>
        <w:t xml:space="preserve"> </w:t>
      </w:r>
      <w:r w:rsidR="00BD46D3" w:rsidRPr="00AC21E2">
        <w:rPr>
          <w:rFonts w:ascii="Times New Roman" w:hAnsi="Times New Roman"/>
          <w:sz w:val="24"/>
          <w:szCs w:val="24"/>
        </w:rPr>
        <w:t>we will examine heterogeneity by using the χ</w:t>
      </w:r>
      <w:r w:rsidR="00BD46D3" w:rsidRPr="00AC21E2">
        <w:rPr>
          <w:rFonts w:ascii="Times New Roman" w:hAnsi="Times New Roman"/>
          <w:sz w:val="24"/>
          <w:szCs w:val="24"/>
          <w:vertAlign w:val="superscript"/>
        </w:rPr>
        <w:t>2</w:t>
      </w:r>
      <w:r w:rsidR="00BD46D3" w:rsidRPr="00AC21E2">
        <w:rPr>
          <w:rFonts w:ascii="Times New Roman" w:hAnsi="Times New Roman"/>
          <w:sz w:val="24"/>
          <w:szCs w:val="24"/>
        </w:rPr>
        <w:t xml:space="preserve"> statistic with a significance level of 0.10, and the I</w:t>
      </w:r>
      <w:r w:rsidR="00BD46D3" w:rsidRPr="00AC21E2">
        <w:rPr>
          <w:rFonts w:ascii="Times New Roman" w:hAnsi="Times New Roman"/>
          <w:sz w:val="24"/>
          <w:szCs w:val="24"/>
          <w:vertAlign w:val="superscript"/>
        </w:rPr>
        <w:t xml:space="preserve">2 </w:t>
      </w:r>
      <w:r w:rsidR="00BD46D3" w:rsidRPr="00AC21E2">
        <w:rPr>
          <w:rFonts w:ascii="Times New Roman" w:hAnsi="Times New Roman"/>
          <w:sz w:val="24"/>
          <w:szCs w:val="24"/>
        </w:rPr>
        <w:t>statistic. We will interpret an I</w:t>
      </w:r>
      <w:r w:rsidR="00BD46D3" w:rsidRPr="00AC21E2">
        <w:rPr>
          <w:rFonts w:ascii="Times New Roman" w:hAnsi="Times New Roman"/>
          <w:sz w:val="24"/>
          <w:szCs w:val="24"/>
          <w:vertAlign w:val="superscript"/>
        </w:rPr>
        <w:t xml:space="preserve">2 </w:t>
      </w:r>
      <w:r w:rsidR="00BD46D3" w:rsidRPr="00AC21E2">
        <w:rPr>
          <w:rFonts w:ascii="Times New Roman" w:hAnsi="Times New Roman"/>
          <w:sz w:val="24"/>
          <w:szCs w:val="24"/>
        </w:rPr>
        <w:t>estimate greater than 50% as indicating moderate or high levels of heterogeneity and will investigate its causes (</w:t>
      </w:r>
      <w:hyperlink r:id="rId13" w:history="1">
        <w:r w:rsidR="00BD46D3">
          <w:rPr>
            <w:rStyle w:val="Hyperlink"/>
            <w:rFonts w:ascii="Times New Roman" w:hAnsi="Times New Roman"/>
            <w:sz w:val="24"/>
            <w:szCs w:val="24"/>
          </w:rPr>
          <w:t>8</w:t>
        </w:r>
      </w:hyperlink>
      <w:r w:rsidR="00BD46D3" w:rsidRPr="00AC21E2">
        <w:rPr>
          <w:rFonts w:ascii="Times New Roman" w:hAnsi="Times New Roman"/>
          <w:sz w:val="24"/>
          <w:szCs w:val="24"/>
        </w:rPr>
        <w:t>).</w:t>
      </w:r>
    </w:p>
    <w:p w14:paraId="235FBEF8" w14:textId="7F69E761" w:rsidR="00BD46D3" w:rsidRPr="00442DA6" w:rsidRDefault="00BD46D3" w:rsidP="004C44EE">
      <w:pPr>
        <w:pStyle w:val="Heading3"/>
        <w:rPr>
          <w:rFonts w:asciiTheme="minorHAnsi" w:hAnsiTheme="minorHAnsi"/>
          <w:b w:val="0"/>
          <w:i/>
          <w:color w:val="auto"/>
        </w:rPr>
      </w:pPr>
      <w:bookmarkStart w:id="20" w:name="_Toc398595337"/>
      <w:r w:rsidRPr="00442DA6">
        <w:rPr>
          <w:rFonts w:asciiTheme="minorHAnsi" w:hAnsiTheme="minorHAnsi"/>
          <w:b w:val="0"/>
          <w:i/>
          <w:color w:val="auto"/>
        </w:rPr>
        <w:t>Sub-</w:t>
      </w:r>
      <w:r w:rsidR="00441CE0" w:rsidRPr="00442DA6">
        <w:rPr>
          <w:rFonts w:asciiTheme="minorHAnsi" w:hAnsiTheme="minorHAnsi"/>
          <w:b w:val="0"/>
          <w:i/>
          <w:color w:val="auto"/>
        </w:rPr>
        <w:t>Group Analyses</w:t>
      </w:r>
      <w:bookmarkEnd w:id="20"/>
    </w:p>
    <w:p w14:paraId="291B4A42" w14:textId="77777777" w:rsidR="006A3B98" w:rsidRPr="000B1A12" w:rsidRDefault="006A3B98" w:rsidP="006A3B98">
      <w:pPr>
        <w:rPr>
          <w:rFonts w:cstheme="majorHAnsi"/>
        </w:rPr>
      </w:pPr>
    </w:p>
    <w:p w14:paraId="16FC9148" w14:textId="77777777" w:rsidR="006A3B98" w:rsidRPr="000B1A12" w:rsidRDefault="006A3B98" w:rsidP="006A3B98">
      <w:pPr>
        <w:rPr>
          <w:rFonts w:cstheme="majorHAnsi"/>
        </w:rPr>
      </w:pPr>
      <w:r>
        <w:rPr>
          <w:rFonts w:cstheme="majorHAnsi"/>
        </w:rPr>
        <w:t>The influence of these</w:t>
      </w:r>
      <w:r w:rsidRPr="000B1A12">
        <w:rPr>
          <w:rFonts w:cstheme="majorHAnsi"/>
        </w:rPr>
        <w:t xml:space="preserve"> </w:t>
      </w:r>
      <w:r>
        <w:rPr>
          <w:rFonts w:cstheme="majorHAnsi"/>
        </w:rPr>
        <w:t>p</w:t>
      </w:r>
      <w:r w:rsidRPr="000B1A12">
        <w:rPr>
          <w:rFonts w:cstheme="majorHAnsi"/>
        </w:rPr>
        <w:t xml:space="preserve">re-specified covariates </w:t>
      </w:r>
      <w:r>
        <w:rPr>
          <w:rFonts w:cstheme="majorHAnsi"/>
        </w:rPr>
        <w:t xml:space="preserve">on treatment outcome will be examined in the </w:t>
      </w:r>
      <w:r w:rsidRPr="000B1A12">
        <w:rPr>
          <w:rFonts w:cstheme="majorHAnsi"/>
        </w:rPr>
        <w:t>secondary analyses:</w:t>
      </w:r>
    </w:p>
    <w:p w14:paraId="725E3FAF" w14:textId="77777777" w:rsidR="006A3B98" w:rsidRDefault="006A3B98" w:rsidP="006A3B98">
      <w:pPr>
        <w:numPr>
          <w:ilvl w:val="0"/>
          <w:numId w:val="6"/>
        </w:numPr>
        <w:autoSpaceDE w:val="0"/>
        <w:autoSpaceDN w:val="0"/>
        <w:adjustRightInd w:val="0"/>
        <w:rPr>
          <w:rFonts w:cs="AGaramond-Regular"/>
          <w:szCs w:val="18"/>
        </w:rPr>
      </w:pPr>
      <w:r>
        <w:rPr>
          <w:rFonts w:cs="AGaramond-Regular"/>
          <w:szCs w:val="18"/>
        </w:rPr>
        <w:t xml:space="preserve">Disease Severity: </w:t>
      </w:r>
    </w:p>
    <w:p w14:paraId="24BE162F" w14:textId="77777777" w:rsidR="006A3B98" w:rsidRDefault="006A3B98" w:rsidP="006A3B98">
      <w:pPr>
        <w:numPr>
          <w:ilvl w:val="1"/>
          <w:numId w:val="6"/>
        </w:numPr>
        <w:autoSpaceDE w:val="0"/>
        <w:autoSpaceDN w:val="0"/>
        <w:adjustRightInd w:val="0"/>
        <w:rPr>
          <w:rFonts w:cs="AGaramond-Regular"/>
          <w:szCs w:val="18"/>
        </w:rPr>
      </w:pPr>
      <w:r>
        <w:rPr>
          <w:rFonts w:cs="AGaramond-Regular"/>
          <w:szCs w:val="18"/>
        </w:rPr>
        <w:t>Presence of cavities on chest x-ray (and CXR findings where available)</w:t>
      </w:r>
    </w:p>
    <w:p w14:paraId="2B65DB6C" w14:textId="77777777" w:rsidR="006A3B98" w:rsidRDefault="006A3B98" w:rsidP="006A3B98">
      <w:pPr>
        <w:numPr>
          <w:ilvl w:val="1"/>
          <w:numId w:val="6"/>
        </w:numPr>
        <w:autoSpaceDE w:val="0"/>
        <w:autoSpaceDN w:val="0"/>
        <w:adjustRightInd w:val="0"/>
        <w:rPr>
          <w:rFonts w:cs="AGaramond-Regular"/>
          <w:szCs w:val="18"/>
        </w:rPr>
      </w:pPr>
      <w:r>
        <w:rPr>
          <w:rFonts w:cs="AGaramond-Regular"/>
          <w:szCs w:val="18"/>
        </w:rPr>
        <w:t xml:space="preserve">Pulmonary </w:t>
      </w:r>
      <w:proofErr w:type="spellStart"/>
      <w:r>
        <w:rPr>
          <w:rFonts w:cs="AGaramond-Regular"/>
          <w:szCs w:val="18"/>
        </w:rPr>
        <w:t>vs</w:t>
      </w:r>
      <w:proofErr w:type="spellEnd"/>
      <w:r>
        <w:rPr>
          <w:rFonts w:cs="AGaramond-Regular"/>
          <w:szCs w:val="18"/>
        </w:rPr>
        <w:t xml:space="preserve"> </w:t>
      </w:r>
      <w:proofErr w:type="spellStart"/>
      <w:r w:rsidRPr="002947C1">
        <w:rPr>
          <w:rFonts w:cs="AGaramond-Regular"/>
          <w:szCs w:val="18"/>
        </w:rPr>
        <w:t>extrapulmonary</w:t>
      </w:r>
      <w:proofErr w:type="spellEnd"/>
      <w:r w:rsidRPr="002947C1">
        <w:rPr>
          <w:rFonts w:cs="AGaramond-Regular"/>
          <w:szCs w:val="18"/>
        </w:rPr>
        <w:t xml:space="preserve"> tuberculosis</w:t>
      </w:r>
      <w:r>
        <w:rPr>
          <w:rFonts w:cs="AGaramond-Regular"/>
          <w:szCs w:val="18"/>
        </w:rPr>
        <w:t xml:space="preserve"> (and type of </w:t>
      </w:r>
      <w:proofErr w:type="spellStart"/>
      <w:r>
        <w:rPr>
          <w:rFonts w:cs="AGaramond-Regular"/>
          <w:szCs w:val="18"/>
        </w:rPr>
        <w:t>extrapulmonary</w:t>
      </w:r>
      <w:proofErr w:type="spellEnd"/>
      <w:r>
        <w:rPr>
          <w:rFonts w:cs="AGaramond-Regular"/>
          <w:szCs w:val="18"/>
        </w:rPr>
        <w:t xml:space="preserve"> TB)</w:t>
      </w:r>
    </w:p>
    <w:p w14:paraId="7D9F899C" w14:textId="77777777" w:rsidR="006A3B98" w:rsidRDefault="006A3B98" w:rsidP="006A3B98">
      <w:pPr>
        <w:numPr>
          <w:ilvl w:val="1"/>
          <w:numId w:val="6"/>
        </w:numPr>
        <w:autoSpaceDE w:val="0"/>
        <w:autoSpaceDN w:val="0"/>
        <w:adjustRightInd w:val="0"/>
        <w:rPr>
          <w:rFonts w:cs="AGaramond-Regular"/>
          <w:szCs w:val="18"/>
        </w:rPr>
      </w:pPr>
      <w:r>
        <w:rPr>
          <w:rFonts w:cs="AGaramond-Regular"/>
          <w:szCs w:val="18"/>
        </w:rPr>
        <w:t xml:space="preserve">Disseminated tuberculosis (TB meningitis, </w:t>
      </w:r>
      <w:proofErr w:type="spellStart"/>
      <w:r>
        <w:rPr>
          <w:rFonts w:cs="AGaramond-Regular"/>
          <w:szCs w:val="18"/>
        </w:rPr>
        <w:t>miliary</w:t>
      </w:r>
      <w:proofErr w:type="spellEnd"/>
      <w:r>
        <w:rPr>
          <w:rFonts w:cs="AGaramond-Regular"/>
          <w:szCs w:val="18"/>
        </w:rPr>
        <w:t xml:space="preserve"> disease and other disseminated disease).</w:t>
      </w:r>
    </w:p>
    <w:p w14:paraId="6C6F1B88" w14:textId="77777777" w:rsidR="006A3B98" w:rsidRPr="00AB5F17" w:rsidRDefault="006A3B98" w:rsidP="006A3B98">
      <w:pPr>
        <w:numPr>
          <w:ilvl w:val="1"/>
          <w:numId w:val="6"/>
        </w:numPr>
        <w:autoSpaceDE w:val="0"/>
        <w:autoSpaceDN w:val="0"/>
        <w:adjustRightInd w:val="0"/>
        <w:rPr>
          <w:rFonts w:cs="AGaramond-Regular"/>
          <w:szCs w:val="18"/>
        </w:rPr>
      </w:pPr>
      <w:r>
        <w:rPr>
          <w:rFonts w:cs="AGaramond-Regular"/>
          <w:szCs w:val="18"/>
        </w:rPr>
        <w:t>Proposed consensus definitions for severe vs. non-severe TB in children</w:t>
      </w:r>
    </w:p>
    <w:p w14:paraId="7D8025F7" w14:textId="77777777" w:rsidR="006A3B98" w:rsidRPr="001111F2" w:rsidRDefault="006A3B98" w:rsidP="006A3B98">
      <w:pPr>
        <w:numPr>
          <w:ilvl w:val="0"/>
          <w:numId w:val="6"/>
        </w:numPr>
        <w:autoSpaceDE w:val="0"/>
        <w:autoSpaceDN w:val="0"/>
        <w:adjustRightInd w:val="0"/>
        <w:rPr>
          <w:rFonts w:cs="AGaramond-Regular"/>
          <w:szCs w:val="18"/>
        </w:rPr>
      </w:pPr>
      <w:r w:rsidRPr="001111F2">
        <w:rPr>
          <w:rFonts w:cs="AGaramond-Regular"/>
          <w:szCs w:val="18"/>
        </w:rPr>
        <w:t>Age</w:t>
      </w:r>
      <w:r>
        <w:rPr>
          <w:rFonts w:cs="AGaramond-Regular"/>
          <w:szCs w:val="18"/>
        </w:rPr>
        <w:t xml:space="preserve"> (strata: 0-4 years </w:t>
      </w:r>
      <w:proofErr w:type="spellStart"/>
      <w:r>
        <w:rPr>
          <w:rFonts w:cs="AGaramond-Regular"/>
          <w:szCs w:val="18"/>
        </w:rPr>
        <w:t>vs</w:t>
      </w:r>
      <w:proofErr w:type="spellEnd"/>
      <w:r>
        <w:rPr>
          <w:rFonts w:cs="AGaramond-Regular"/>
          <w:szCs w:val="18"/>
        </w:rPr>
        <w:t xml:space="preserve"> 5-14 years, as per WHO reporting categories)</w:t>
      </w:r>
    </w:p>
    <w:p w14:paraId="383D74C9" w14:textId="77777777" w:rsidR="006A3B98" w:rsidRDefault="006A3B98" w:rsidP="006A3B98">
      <w:pPr>
        <w:numPr>
          <w:ilvl w:val="0"/>
          <w:numId w:val="6"/>
        </w:numPr>
        <w:autoSpaceDE w:val="0"/>
        <w:autoSpaceDN w:val="0"/>
        <w:adjustRightInd w:val="0"/>
        <w:rPr>
          <w:rFonts w:cs="AGaramond-Regular"/>
          <w:szCs w:val="18"/>
        </w:rPr>
      </w:pPr>
      <w:r>
        <w:rPr>
          <w:rFonts w:cs="AGaramond-Regular"/>
          <w:szCs w:val="18"/>
        </w:rPr>
        <w:t>Gender</w:t>
      </w:r>
    </w:p>
    <w:p w14:paraId="28B606D5" w14:textId="77777777" w:rsidR="006A3B98" w:rsidRDefault="006A3B98" w:rsidP="006A3B98">
      <w:pPr>
        <w:numPr>
          <w:ilvl w:val="0"/>
          <w:numId w:val="6"/>
        </w:numPr>
        <w:autoSpaceDE w:val="0"/>
        <w:autoSpaceDN w:val="0"/>
        <w:adjustRightInd w:val="0"/>
        <w:rPr>
          <w:rFonts w:cs="AGaramond-Regular"/>
          <w:szCs w:val="18"/>
        </w:rPr>
      </w:pPr>
      <w:r>
        <w:rPr>
          <w:rFonts w:cs="AGaramond-Regular"/>
          <w:szCs w:val="18"/>
        </w:rPr>
        <w:t>HIV co-infection</w:t>
      </w:r>
    </w:p>
    <w:p w14:paraId="6A30DB9D" w14:textId="77777777" w:rsidR="006A3B98" w:rsidRDefault="006A3B98" w:rsidP="006A3B98">
      <w:pPr>
        <w:numPr>
          <w:ilvl w:val="0"/>
          <w:numId w:val="6"/>
        </w:numPr>
        <w:autoSpaceDE w:val="0"/>
        <w:autoSpaceDN w:val="0"/>
        <w:adjustRightInd w:val="0"/>
        <w:rPr>
          <w:rFonts w:cs="AGaramond-Regular"/>
          <w:szCs w:val="18"/>
        </w:rPr>
      </w:pPr>
      <w:r>
        <w:rPr>
          <w:rFonts w:cs="AGaramond-Regular"/>
          <w:szCs w:val="18"/>
        </w:rPr>
        <w:t>Culture status (positive growth or no growth)</w:t>
      </w:r>
    </w:p>
    <w:p w14:paraId="6F6605C0" w14:textId="77777777" w:rsidR="006A3B98" w:rsidRDefault="006A3B98" w:rsidP="006A3B98">
      <w:pPr>
        <w:numPr>
          <w:ilvl w:val="0"/>
          <w:numId w:val="6"/>
        </w:numPr>
        <w:autoSpaceDE w:val="0"/>
        <w:autoSpaceDN w:val="0"/>
        <w:adjustRightInd w:val="0"/>
        <w:rPr>
          <w:rFonts w:cs="AGaramond-Regular"/>
          <w:szCs w:val="18"/>
        </w:rPr>
      </w:pPr>
      <w:r>
        <w:rPr>
          <w:rFonts w:cs="AGaramond-Regular"/>
          <w:szCs w:val="18"/>
        </w:rPr>
        <w:t>Smear status (positive for acid fast bacilli (</w:t>
      </w:r>
      <w:proofErr w:type="gramStart"/>
      <w:r>
        <w:rPr>
          <w:rFonts w:cs="AGaramond-Regular"/>
          <w:szCs w:val="18"/>
        </w:rPr>
        <w:t>AFB)on</w:t>
      </w:r>
      <w:proofErr w:type="gramEnd"/>
      <w:r>
        <w:rPr>
          <w:rFonts w:cs="AGaramond-Regular"/>
          <w:szCs w:val="18"/>
        </w:rPr>
        <w:t xml:space="preserve">  smear or no AFB seen)</w:t>
      </w:r>
    </w:p>
    <w:p w14:paraId="37F79049" w14:textId="7C4641EB" w:rsidR="006A3B98" w:rsidRDefault="006A3B98" w:rsidP="006A3B98">
      <w:pPr>
        <w:autoSpaceDE w:val="0"/>
        <w:autoSpaceDN w:val="0"/>
        <w:adjustRightInd w:val="0"/>
        <w:rPr>
          <w:rFonts w:cs="AGaramond-Regular"/>
          <w:szCs w:val="18"/>
          <w:lang w:val="it-IT"/>
        </w:rPr>
      </w:pPr>
      <w:r w:rsidRPr="004B24AF">
        <w:rPr>
          <w:rFonts w:cs="AGaramond-Regular"/>
          <w:szCs w:val="18"/>
          <w:lang w:val="it-IT"/>
        </w:rPr>
        <w:t xml:space="preserve">3. </w:t>
      </w:r>
      <w:r>
        <w:rPr>
          <w:rFonts w:cs="AGaramond-Regular"/>
          <w:szCs w:val="18"/>
          <w:lang w:val="it-IT"/>
        </w:rPr>
        <w:t xml:space="preserve"> </w:t>
      </w:r>
      <w:proofErr w:type="spellStart"/>
      <w:r>
        <w:rPr>
          <w:rFonts w:cs="AGaramond-Regular"/>
          <w:szCs w:val="18"/>
          <w:lang w:val="it-IT"/>
        </w:rPr>
        <w:t>GeneXpert</w:t>
      </w:r>
      <w:proofErr w:type="spellEnd"/>
      <w:r>
        <w:rPr>
          <w:rFonts w:cs="AGaramond-Regular"/>
          <w:szCs w:val="18"/>
          <w:lang w:val="it-IT"/>
        </w:rPr>
        <w:t xml:space="preserve"> status </w:t>
      </w:r>
    </w:p>
    <w:p w14:paraId="2F670BD3" w14:textId="77777777" w:rsidR="006A3B98" w:rsidRPr="004B24AF" w:rsidRDefault="006A3B98" w:rsidP="006A3B98">
      <w:pPr>
        <w:autoSpaceDE w:val="0"/>
        <w:autoSpaceDN w:val="0"/>
        <w:adjustRightInd w:val="0"/>
        <w:rPr>
          <w:rFonts w:cs="AGaramond-Regular"/>
          <w:szCs w:val="18"/>
          <w:lang w:val="it-IT"/>
        </w:rPr>
      </w:pPr>
      <w:r>
        <w:rPr>
          <w:rFonts w:cs="AGaramond-Regular"/>
          <w:szCs w:val="18"/>
          <w:lang w:val="it-IT"/>
        </w:rPr>
        <w:t xml:space="preserve">4.  Second-line anti-TB </w:t>
      </w:r>
      <w:proofErr w:type="spellStart"/>
      <w:r>
        <w:rPr>
          <w:rFonts w:cs="AGaramond-Regular"/>
          <w:szCs w:val="18"/>
          <w:lang w:val="it-IT"/>
        </w:rPr>
        <w:t>drug</w:t>
      </w:r>
      <w:proofErr w:type="spellEnd"/>
      <w:r>
        <w:rPr>
          <w:rFonts w:cs="AGaramond-Regular"/>
          <w:szCs w:val="18"/>
          <w:lang w:val="it-IT"/>
        </w:rPr>
        <w:t xml:space="preserve"> </w:t>
      </w:r>
      <w:proofErr w:type="spellStart"/>
      <w:r>
        <w:rPr>
          <w:rFonts w:cs="AGaramond-Regular"/>
          <w:szCs w:val="18"/>
          <w:lang w:val="it-IT"/>
        </w:rPr>
        <w:t>resistance</w:t>
      </w:r>
      <w:proofErr w:type="spellEnd"/>
      <w:r>
        <w:rPr>
          <w:rFonts w:cs="AGaramond-Regular"/>
          <w:szCs w:val="18"/>
          <w:lang w:val="it-IT"/>
        </w:rPr>
        <w:t xml:space="preserve"> (</w:t>
      </w:r>
      <w:proofErr w:type="spellStart"/>
      <w:r>
        <w:rPr>
          <w:rFonts w:cs="AGaramond-Regular"/>
          <w:szCs w:val="18"/>
          <w:lang w:val="it-IT"/>
        </w:rPr>
        <w:t>specifically</w:t>
      </w:r>
      <w:proofErr w:type="spellEnd"/>
      <w:r>
        <w:rPr>
          <w:rFonts w:cs="AGaramond-Regular"/>
          <w:szCs w:val="18"/>
          <w:lang w:val="it-IT"/>
        </w:rPr>
        <w:t xml:space="preserve"> to </w:t>
      </w:r>
      <w:proofErr w:type="spellStart"/>
      <w:r>
        <w:rPr>
          <w:rFonts w:cs="AGaramond-Regular"/>
          <w:szCs w:val="18"/>
          <w:lang w:val="it-IT"/>
        </w:rPr>
        <w:t>amikacin</w:t>
      </w:r>
      <w:proofErr w:type="spellEnd"/>
      <w:r>
        <w:rPr>
          <w:rFonts w:cs="AGaramond-Regular"/>
          <w:szCs w:val="18"/>
          <w:lang w:val="it-IT"/>
        </w:rPr>
        <w:t xml:space="preserve"> , </w:t>
      </w:r>
      <w:r>
        <w:t xml:space="preserve">kanamycin, </w:t>
      </w:r>
      <w:proofErr w:type="spellStart"/>
      <w:r>
        <w:t>capreomycin</w:t>
      </w:r>
      <w:proofErr w:type="spellEnd"/>
      <w:r>
        <w:t xml:space="preserve"> </w:t>
      </w:r>
      <w:r>
        <w:rPr>
          <w:rFonts w:cs="AGaramond-Regular"/>
          <w:szCs w:val="18"/>
          <w:lang w:val="it-IT"/>
        </w:rPr>
        <w:t xml:space="preserve">and </w:t>
      </w:r>
      <w:proofErr w:type="spellStart"/>
      <w:r>
        <w:rPr>
          <w:rFonts w:cs="AGaramond-Regular"/>
          <w:szCs w:val="18"/>
          <w:lang w:val="it-IT"/>
        </w:rPr>
        <w:t>fluoroquinolones</w:t>
      </w:r>
      <w:proofErr w:type="spellEnd"/>
      <w:r>
        <w:rPr>
          <w:rFonts w:cs="AGaramond-Regular"/>
          <w:szCs w:val="18"/>
          <w:lang w:val="it-IT"/>
        </w:rPr>
        <w:t>, i.e. XDR-TB)</w:t>
      </w:r>
    </w:p>
    <w:p w14:paraId="1F3D662F" w14:textId="2E5BC750" w:rsidR="006A3B98" w:rsidRDefault="006A3B98" w:rsidP="006A3B98">
      <w:pPr>
        <w:autoSpaceDE w:val="0"/>
        <w:autoSpaceDN w:val="0"/>
        <w:adjustRightInd w:val="0"/>
        <w:rPr>
          <w:rFonts w:cs="AGaramond-Regular"/>
          <w:szCs w:val="18"/>
        </w:rPr>
      </w:pPr>
      <w:r>
        <w:rPr>
          <w:rFonts w:cs="AGaramond-Regular"/>
          <w:szCs w:val="18"/>
        </w:rPr>
        <w:t>5</w:t>
      </w:r>
      <w:r w:rsidRPr="004B24AF">
        <w:rPr>
          <w:rFonts w:cs="AGaramond-Regular"/>
          <w:szCs w:val="18"/>
        </w:rPr>
        <w:t xml:space="preserve">. </w:t>
      </w:r>
      <w:r w:rsidRPr="001336F8">
        <w:rPr>
          <w:rFonts w:cs="AGaramond-Regular"/>
          <w:szCs w:val="18"/>
        </w:rPr>
        <w:t>Rifampicin mono-resistance</w:t>
      </w:r>
      <w:r>
        <w:rPr>
          <w:rFonts w:cs="AGaramond-Regular"/>
          <w:szCs w:val="18"/>
        </w:rPr>
        <w:t xml:space="preserve"> (confirmed </w:t>
      </w:r>
      <w:r w:rsidR="001A3D9D">
        <w:rPr>
          <w:rFonts w:cs="AGaramond-Regular"/>
          <w:szCs w:val="18"/>
        </w:rPr>
        <w:t xml:space="preserve">rifampicin </w:t>
      </w:r>
      <w:r>
        <w:rPr>
          <w:rFonts w:cs="AGaramond-Regular"/>
          <w:szCs w:val="18"/>
        </w:rPr>
        <w:t>mono-resistance will be excluded in the IPD)</w:t>
      </w:r>
    </w:p>
    <w:p w14:paraId="1185EC53" w14:textId="77777777" w:rsidR="006A3B98" w:rsidRDefault="006A3B98" w:rsidP="006A3B98">
      <w:pPr>
        <w:autoSpaceDE w:val="0"/>
        <w:autoSpaceDN w:val="0"/>
        <w:adjustRightInd w:val="0"/>
        <w:rPr>
          <w:rFonts w:cs="AGaramond-Regular"/>
          <w:szCs w:val="18"/>
        </w:rPr>
      </w:pPr>
      <w:r>
        <w:rPr>
          <w:rFonts w:cs="AGaramond-Regular"/>
          <w:szCs w:val="18"/>
        </w:rPr>
        <w:t>6. Identification of isoniazid (INH) resistance gene mutation</w:t>
      </w:r>
    </w:p>
    <w:p w14:paraId="59C7D80F" w14:textId="77777777" w:rsidR="006A3B98" w:rsidRDefault="006A3B98" w:rsidP="006A3B98">
      <w:pPr>
        <w:autoSpaceDE w:val="0"/>
        <w:autoSpaceDN w:val="0"/>
        <w:adjustRightInd w:val="0"/>
        <w:rPr>
          <w:rFonts w:cs="AGaramond-Regular"/>
          <w:szCs w:val="18"/>
        </w:rPr>
      </w:pPr>
      <w:r>
        <w:rPr>
          <w:rFonts w:cs="AGaramond-Regular"/>
          <w:szCs w:val="18"/>
        </w:rPr>
        <w:t>7</w:t>
      </w:r>
      <w:r w:rsidRPr="004B24AF">
        <w:rPr>
          <w:rFonts w:cs="AGaramond-Regular"/>
          <w:szCs w:val="18"/>
        </w:rPr>
        <w:t xml:space="preserve">. </w:t>
      </w:r>
      <w:r w:rsidRPr="00AA220A">
        <w:rPr>
          <w:rFonts w:cs="AGaramond-Regular"/>
          <w:szCs w:val="18"/>
        </w:rPr>
        <w:t>Nutritional status</w:t>
      </w:r>
      <w:r>
        <w:rPr>
          <w:rFonts w:cs="AGaramond-Regular"/>
          <w:szCs w:val="18"/>
        </w:rPr>
        <w:t xml:space="preserve"> </w:t>
      </w:r>
    </w:p>
    <w:p w14:paraId="62B8A238" w14:textId="4B40A55E" w:rsidR="006A3B98" w:rsidRDefault="006A3B98" w:rsidP="006A3B98">
      <w:pPr>
        <w:autoSpaceDE w:val="0"/>
        <w:autoSpaceDN w:val="0"/>
        <w:adjustRightInd w:val="0"/>
        <w:rPr>
          <w:rFonts w:cs="AGaramond-Regular"/>
          <w:szCs w:val="18"/>
        </w:rPr>
      </w:pPr>
      <w:r>
        <w:rPr>
          <w:rFonts w:cs="AGaramond-Regular"/>
          <w:szCs w:val="18"/>
        </w:rPr>
        <w:lastRenderedPageBreak/>
        <w:t>8. Delivery of standardized treatment regimens versus treatment regimens individualized by DST</w:t>
      </w:r>
      <w:r w:rsidR="00970472">
        <w:rPr>
          <w:rFonts w:cs="AGaramond-Regular"/>
          <w:szCs w:val="18"/>
        </w:rPr>
        <w:t xml:space="preserve"> (either DST of the patient’s isolate or of their TB contact)</w:t>
      </w:r>
      <w:r>
        <w:rPr>
          <w:rFonts w:cs="AGaramond-Regular"/>
          <w:szCs w:val="18"/>
        </w:rPr>
        <w:t>, if available.</w:t>
      </w:r>
    </w:p>
    <w:p w14:paraId="60343853" w14:textId="77777777" w:rsidR="006A3B98" w:rsidRDefault="006A3B98" w:rsidP="006A3B98">
      <w:pPr>
        <w:autoSpaceDE w:val="0"/>
        <w:autoSpaceDN w:val="0"/>
        <w:adjustRightInd w:val="0"/>
        <w:rPr>
          <w:rFonts w:cs="AGaramond-Regular"/>
          <w:szCs w:val="18"/>
        </w:rPr>
      </w:pPr>
      <w:r>
        <w:rPr>
          <w:rFonts w:cs="AGaramond-Regular"/>
          <w:szCs w:val="18"/>
        </w:rPr>
        <w:t xml:space="preserve">9. DOT (directly observed therapy) use </w:t>
      </w:r>
    </w:p>
    <w:p w14:paraId="7C2E9D8D" w14:textId="3A7D0B90" w:rsidR="00954444" w:rsidRPr="004C44EE" w:rsidRDefault="006A3B98" w:rsidP="004C44EE">
      <w:pPr>
        <w:autoSpaceDE w:val="0"/>
        <w:autoSpaceDN w:val="0"/>
        <w:adjustRightInd w:val="0"/>
        <w:rPr>
          <w:rFonts w:cs="AGaramond-Regular"/>
          <w:szCs w:val="18"/>
        </w:rPr>
      </w:pPr>
      <w:r>
        <w:rPr>
          <w:rFonts w:cs="AGaramond-Regular"/>
          <w:szCs w:val="18"/>
        </w:rPr>
        <w:t xml:space="preserve">10. Hospital-based vs. ambulatory care </w:t>
      </w:r>
    </w:p>
    <w:p w14:paraId="6A05D673" w14:textId="6AE508AD" w:rsidR="0057614B" w:rsidRPr="004C44EE" w:rsidRDefault="0057614B" w:rsidP="004C44EE">
      <w:pPr>
        <w:pStyle w:val="Heading3"/>
        <w:rPr>
          <w:rFonts w:asciiTheme="minorHAnsi" w:hAnsiTheme="minorHAnsi"/>
          <w:b w:val="0"/>
          <w:i/>
          <w:color w:val="auto"/>
        </w:rPr>
      </w:pPr>
      <w:bookmarkStart w:id="21" w:name="_Toc398595338"/>
      <w:r w:rsidRPr="004C44EE">
        <w:rPr>
          <w:rFonts w:asciiTheme="minorHAnsi" w:hAnsiTheme="minorHAnsi"/>
          <w:b w:val="0"/>
          <w:i/>
          <w:color w:val="auto"/>
        </w:rPr>
        <w:t xml:space="preserve">Assessing </w:t>
      </w:r>
      <w:r w:rsidR="00441CE0" w:rsidRPr="004C44EE">
        <w:rPr>
          <w:rFonts w:asciiTheme="minorHAnsi" w:hAnsiTheme="minorHAnsi"/>
          <w:b w:val="0"/>
          <w:i/>
          <w:color w:val="auto"/>
        </w:rPr>
        <w:t xml:space="preserve">Quality </w:t>
      </w:r>
      <w:r w:rsidRPr="004C44EE">
        <w:rPr>
          <w:rFonts w:asciiTheme="minorHAnsi" w:hAnsiTheme="minorHAnsi"/>
          <w:b w:val="0"/>
          <w:i/>
          <w:color w:val="auto"/>
        </w:rPr>
        <w:t xml:space="preserve">of </w:t>
      </w:r>
      <w:r w:rsidR="00441CE0" w:rsidRPr="004C44EE">
        <w:rPr>
          <w:rFonts w:asciiTheme="minorHAnsi" w:hAnsiTheme="minorHAnsi"/>
          <w:b w:val="0"/>
          <w:i/>
          <w:color w:val="auto"/>
        </w:rPr>
        <w:t>Included Studies</w:t>
      </w:r>
      <w:r w:rsidRPr="004C44EE">
        <w:rPr>
          <w:rFonts w:asciiTheme="minorHAnsi" w:hAnsiTheme="minorHAnsi"/>
          <w:b w:val="0"/>
          <w:i/>
          <w:color w:val="auto"/>
        </w:rPr>
        <w:t>/</w:t>
      </w:r>
      <w:r w:rsidR="00441CE0" w:rsidRPr="004C44EE">
        <w:rPr>
          <w:rFonts w:asciiTheme="minorHAnsi" w:hAnsiTheme="minorHAnsi"/>
          <w:b w:val="0"/>
          <w:i/>
          <w:color w:val="auto"/>
        </w:rPr>
        <w:t xml:space="preserve">Risk </w:t>
      </w:r>
      <w:r w:rsidRPr="004C44EE">
        <w:rPr>
          <w:rFonts w:asciiTheme="minorHAnsi" w:hAnsiTheme="minorHAnsi"/>
          <w:b w:val="0"/>
          <w:i/>
          <w:color w:val="auto"/>
        </w:rPr>
        <w:t xml:space="preserve">of </w:t>
      </w:r>
      <w:r w:rsidR="00441CE0" w:rsidRPr="004C44EE">
        <w:rPr>
          <w:rFonts w:asciiTheme="minorHAnsi" w:hAnsiTheme="minorHAnsi"/>
          <w:b w:val="0"/>
          <w:i/>
          <w:color w:val="auto"/>
        </w:rPr>
        <w:t>Bias</w:t>
      </w:r>
      <w:bookmarkEnd w:id="21"/>
    </w:p>
    <w:p w14:paraId="72182BB9" w14:textId="0AA1A4D6" w:rsidR="0038173D" w:rsidRPr="00AC21E2" w:rsidRDefault="0038173D" w:rsidP="0038173D">
      <w:pPr>
        <w:pStyle w:val="NormalWeb"/>
        <w:rPr>
          <w:sz w:val="24"/>
          <w:szCs w:val="24"/>
        </w:rPr>
      </w:pPr>
      <w:r w:rsidRPr="00AC21E2">
        <w:rPr>
          <w:sz w:val="24"/>
          <w:szCs w:val="24"/>
        </w:rPr>
        <w:t>Two review authors will independently assess the risk of bias within the included studies against key criteria described below. We will resolve disagreements by consensus, or involve an arbitrator when necessary.</w:t>
      </w:r>
    </w:p>
    <w:p w14:paraId="7F1914EE" w14:textId="5367D403" w:rsidR="0038173D" w:rsidRPr="004C44EE" w:rsidRDefault="00414130" w:rsidP="0038173D">
      <w:pPr>
        <w:pStyle w:val="NormalWeb"/>
        <w:rPr>
          <w:rFonts w:asciiTheme="minorHAnsi" w:hAnsiTheme="minorHAnsi"/>
          <w:i/>
          <w:sz w:val="24"/>
          <w:szCs w:val="24"/>
        </w:rPr>
      </w:pPr>
      <w:r w:rsidRPr="004C44EE">
        <w:rPr>
          <w:rFonts w:asciiTheme="minorHAnsi" w:hAnsiTheme="minorHAnsi"/>
          <w:bCs/>
          <w:i/>
          <w:sz w:val="24"/>
          <w:szCs w:val="24"/>
        </w:rPr>
        <w:t>Co</w:t>
      </w:r>
      <w:r w:rsidR="009D36B5" w:rsidRPr="004C44EE">
        <w:rPr>
          <w:rFonts w:asciiTheme="minorHAnsi" w:hAnsiTheme="minorHAnsi"/>
          <w:bCs/>
          <w:i/>
          <w:sz w:val="24"/>
          <w:szCs w:val="24"/>
        </w:rPr>
        <w:t xml:space="preserve">ntrolled </w:t>
      </w:r>
      <w:r w:rsidR="0038173D" w:rsidRPr="004C44EE">
        <w:rPr>
          <w:rFonts w:asciiTheme="minorHAnsi" w:hAnsiTheme="minorHAnsi"/>
          <w:bCs/>
          <w:i/>
          <w:sz w:val="24"/>
          <w:szCs w:val="24"/>
        </w:rPr>
        <w:t xml:space="preserve">Cohort </w:t>
      </w:r>
      <w:r w:rsidR="00441CE0" w:rsidRPr="004C44EE">
        <w:rPr>
          <w:rFonts w:asciiTheme="minorHAnsi" w:hAnsiTheme="minorHAnsi"/>
          <w:bCs/>
          <w:i/>
          <w:sz w:val="24"/>
          <w:szCs w:val="24"/>
        </w:rPr>
        <w:t>Studies</w:t>
      </w:r>
    </w:p>
    <w:p w14:paraId="0044F6AF" w14:textId="5888A640" w:rsidR="0038173D" w:rsidRPr="00AC21E2" w:rsidRDefault="0038173D" w:rsidP="0038173D">
      <w:pPr>
        <w:pStyle w:val="NormalWeb"/>
        <w:rPr>
          <w:sz w:val="24"/>
          <w:szCs w:val="24"/>
        </w:rPr>
      </w:pPr>
      <w:r w:rsidRPr="00AC21E2">
        <w:rPr>
          <w:sz w:val="24"/>
          <w:szCs w:val="24"/>
        </w:rPr>
        <w:t xml:space="preserve">We will use the Newcastle-Ottawa Scale </w:t>
      </w:r>
      <w:r w:rsidRPr="006A3B98">
        <w:rPr>
          <w:sz w:val="24"/>
          <w:szCs w:val="24"/>
        </w:rPr>
        <w:t>(</w:t>
      </w:r>
      <w:hyperlink r:id="rId14" w:history="1">
        <w:r w:rsidRPr="00970472">
          <w:rPr>
            <w:rStyle w:val="Hyperlink"/>
            <w:color w:val="auto"/>
            <w:sz w:val="24"/>
            <w:szCs w:val="24"/>
          </w:rPr>
          <w:t>Newcastle-Ottawa Scale</w:t>
        </w:r>
      </w:hyperlink>
      <w:r w:rsidRPr="006A3B98">
        <w:rPr>
          <w:sz w:val="24"/>
          <w:szCs w:val="24"/>
        </w:rPr>
        <w:t xml:space="preserve">) </w:t>
      </w:r>
      <w:r w:rsidRPr="00AC21E2">
        <w:rPr>
          <w:sz w:val="24"/>
          <w:szCs w:val="24"/>
        </w:rPr>
        <w:t>to assess the quality and risk of bias in non-</w:t>
      </w:r>
      <w:r w:rsidR="00083092" w:rsidRPr="00AC21E2">
        <w:rPr>
          <w:sz w:val="24"/>
          <w:szCs w:val="24"/>
        </w:rPr>
        <w:t>randomi</w:t>
      </w:r>
      <w:r w:rsidR="00083092">
        <w:rPr>
          <w:sz w:val="24"/>
          <w:szCs w:val="24"/>
        </w:rPr>
        <w:t>z</w:t>
      </w:r>
      <w:r w:rsidR="00083092" w:rsidRPr="00AC21E2">
        <w:rPr>
          <w:sz w:val="24"/>
          <w:szCs w:val="24"/>
        </w:rPr>
        <w:t xml:space="preserve">ed </w:t>
      </w:r>
      <w:r w:rsidRPr="00AC21E2">
        <w:rPr>
          <w:sz w:val="24"/>
          <w:szCs w:val="24"/>
        </w:rPr>
        <w:t>studies. Specifically, the scale uses a star system to judge three general areas: selection of study groups, comparability of groups, and ascertainment of outcomes (in the case of cohort studies). As a result, this instrument can assess the quality of non-</w:t>
      </w:r>
      <w:r w:rsidR="00083092" w:rsidRPr="00AC21E2">
        <w:rPr>
          <w:sz w:val="24"/>
          <w:szCs w:val="24"/>
        </w:rPr>
        <w:t>randomi</w:t>
      </w:r>
      <w:r w:rsidR="00083092">
        <w:rPr>
          <w:sz w:val="24"/>
          <w:szCs w:val="24"/>
        </w:rPr>
        <w:t>z</w:t>
      </w:r>
      <w:r w:rsidR="00083092" w:rsidRPr="00AC21E2">
        <w:rPr>
          <w:sz w:val="24"/>
          <w:szCs w:val="24"/>
        </w:rPr>
        <w:t xml:space="preserve">ed </w:t>
      </w:r>
      <w:r w:rsidRPr="00AC21E2">
        <w:rPr>
          <w:sz w:val="24"/>
          <w:szCs w:val="24"/>
        </w:rPr>
        <w:t>studies so that they can be used in a meta-analysis or systematic review.</w:t>
      </w:r>
    </w:p>
    <w:p w14:paraId="20133033" w14:textId="77777777" w:rsidR="006A3B98" w:rsidRPr="004C44EE" w:rsidRDefault="009D36B5" w:rsidP="004C44EE">
      <w:pPr>
        <w:pStyle w:val="Heading3"/>
        <w:rPr>
          <w:rFonts w:asciiTheme="minorHAnsi" w:hAnsiTheme="minorHAnsi"/>
          <w:b w:val="0"/>
          <w:i/>
          <w:color w:val="auto"/>
        </w:rPr>
      </w:pPr>
      <w:bookmarkStart w:id="22" w:name="_Toc398595339"/>
      <w:r w:rsidRPr="004C44EE">
        <w:rPr>
          <w:rFonts w:asciiTheme="minorHAnsi" w:hAnsiTheme="minorHAnsi"/>
          <w:b w:val="0"/>
          <w:i/>
          <w:color w:val="auto"/>
        </w:rPr>
        <w:t>Assessment of Quality of Evidence Across Studies</w:t>
      </w:r>
      <w:bookmarkEnd w:id="22"/>
    </w:p>
    <w:p w14:paraId="10A81BB2" w14:textId="3980365A" w:rsidR="0057614B" w:rsidRPr="004C44EE" w:rsidRDefault="009D36B5" w:rsidP="004C44EE">
      <w:pPr>
        <w:pStyle w:val="NormalWeb"/>
        <w:spacing w:before="0" w:beforeAutospacing="0" w:after="0" w:afterAutospacing="0"/>
        <w:rPr>
          <w:bCs/>
          <w:i/>
          <w:sz w:val="24"/>
          <w:szCs w:val="24"/>
        </w:rPr>
      </w:pPr>
      <w:r w:rsidRPr="00AC21E2">
        <w:rPr>
          <w:sz w:val="24"/>
          <w:szCs w:val="24"/>
        </w:rPr>
        <w:br/>
        <w:t>We will assess the quality of evidence across a body of evidence (i.e., multiple studies with similar interventions and outcomes) with the GRADE approach (</w:t>
      </w:r>
      <w:hyperlink r:id="rId15" w:history="1">
        <w:r>
          <w:rPr>
            <w:rStyle w:val="Hyperlink"/>
            <w:sz w:val="24"/>
            <w:szCs w:val="24"/>
          </w:rPr>
          <w:t>6</w:t>
        </w:r>
      </w:hyperlink>
      <w:r w:rsidRPr="00AC21E2">
        <w:rPr>
          <w:sz w:val="24"/>
          <w:szCs w:val="24"/>
        </w:rPr>
        <w:t>), defining the quality of evidence for each outcome as “the extent to which one can be confident that an estimate of effect or association is close to the quantity of specific interest” (</w:t>
      </w:r>
      <w:hyperlink r:id="rId16" w:history="1">
        <w:r>
          <w:rPr>
            <w:rStyle w:val="Hyperlink"/>
            <w:sz w:val="24"/>
            <w:szCs w:val="24"/>
          </w:rPr>
          <w:t>7</w:t>
        </w:r>
      </w:hyperlink>
      <w:r w:rsidRPr="00AC21E2">
        <w:rPr>
          <w:sz w:val="24"/>
          <w:szCs w:val="24"/>
        </w:rPr>
        <w:t xml:space="preserve">). The quality rating across studies has four levels: high, moderate, low or very low. </w:t>
      </w:r>
      <w:r w:rsidR="006A3B98" w:rsidRPr="00AC21E2">
        <w:rPr>
          <w:sz w:val="24"/>
          <w:szCs w:val="24"/>
        </w:rPr>
        <w:t>Randomi</w:t>
      </w:r>
      <w:r w:rsidR="006A3B98">
        <w:rPr>
          <w:sz w:val="24"/>
          <w:szCs w:val="24"/>
        </w:rPr>
        <w:t>z</w:t>
      </w:r>
      <w:r w:rsidR="006A3B98" w:rsidRPr="00AC21E2">
        <w:rPr>
          <w:sz w:val="24"/>
          <w:szCs w:val="24"/>
        </w:rPr>
        <w:t xml:space="preserve">ed </w:t>
      </w:r>
      <w:r w:rsidRPr="00AC21E2">
        <w:rPr>
          <w:sz w:val="24"/>
          <w:szCs w:val="24"/>
        </w:rPr>
        <w:t xml:space="preserve">controlled trials are initially </w:t>
      </w:r>
      <w:r w:rsidR="006A3B98" w:rsidRPr="00AC21E2">
        <w:rPr>
          <w:sz w:val="24"/>
          <w:szCs w:val="24"/>
        </w:rPr>
        <w:t>categori</w:t>
      </w:r>
      <w:r w:rsidR="006A3B98">
        <w:rPr>
          <w:sz w:val="24"/>
          <w:szCs w:val="24"/>
        </w:rPr>
        <w:t>z</w:t>
      </w:r>
      <w:r w:rsidR="006A3B98" w:rsidRPr="00AC21E2">
        <w:rPr>
          <w:sz w:val="24"/>
          <w:szCs w:val="24"/>
        </w:rPr>
        <w:t xml:space="preserve">ed </w:t>
      </w:r>
      <w:r w:rsidRPr="00AC21E2">
        <w:rPr>
          <w:sz w:val="24"/>
          <w:szCs w:val="24"/>
        </w:rPr>
        <w:t xml:space="preserve">as providing high quality evidence, but the quality can be downgraded; similarly, other types of controlled trials and observational studies are initially </w:t>
      </w:r>
      <w:r w:rsidR="006A3B98" w:rsidRPr="00AC21E2">
        <w:rPr>
          <w:sz w:val="24"/>
          <w:szCs w:val="24"/>
        </w:rPr>
        <w:t>categori</w:t>
      </w:r>
      <w:r w:rsidR="006A3B98">
        <w:rPr>
          <w:sz w:val="24"/>
          <w:szCs w:val="24"/>
        </w:rPr>
        <w:t>z</w:t>
      </w:r>
      <w:r w:rsidR="006A3B98" w:rsidRPr="00AC21E2">
        <w:rPr>
          <w:sz w:val="24"/>
          <w:szCs w:val="24"/>
        </w:rPr>
        <w:t xml:space="preserve">ed </w:t>
      </w:r>
      <w:r w:rsidRPr="00AC21E2">
        <w:rPr>
          <w:sz w:val="24"/>
          <w:szCs w:val="24"/>
        </w:rPr>
        <w:t>as providing low quality evidence, but the quality can be upgraded. Factors that decrease the quality of evidence include limitations in design, indirectness of evidence, unexplained heterogeneity or inconsistency of results, imprecision of results or high probability of publication bias. Factors that can increase the quality level of a body of evidence include a large magnitude of effect, if all plausible confounding would lead to an underestimation of effect and if there is a dose-response gradient.</w:t>
      </w:r>
    </w:p>
    <w:p w14:paraId="3DAC645B" w14:textId="06B1E1E2" w:rsidR="00954444" w:rsidRPr="004C44EE" w:rsidRDefault="001A3D9D" w:rsidP="004C44EE">
      <w:pPr>
        <w:pStyle w:val="Heading1"/>
        <w:rPr>
          <w:rFonts w:asciiTheme="minorHAnsi" w:hAnsiTheme="minorHAnsi"/>
          <w:sz w:val="24"/>
          <w:szCs w:val="24"/>
        </w:rPr>
      </w:pPr>
      <w:bookmarkStart w:id="23" w:name="_Toc398595340"/>
      <w:r w:rsidRPr="004C44EE">
        <w:rPr>
          <w:rFonts w:asciiTheme="minorHAnsi" w:hAnsiTheme="minorHAnsi"/>
          <w:sz w:val="24"/>
          <w:szCs w:val="24"/>
        </w:rPr>
        <w:t>Ethics</w:t>
      </w:r>
      <w:bookmarkEnd w:id="23"/>
    </w:p>
    <w:p w14:paraId="62B515FC" w14:textId="6A70A713" w:rsidR="00970472" w:rsidRPr="004C44EE" w:rsidRDefault="00246568">
      <w:r>
        <w:t xml:space="preserve">No additional data will be collected for this purpose of this study. </w:t>
      </w:r>
      <w:r w:rsidR="00970472">
        <w:t xml:space="preserve">This evidence synthesis will combine already collected and disseminated data.  Only data that has been approved by the ethics committee at the original institution will be </w:t>
      </w:r>
      <w:r w:rsidR="00B32D4F">
        <w:t>considered for inclusion in the study</w:t>
      </w:r>
      <w:r w:rsidR="00970472">
        <w:t xml:space="preserve">.  </w:t>
      </w:r>
      <w:r w:rsidR="00B32D4F">
        <w:t>Data sharing agreements will be completed, along with central ethics approval at one central research ethics committee (Stellenbosch University)</w:t>
      </w:r>
      <w:r w:rsidR="00B32D4F" w:rsidRPr="000B1A12">
        <w:t>.</w:t>
      </w:r>
      <w:r w:rsidR="001A3D9D">
        <w:t xml:space="preserve">  </w:t>
      </w:r>
      <w:r w:rsidR="00327B6E">
        <w:t xml:space="preserve">All collaborating investigators will be invited to share publication credit and will be acknowledged accordingly. </w:t>
      </w:r>
    </w:p>
    <w:p w14:paraId="479C025A" w14:textId="0FEBF708" w:rsidR="00B32D4F" w:rsidRPr="004C44EE" w:rsidRDefault="00F668FF" w:rsidP="004C44EE">
      <w:pPr>
        <w:pStyle w:val="Heading2"/>
        <w:rPr>
          <w:rFonts w:asciiTheme="minorHAnsi" w:hAnsiTheme="minorHAnsi"/>
          <w:i/>
          <w:sz w:val="24"/>
          <w:szCs w:val="24"/>
        </w:rPr>
      </w:pPr>
      <w:bookmarkStart w:id="24" w:name="_Toc398595341"/>
      <w:r w:rsidRPr="004C44EE">
        <w:rPr>
          <w:rFonts w:asciiTheme="minorHAnsi" w:hAnsiTheme="minorHAnsi"/>
          <w:i/>
          <w:sz w:val="24"/>
          <w:szCs w:val="24"/>
        </w:rPr>
        <w:t>Risks</w:t>
      </w:r>
      <w:r w:rsidR="00B32D4F" w:rsidRPr="004C44EE">
        <w:rPr>
          <w:rFonts w:asciiTheme="minorHAnsi" w:hAnsiTheme="minorHAnsi"/>
          <w:i/>
          <w:sz w:val="24"/>
          <w:szCs w:val="24"/>
        </w:rPr>
        <w:t xml:space="preserve"> to Subjects Included in the </w:t>
      </w:r>
      <w:r w:rsidR="001A3D9D" w:rsidRPr="004C44EE">
        <w:rPr>
          <w:rFonts w:asciiTheme="minorHAnsi" w:hAnsiTheme="minorHAnsi"/>
          <w:i/>
          <w:sz w:val="24"/>
          <w:szCs w:val="24"/>
        </w:rPr>
        <w:t>Study</w:t>
      </w:r>
      <w:bookmarkEnd w:id="24"/>
    </w:p>
    <w:p w14:paraId="1BD564F5" w14:textId="0D5438AA" w:rsidR="00970472" w:rsidRPr="004C44EE" w:rsidRDefault="00B32D4F">
      <w:pPr>
        <w:rPr>
          <w:rFonts w:asciiTheme="majorHAnsi" w:hAnsiTheme="majorHAnsi"/>
        </w:rPr>
      </w:pPr>
      <w:r w:rsidRPr="00B32D4F">
        <w:rPr>
          <w:rFonts w:asciiTheme="majorHAnsi" w:hAnsiTheme="majorHAnsi"/>
        </w:rPr>
        <w:lastRenderedPageBreak/>
        <w:t xml:space="preserve">The risk to subjects included in this study is the </w:t>
      </w:r>
      <w:r w:rsidR="00F668FF" w:rsidRPr="00B32D4F">
        <w:rPr>
          <w:rFonts w:asciiTheme="majorHAnsi" w:hAnsiTheme="majorHAnsi"/>
        </w:rPr>
        <w:t>loss of confidentiality</w:t>
      </w:r>
      <w:r w:rsidRPr="00B32D4F">
        <w:rPr>
          <w:rFonts w:asciiTheme="majorHAnsi" w:hAnsiTheme="majorHAnsi"/>
        </w:rPr>
        <w:t xml:space="preserve"> of personal health information.  However, </w:t>
      </w:r>
      <w:r w:rsidRPr="00B32D4F">
        <w:t>subject confidentiality will be maintained</w:t>
      </w:r>
      <w:r w:rsidR="00C12818">
        <w:t xml:space="preserve"> to the best of our ability</w:t>
      </w:r>
      <w:r w:rsidRPr="00B32D4F">
        <w:t xml:space="preserve">.  Subject names or any other personal identifiers will not be used or entered into the database.  Anonymous patient identifier numbers will be used instead.  </w:t>
      </w:r>
      <w:r w:rsidR="00C12818">
        <w:t xml:space="preserve">We will request that all authors remove any personal identifiers from their data before sending their data to us.  </w:t>
      </w:r>
      <w:r w:rsidRPr="00B32D4F">
        <w:t xml:space="preserve">Study-related information will be kept confidential.  </w:t>
      </w:r>
    </w:p>
    <w:p w14:paraId="1960A931" w14:textId="730E8AB3" w:rsidR="00B32D4F" w:rsidRPr="004C44EE" w:rsidRDefault="00970472" w:rsidP="004C44EE">
      <w:pPr>
        <w:pStyle w:val="Heading2"/>
        <w:rPr>
          <w:rFonts w:asciiTheme="minorHAnsi" w:hAnsiTheme="minorHAnsi"/>
          <w:i/>
          <w:sz w:val="24"/>
          <w:szCs w:val="24"/>
        </w:rPr>
      </w:pPr>
      <w:bookmarkStart w:id="25" w:name="_Toc398595342"/>
      <w:r w:rsidRPr="004C44EE">
        <w:rPr>
          <w:rFonts w:asciiTheme="minorHAnsi" w:hAnsiTheme="minorHAnsi"/>
          <w:i/>
          <w:sz w:val="24"/>
          <w:szCs w:val="24"/>
        </w:rPr>
        <w:t>Benefit to Subjects Included in Study</w:t>
      </w:r>
      <w:bookmarkEnd w:id="25"/>
    </w:p>
    <w:p w14:paraId="39576726" w14:textId="70E250B0" w:rsidR="00024056" w:rsidRPr="004C44EE" w:rsidRDefault="00F668FF" w:rsidP="00B63356">
      <w:pPr>
        <w:rPr>
          <w:b/>
        </w:rPr>
      </w:pPr>
      <w:r w:rsidRPr="00C12818">
        <w:rPr>
          <w:rFonts w:cs="Arial"/>
        </w:rPr>
        <w:t xml:space="preserve">There is no direct benefit for subjects </w:t>
      </w:r>
      <w:r w:rsidR="00970472" w:rsidRPr="00C12818">
        <w:rPr>
          <w:rFonts w:cs="Arial"/>
        </w:rPr>
        <w:t>included in this study</w:t>
      </w:r>
      <w:r w:rsidRPr="00C12818">
        <w:rPr>
          <w:rFonts w:cs="Arial"/>
        </w:rPr>
        <w:t xml:space="preserve">. </w:t>
      </w:r>
      <w:r w:rsidR="00970472" w:rsidRPr="00C12818">
        <w:rPr>
          <w:rFonts w:cs="Arial"/>
        </w:rPr>
        <w:t>However, k</w:t>
      </w:r>
      <w:r w:rsidRPr="00C12818">
        <w:rPr>
          <w:rFonts w:cs="Arial"/>
        </w:rPr>
        <w:t xml:space="preserve">nowledge gained from </w:t>
      </w:r>
      <w:r w:rsidR="00970472" w:rsidRPr="00C12818">
        <w:rPr>
          <w:rFonts w:cs="Arial"/>
        </w:rPr>
        <w:t>this study</w:t>
      </w:r>
      <w:r w:rsidRPr="00C12818">
        <w:rPr>
          <w:rFonts w:cs="Arial"/>
        </w:rPr>
        <w:t xml:space="preserve"> may advance understanding of the </w:t>
      </w:r>
      <w:r w:rsidR="00970472" w:rsidRPr="00C12818">
        <w:rPr>
          <w:rFonts w:cs="Arial"/>
        </w:rPr>
        <w:t xml:space="preserve">optimal methods to treat childhood MDR-TB. </w:t>
      </w:r>
      <w:r w:rsidRPr="00C12818">
        <w:rPr>
          <w:rFonts w:cs="Arial"/>
        </w:rPr>
        <w:t xml:space="preserve">This knowledge may lead to improved </w:t>
      </w:r>
      <w:r w:rsidR="00B32D4F" w:rsidRPr="00C12818">
        <w:rPr>
          <w:rFonts w:cs="Arial"/>
        </w:rPr>
        <w:t xml:space="preserve">care </w:t>
      </w:r>
      <w:r w:rsidRPr="00C12818">
        <w:rPr>
          <w:rFonts w:cs="Arial"/>
        </w:rPr>
        <w:t xml:space="preserve">that will benefit </w:t>
      </w:r>
      <w:r w:rsidR="00B32D4F" w:rsidRPr="00C12818">
        <w:rPr>
          <w:rFonts w:cs="Arial"/>
        </w:rPr>
        <w:t>future children infected</w:t>
      </w:r>
      <w:r w:rsidRPr="00C12818">
        <w:rPr>
          <w:rFonts w:cs="Arial"/>
        </w:rPr>
        <w:t xml:space="preserve"> by </w:t>
      </w:r>
      <w:r w:rsidR="00B32D4F" w:rsidRPr="00C12818">
        <w:rPr>
          <w:rFonts w:cs="Arial"/>
        </w:rPr>
        <w:t>MDR-</w:t>
      </w:r>
      <w:r w:rsidRPr="00C12818">
        <w:rPr>
          <w:rFonts w:cs="Arial"/>
        </w:rPr>
        <w:t>TB.</w:t>
      </w:r>
    </w:p>
    <w:p w14:paraId="0698A0EF" w14:textId="353E7563" w:rsidR="00CB3808" w:rsidRPr="004C44EE" w:rsidRDefault="00CB3808" w:rsidP="004C44EE">
      <w:pPr>
        <w:pStyle w:val="Heading1"/>
        <w:rPr>
          <w:sz w:val="24"/>
          <w:szCs w:val="24"/>
        </w:rPr>
      </w:pPr>
      <w:bookmarkStart w:id="26" w:name="_Toc398595343"/>
      <w:r w:rsidRPr="004C44EE">
        <w:rPr>
          <w:sz w:val="24"/>
          <w:szCs w:val="24"/>
        </w:rPr>
        <w:t xml:space="preserve">Scope of </w:t>
      </w:r>
      <w:r w:rsidR="004C44EE" w:rsidRPr="004C44EE">
        <w:rPr>
          <w:sz w:val="24"/>
          <w:szCs w:val="24"/>
        </w:rPr>
        <w:t>W</w:t>
      </w:r>
      <w:r w:rsidRPr="004C44EE">
        <w:rPr>
          <w:sz w:val="24"/>
          <w:szCs w:val="24"/>
        </w:rPr>
        <w:t>ork</w:t>
      </w:r>
      <w:bookmarkEnd w:id="26"/>
    </w:p>
    <w:p w14:paraId="6CA8898F" w14:textId="1677E5FC" w:rsidR="00024056" w:rsidRPr="000B1A12" w:rsidRDefault="00921245" w:rsidP="00B63356">
      <w:r w:rsidRPr="000B1A12">
        <w:t xml:space="preserve">We therefore propose to complete these </w:t>
      </w:r>
      <w:r w:rsidR="00B32D4F">
        <w:t>2</w:t>
      </w:r>
      <w:r w:rsidR="00B32D4F" w:rsidRPr="000B1A12">
        <w:t xml:space="preserve"> </w:t>
      </w:r>
      <w:r w:rsidRPr="000B1A12">
        <w:t>interrelated systematic reviews.</w:t>
      </w:r>
    </w:p>
    <w:p w14:paraId="349C5F9C" w14:textId="6C224AA9" w:rsidR="00921245" w:rsidRPr="000B1A12" w:rsidRDefault="00921245" w:rsidP="00921245">
      <w:r w:rsidRPr="000B1A12">
        <w:t xml:space="preserve">1. Systematic review and meta-analysis of MDR-TB treatment regimens and outcomes in children </w:t>
      </w:r>
    </w:p>
    <w:p w14:paraId="315A7D4B" w14:textId="0976BB71" w:rsidR="00921245" w:rsidRPr="000B1A12" w:rsidRDefault="00921245" w:rsidP="00921245">
      <w:r w:rsidRPr="000B1A12">
        <w:t xml:space="preserve">2. Individual patient </w:t>
      </w:r>
      <w:r w:rsidR="006C0208" w:rsidRPr="000B1A12">
        <w:t xml:space="preserve">data </w:t>
      </w:r>
      <w:r w:rsidRPr="000B1A12">
        <w:t xml:space="preserve">meta-analysis of MDR-TB treatment regimens and outcomes in children </w:t>
      </w:r>
    </w:p>
    <w:p w14:paraId="0ABAA018" w14:textId="77777777" w:rsidR="00921245" w:rsidRPr="000B1A12" w:rsidRDefault="00921245" w:rsidP="00B63356"/>
    <w:p w14:paraId="71259E7B" w14:textId="77777777" w:rsidR="00921245" w:rsidRPr="000B1A12" w:rsidRDefault="00921245" w:rsidP="00B63356"/>
    <w:p w14:paraId="0F42CECB" w14:textId="77777777" w:rsidR="00024056" w:rsidRPr="000B1A12" w:rsidRDefault="00024056" w:rsidP="00B63356"/>
    <w:p w14:paraId="048FEFA5" w14:textId="77777777" w:rsidR="00CA358A" w:rsidRPr="000B1A12" w:rsidRDefault="00CA358A" w:rsidP="00B63356"/>
    <w:p w14:paraId="20E92D9D" w14:textId="77777777" w:rsidR="00CA358A" w:rsidRPr="000B1A12" w:rsidRDefault="00CA358A" w:rsidP="00B63356">
      <w:pPr>
        <w:sectPr w:rsidR="00CA358A" w:rsidRPr="000B1A12" w:rsidSect="00851DA8">
          <w:headerReference w:type="default" r:id="rId17"/>
          <w:footerReference w:type="even" r:id="rId18"/>
          <w:footerReference w:type="default" r:id="rId19"/>
          <w:pgSz w:w="11900" w:h="16840"/>
          <w:pgMar w:top="1440" w:right="1800" w:bottom="1440" w:left="1800" w:header="708" w:footer="708" w:gutter="0"/>
          <w:cols w:space="708"/>
          <w:docGrid w:linePitch="360"/>
        </w:sectPr>
      </w:pPr>
    </w:p>
    <w:p w14:paraId="6A2E0365" w14:textId="15D9885C" w:rsidR="00024056" w:rsidRPr="000B1A12" w:rsidRDefault="00024056" w:rsidP="00B63356"/>
    <w:p w14:paraId="3FD5DAF0" w14:textId="77777777" w:rsidR="00024056" w:rsidRPr="000B1A12" w:rsidRDefault="00024056" w:rsidP="00B63356"/>
    <w:p w14:paraId="59F201B0" w14:textId="6F9FB574" w:rsidR="00C81C0E" w:rsidRPr="004C44EE" w:rsidRDefault="00C75605" w:rsidP="004C44EE">
      <w:pPr>
        <w:pStyle w:val="Heading1"/>
        <w:rPr>
          <w:rFonts w:asciiTheme="minorHAnsi" w:eastAsia="Times New Roman" w:hAnsiTheme="minorHAnsi" w:cs="Times New Roman"/>
          <w:sz w:val="24"/>
          <w:szCs w:val="24"/>
        </w:rPr>
      </w:pPr>
      <w:bookmarkStart w:id="27" w:name="_Toc398595344"/>
      <w:r w:rsidRPr="004C44EE">
        <w:rPr>
          <w:rFonts w:asciiTheme="minorHAnsi" w:hAnsiTheme="minorHAnsi"/>
          <w:sz w:val="24"/>
          <w:szCs w:val="24"/>
        </w:rPr>
        <w:t>References</w:t>
      </w:r>
      <w:bookmarkEnd w:id="27"/>
    </w:p>
    <w:p w14:paraId="21A54B49" w14:textId="018DA8C4" w:rsidR="002C791C" w:rsidRPr="00321DAD" w:rsidRDefault="005473C9" w:rsidP="00B32D4F">
      <w:pPr>
        <w:pStyle w:val="ListParagraph"/>
        <w:spacing w:before="100" w:beforeAutospacing="1" w:after="100" w:afterAutospacing="1"/>
        <w:ind w:left="0"/>
        <w:rPr>
          <w:rFonts w:eastAsia="Times New Roman" w:cs="Times New Roman"/>
        </w:rPr>
      </w:pPr>
      <w:r>
        <w:rPr>
          <w:rFonts w:eastAsia="Times New Roman" w:cs="Times New Roman"/>
        </w:rPr>
        <w:t xml:space="preserve">1. </w:t>
      </w:r>
      <w:proofErr w:type="spellStart"/>
      <w:r w:rsidR="00C81C0E">
        <w:rPr>
          <w:rFonts w:eastAsia="Times New Roman" w:cs="Times New Roman"/>
        </w:rPr>
        <w:t>Ettehad</w:t>
      </w:r>
      <w:proofErr w:type="spellEnd"/>
      <w:r w:rsidR="00C81C0E">
        <w:rPr>
          <w:rFonts w:eastAsia="Times New Roman" w:cs="Times New Roman"/>
        </w:rPr>
        <w:t xml:space="preserve"> D, </w:t>
      </w:r>
      <w:proofErr w:type="spellStart"/>
      <w:r w:rsidR="00C81C0E">
        <w:rPr>
          <w:rFonts w:eastAsia="Times New Roman" w:cs="Times New Roman"/>
        </w:rPr>
        <w:t>Schaaf</w:t>
      </w:r>
      <w:proofErr w:type="spellEnd"/>
      <w:r w:rsidR="00C81C0E">
        <w:rPr>
          <w:rFonts w:eastAsia="Times New Roman" w:cs="Times New Roman"/>
        </w:rPr>
        <w:t xml:space="preserve"> HS, </w:t>
      </w:r>
      <w:proofErr w:type="spellStart"/>
      <w:r w:rsidR="00C81C0E">
        <w:rPr>
          <w:rFonts w:eastAsia="Times New Roman" w:cs="Times New Roman"/>
        </w:rPr>
        <w:t>Seddon</w:t>
      </w:r>
      <w:proofErr w:type="spellEnd"/>
      <w:r w:rsidR="00C81C0E">
        <w:rPr>
          <w:rFonts w:eastAsia="Times New Roman" w:cs="Times New Roman"/>
        </w:rPr>
        <w:t xml:space="preserve"> JA, Cooke GS, Ford N.  Treatment outcomes for children with multidrug resistant tuberculosis: a systemic review and meta-analysis.  Lancet </w:t>
      </w:r>
      <w:proofErr w:type="spellStart"/>
      <w:r w:rsidR="00C81C0E">
        <w:rPr>
          <w:rFonts w:eastAsia="Times New Roman" w:cs="Times New Roman"/>
        </w:rPr>
        <w:t>Infec</w:t>
      </w:r>
      <w:proofErr w:type="spellEnd"/>
      <w:r w:rsidR="00C81C0E">
        <w:rPr>
          <w:rFonts w:eastAsia="Times New Roman" w:cs="Times New Roman"/>
        </w:rPr>
        <w:t xml:space="preserve"> Dis 2012; 12: 449-56.</w:t>
      </w:r>
    </w:p>
    <w:p w14:paraId="65926BC7" w14:textId="265C0828" w:rsidR="009820EF" w:rsidRPr="000B1A12" w:rsidRDefault="00E77353" w:rsidP="009820EF">
      <w:pPr>
        <w:spacing w:before="100" w:beforeAutospacing="1" w:after="100" w:afterAutospacing="1"/>
        <w:rPr>
          <w:rFonts w:eastAsia="Times New Roman" w:cs="Times New Roman"/>
        </w:rPr>
      </w:pPr>
      <w:r w:rsidRPr="000B1A12">
        <w:rPr>
          <w:rFonts w:eastAsia="Times New Roman" w:cs="Times New Roman"/>
        </w:rPr>
        <w:t xml:space="preserve">2. </w:t>
      </w:r>
      <w:proofErr w:type="spellStart"/>
      <w:r w:rsidR="009820EF" w:rsidRPr="000B1A12">
        <w:rPr>
          <w:rFonts w:cs="Times New Roman"/>
          <w:bCs/>
        </w:rPr>
        <w:t>Ahuja</w:t>
      </w:r>
      <w:proofErr w:type="spellEnd"/>
      <w:r w:rsidR="009820EF" w:rsidRPr="000B1A12">
        <w:rPr>
          <w:rFonts w:cs="Times New Roman"/>
        </w:rPr>
        <w:t xml:space="preserve"> SD, </w:t>
      </w:r>
      <w:proofErr w:type="spellStart"/>
      <w:r w:rsidR="009820EF" w:rsidRPr="000B1A12">
        <w:rPr>
          <w:rFonts w:cs="Times New Roman"/>
        </w:rPr>
        <w:t>Ashkin</w:t>
      </w:r>
      <w:proofErr w:type="spellEnd"/>
      <w:r w:rsidR="009820EF" w:rsidRPr="000B1A12">
        <w:rPr>
          <w:rFonts w:cs="Times New Roman"/>
        </w:rPr>
        <w:t xml:space="preserve"> D, </w:t>
      </w:r>
      <w:proofErr w:type="spellStart"/>
      <w:r w:rsidR="009820EF" w:rsidRPr="000B1A12">
        <w:rPr>
          <w:rFonts w:cs="Times New Roman"/>
        </w:rPr>
        <w:t>Avendano</w:t>
      </w:r>
      <w:proofErr w:type="spellEnd"/>
      <w:r w:rsidR="009820EF" w:rsidRPr="000B1A12">
        <w:rPr>
          <w:rFonts w:cs="Times New Roman"/>
        </w:rPr>
        <w:t xml:space="preserve"> M, Banerjee R, Bauer M, </w:t>
      </w:r>
      <w:proofErr w:type="spellStart"/>
      <w:r w:rsidR="009820EF" w:rsidRPr="000B1A12">
        <w:rPr>
          <w:rFonts w:cs="Times New Roman"/>
        </w:rPr>
        <w:t>Bayona</w:t>
      </w:r>
      <w:proofErr w:type="spellEnd"/>
      <w:r w:rsidR="009820EF" w:rsidRPr="000B1A12">
        <w:rPr>
          <w:rFonts w:cs="Times New Roman"/>
        </w:rPr>
        <w:t xml:space="preserve"> JN, Becerra MC, Benedetti A, Burgos M, </w:t>
      </w:r>
      <w:proofErr w:type="spellStart"/>
      <w:r w:rsidR="009820EF" w:rsidRPr="000B1A12">
        <w:rPr>
          <w:rFonts w:cs="Times New Roman"/>
        </w:rPr>
        <w:t>Centis</w:t>
      </w:r>
      <w:proofErr w:type="spellEnd"/>
      <w:r w:rsidR="009820EF" w:rsidRPr="000B1A12">
        <w:rPr>
          <w:rFonts w:cs="Times New Roman"/>
        </w:rPr>
        <w:t xml:space="preserve"> R, Chan ED, Chiang CY, Cox H, </w:t>
      </w:r>
      <w:proofErr w:type="spellStart"/>
      <w:r w:rsidR="009820EF" w:rsidRPr="000B1A12">
        <w:rPr>
          <w:rFonts w:cs="Times New Roman"/>
        </w:rPr>
        <w:t>D'Ambrosio</w:t>
      </w:r>
      <w:proofErr w:type="spellEnd"/>
      <w:r w:rsidR="009820EF" w:rsidRPr="000B1A12">
        <w:rPr>
          <w:rFonts w:cs="Times New Roman"/>
        </w:rPr>
        <w:t xml:space="preserve"> L, </w:t>
      </w:r>
      <w:proofErr w:type="spellStart"/>
      <w:r w:rsidR="009820EF" w:rsidRPr="000B1A12">
        <w:rPr>
          <w:rFonts w:cs="Times New Roman"/>
        </w:rPr>
        <w:t>DeRiemer</w:t>
      </w:r>
      <w:proofErr w:type="spellEnd"/>
      <w:r w:rsidR="009820EF" w:rsidRPr="000B1A12">
        <w:rPr>
          <w:rFonts w:cs="Times New Roman"/>
        </w:rPr>
        <w:t xml:space="preserve"> K, Dung NH, </w:t>
      </w:r>
      <w:proofErr w:type="spellStart"/>
      <w:r w:rsidR="009820EF" w:rsidRPr="000B1A12">
        <w:rPr>
          <w:rFonts w:cs="Times New Roman"/>
        </w:rPr>
        <w:t>Enarson</w:t>
      </w:r>
      <w:proofErr w:type="spellEnd"/>
      <w:r w:rsidR="009820EF" w:rsidRPr="000B1A12">
        <w:rPr>
          <w:rFonts w:cs="Times New Roman"/>
        </w:rPr>
        <w:t xml:space="preserve"> D, </w:t>
      </w:r>
      <w:proofErr w:type="spellStart"/>
      <w:r w:rsidR="009820EF" w:rsidRPr="000B1A12">
        <w:rPr>
          <w:rFonts w:cs="Times New Roman"/>
        </w:rPr>
        <w:t>Falzon</w:t>
      </w:r>
      <w:proofErr w:type="spellEnd"/>
      <w:r w:rsidR="009820EF" w:rsidRPr="000B1A12">
        <w:rPr>
          <w:rFonts w:cs="Times New Roman"/>
        </w:rPr>
        <w:t xml:space="preserve"> D, Flanagan K, Flood J, Garcia-Garcia ML, Gandhi N, </w:t>
      </w:r>
      <w:proofErr w:type="spellStart"/>
      <w:r w:rsidR="009820EF" w:rsidRPr="000B1A12">
        <w:rPr>
          <w:rFonts w:cs="Times New Roman"/>
        </w:rPr>
        <w:t>Granich</w:t>
      </w:r>
      <w:proofErr w:type="spellEnd"/>
      <w:r w:rsidR="009820EF" w:rsidRPr="000B1A12">
        <w:rPr>
          <w:rFonts w:cs="Times New Roman"/>
        </w:rPr>
        <w:t xml:space="preserve"> RM, </w:t>
      </w:r>
      <w:proofErr w:type="spellStart"/>
      <w:r w:rsidR="009820EF" w:rsidRPr="000B1A12">
        <w:rPr>
          <w:rFonts w:cs="Times New Roman"/>
        </w:rPr>
        <w:t>Hollm</w:t>
      </w:r>
      <w:proofErr w:type="spellEnd"/>
      <w:r w:rsidR="009820EF" w:rsidRPr="000B1A12">
        <w:rPr>
          <w:rFonts w:cs="Times New Roman"/>
        </w:rPr>
        <w:t xml:space="preserve">-Delgado MG, Holtz TH, </w:t>
      </w:r>
      <w:proofErr w:type="spellStart"/>
      <w:r w:rsidR="009820EF" w:rsidRPr="000B1A12">
        <w:rPr>
          <w:rFonts w:cs="Times New Roman"/>
        </w:rPr>
        <w:t>Iseman</w:t>
      </w:r>
      <w:proofErr w:type="spellEnd"/>
      <w:r w:rsidR="009820EF" w:rsidRPr="000B1A12">
        <w:rPr>
          <w:rFonts w:cs="Times New Roman"/>
        </w:rPr>
        <w:t xml:space="preserve"> MD, </w:t>
      </w:r>
      <w:proofErr w:type="spellStart"/>
      <w:r w:rsidR="009820EF" w:rsidRPr="000B1A12">
        <w:rPr>
          <w:rFonts w:cs="Times New Roman"/>
        </w:rPr>
        <w:t>Jarlsberg</w:t>
      </w:r>
      <w:proofErr w:type="spellEnd"/>
      <w:r w:rsidR="009820EF" w:rsidRPr="000B1A12">
        <w:rPr>
          <w:rFonts w:cs="Times New Roman"/>
        </w:rPr>
        <w:t xml:space="preserve"> LG, </w:t>
      </w:r>
      <w:proofErr w:type="spellStart"/>
      <w:r w:rsidR="009820EF" w:rsidRPr="000B1A12">
        <w:rPr>
          <w:rFonts w:cs="Times New Roman"/>
        </w:rPr>
        <w:t>Keshavjee</w:t>
      </w:r>
      <w:proofErr w:type="spellEnd"/>
      <w:r w:rsidR="009820EF" w:rsidRPr="000B1A12">
        <w:rPr>
          <w:rFonts w:cs="Times New Roman"/>
        </w:rPr>
        <w:t xml:space="preserve"> S, Kim HR, </w:t>
      </w:r>
      <w:proofErr w:type="spellStart"/>
      <w:r w:rsidR="009820EF" w:rsidRPr="000B1A12">
        <w:rPr>
          <w:rFonts w:cs="Times New Roman"/>
        </w:rPr>
        <w:t>Koh</w:t>
      </w:r>
      <w:proofErr w:type="spellEnd"/>
      <w:r w:rsidR="009820EF" w:rsidRPr="000B1A12">
        <w:rPr>
          <w:rFonts w:cs="Times New Roman"/>
        </w:rPr>
        <w:t xml:space="preserve"> WJ, Lancaster J, Lange C, de Lange WC, </w:t>
      </w:r>
      <w:proofErr w:type="spellStart"/>
      <w:r w:rsidR="009820EF" w:rsidRPr="000B1A12">
        <w:rPr>
          <w:rFonts w:cs="Times New Roman"/>
        </w:rPr>
        <w:t>Leimane</w:t>
      </w:r>
      <w:proofErr w:type="spellEnd"/>
      <w:r w:rsidR="009820EF" w:rsidRPr="000B1A12">
        <w:rPr>
          <w:rFonts w:cs="Times New Roman"/>
        </w:rPr>
        <w:t xml:space="preserve"> V, Leung CC, Li J, </w:t>
      </w:r>
      <w:proofErr w:type="spellStart"/>
      <w:r w:rsidR="009820EF" w:rsidRPr="000B1A12">
        <w:rPr>
          <w:rFonts w:cs="Times New Roman"/>
        </w:rPr>
        <w:t>Menzies</w:t>
      </w:r>
      <w:proofErr w:type="spellEnd"/>
      <w:r w:rsidR="009820EF" w:rsidRPr="000B1A12">
        <w:rPr>
          <w:rFonts w:cs="Times New Roman"/>
        </w:rPr>
        <w:t xml:space="preserve"> D, </w:t>
      </w:r>
      <w:proofErr w:type="spellStart"/>
      <w:r w:rsidR="009820EF" w:rsidRPr="000B1A12">
        <w:rPr>
          <w:rFonts w:cs="Times New Roman"/>
        </w:rPr>
        <w:t>Migliori</w:t>
      </w:r>
      <w:proofErr w:type="spellEnd"/>
      <w:r w:rsidR="009820EF" w:rsidRPr="000B1A12">
        <w:rPr>
          <w:rFonts w:cs="Times New Roman"/>
        </w:rPr>
        <w:t xml:space="preserve"> GB, </w:t>
      </w:r>
      <w:proofErr w:type="spellStart"/>
      <w:r w:rsidR="009820EF" w:rsidRPr="000B1A12">
        <w:rPr>
          <w:rFonts w:cs="Times New Roman"/>
        </w:rPr>
        <w:t>Mishustin</w:t>
      </w:r>
      <w:proofErr w:type="spellEnd"/>
      <w:r w:rsidR="009820EF" w:rsidRPr="000B1A12">
        <w:rPr>
          <w:rFonts w:cs="Times New Roman"/>
        </w:rPr>
        <w:t xml:space="preserve"> SP, </w:t>
      </w:r>
      <w:proofErr w:type="spellStart"/>
      <w:r w:rsidR="009820EF" w:rsidRPr="000B1A12">
        <w:rPr>
          <w:rFonts w:cs="Times New Roman"/>
        </w:rPr>
        <w:t>Mitnick</w:t>
      </w:r>
      <w:proofErr w:type="spellEnd"/>
      <w:r w:rsidR="009820EF" w:rsidRPr="000B1A12">
        <w:rPr>
          <w:rFonts w:cs="Times New Roman"/>
        </w:rPr>
        <w:t xml:space="preserve"> CD, Narita M, </w:t>
      </w:r>
      <w:proofErr w:type="spellStart"/>
      <w:r w:rsidR="009820EF" w:rsidRPr="000B1A12">
        <w:rPr>
          <w:rFonts w:cs="Times New Roman"/>
        </w:rPr>
        <w:t>O'Riordan</w:t>
      </w:r>
      <w:proofErr w:type="spellEnd"/>
      <w:r w:rsidR="009820EF" w:rsidRPr="000B1A12">
        <w:rPr>
          <w:rFonts w:cs="Times New Roman"/>
        </w:rPr>
        <w:t xml:space="preserve"> P, </w:t>
      </w:r>
      <w:proofErr w:type="spellStart"/>
      <w:r w:rsidR="009820EF" w:rsidRPr="000B1A12">
        <w:rPr>
          <w:rFonts w:cs="Times New Roman"/>
        </w:rPr>
        <w:t>Pai</w:t>
      </w:r>
      <w:proofErr w:type="spellEnd"/>
      <w:r w:rsidR="009820EF" w:rsidRPr="000B1A12">
        <w:rPr>
          <w:rFonts w:cs="Times New Roman"/>
        </w:rPr>
        <w:t xml:space="preserve"> M, </w:t>
      </w:r>
      <w:proofErr w:type="spellStart"/>
      <w:r w:rsidR="009820EF" w:rsidRPr="000B1A12">
        <w:rPr>
          <w:rFonts w:cs="Times New Roman"/>
        </w:rPr>
        <w:t>Palmero</w:t>
      </w:r>
      <w:proofErr w:type="spellEnd"/>
      <w:r w:rsidR="009820EF" w:rsidRPr="000B1A12">
        <w:rPr>
          <w:rFonts w:cs="Times New Roman"/>
        </w:rPr>
        <w:t xml:space="preserve"> D, Park SK, </w:t>
      </w:r>
      <w:proofErr w:type="spellStart"/>
      <w:r w:rsidR="009820EF" w:rsidRPr="000B1A12">
        <w:rPr>
          <w:rFonts w:cs="Times New Roman"/>
        </w:rPr>
        <w:t>Pasvol</w:t>
      </w:r>
      <w:proofErr w:type="spellEnd"/>
      <w:r w:rsidR="009820EF" w:rsidRPr="000B1A12">
        <w:rPr>
          <w:rFonts w:cs="Times New Roman"/>
        </w:rPr>
        <w:t xml:space="preserve"> G, Peña J, Pérez-</w:t>
      </w:r>
      <w:proofErr w:type="spellStart"/>
      <w:r w:rsidR="009820EF" w:rsidRPr="000B1A12">
        <w:rPr>
          <w:rFonts w:cs="Times New Roman"/>
        </w:rPr>
        <w:t>Guzmán</w:t>
      </w:r>
      <w:proofErr w:type="spellEnd"/>
      <w:r w:rsidR="009820EF" w:rsidRPr="000B1A12">
        <w:rPr>
          <w:rFonts w:cs="Times New Roman"/>
        </w:rPr>
        <w:t xml:space="preserve"> C, </w:t>
      </w:r>
      <w:proofErr w:type="spellStart"/>
      <w:r w:rsidR="009820EF" w:rsidRPr="000B1A12">
        <w:rPr>
          <w:rFonts w:cs="Times New Roman"/>
        </w:rPr>
        <w:t>Quelapio</w:t>
      </w:r>
      <w:proofErr w:type="spellEnd"/>
      <w:r w:rsidR="009820EF" w:rsidRPr="000B1A12">
        <w:rPr>
          <w:rFonts w:cs="Times New Roman"/>
        </w:rPr>
        <w:t xml:space="preserve"> MI, Ponce-de-Leon A, </w:t>
      </w:r>
      <w:proofErr w:type="spellStart"/>
      <w:r w:rsidR="009820EF" w:rsidRPr="000B1A12">
        <w:rPr>
          <w:rFonts w:cs="Times New Roman"/>
        </w:rPr>
        <w:t>Riekstina</w:t>
      </w:r>
      <w:proofErr w:type="spellEnd"/>
      <w:r w:rsidR="009820EF" w:rsidRPr="000B1A12">
        <w:rPr>
          <w:rFonts w:cs="Times New Roman"/>
        </w:rPr>
        <w:t xml:space="preserve"> V, Robert J, Royce S, </w:t>
      </w:r>
      <w:proofErr w:type="spellStart"/>
      <w:r w:rsidR="009820EF" w:rsidRPr="000B1A12">
        <w:rPr>
          <w:rFonts w:cs="Times New Roman"/>
        </w:rPr>
        <w:t>Schaaf</w:t>
      </w:r>
      <w:proofErr w:type="spellEnd"/>
      <w:r w:rsidR="009820EF" w:rsidRPr="000B1A12">
        <w:rPr>
          <w:rFonts w:cs="Times New Roman"/>
        </w:rPr>
        <w:t xml:space="preserve"> HS, </w:t>
      </w:r>
      <w:proofErr w:type="spellStart"/>
      <w:r w:rsidR="009820EF" w:rsidRPr="000B1A12">
        <w:rPr>
          <w:rFonts w:cs="Times New Roman"/>
        </w:rPr>
        <w:t>Seung</w:t>
      </w:r>
      <w:proofErr w:type="spellEnd"/>
      <w:r w:rsidR="009820EF" w:rsidRPr="000B1A12">
        <w:rPr>
          <w:rFonts w:cs="Times New Roman"/>
        </w:rPr>
        <w:t xml:space="preserve"> KJ, Shah L, Shim TS, Shin SS, </w:t>
      </w:r>
      <w:proofErr w:type="spellStart"/>
      <w:r w:rsidR="009820EF" w:rsidRPr="000B1A12">
        <w:rPr>
          <w:rFonts w:cs="Times New Roman"/>
        </w:rPr>
        <w:t>Shiraishi</w:t>
      </w:r>
      <w:proofErr w:type="spellEnd"/>
      <w:r w:rsidR="009820EF" w:rsidRPr="000B1A12">
        <w:rPr>
          <w:rFonts w:cs="Times New Roman"/>
        </w:rPr>
        <w:t xml:space="preserve"> Y, </w:t>
      </w:r>
      <w:proofErr w:type="spellStart"/>
      <w:r w:rsidR="009820EF" w:rsidRPr="000B1A12">
        <w:rPr>
          <w:rFonts w:cs="Times New Roman"/>
        </w:rPr>
        <w:t>Sifuentes-Osornio</w:t>
      </w:r>
      <w:proofErr w:type="spellEnd"/>
      <w:r w:rsidR="009820EF" w:rsidRPr="000B1A12">
        <w:rPr>
          <w:rFonts w:cs="Times New Roman"/>
        </w:rPr>
        <w:t xml:space="preserve"> J, </w:t>
      </w:r>
      <w:proofErr w:type="spellStart"/>
      <w:r w:rsidR="009820EF" w:rsidRPr="000B1A12">
        <w:rPr>
          <w:rFonts w:cs="Times New Roman"/>
        </w:rPr>
        <w:t>Sotgiu</w:t>
      </w:r>
      <w:proofErr w:type="spellEnd"/>
      <w:r w:rsidR="009820EF" w:rsidRPr="000B1A12">
        <w:rPr>
          <w:rFonts w:cs="Times New Roman"/>
        </w:rPr>
        <w:t xml:space="preserve"> G, Strand MJ, </w:t>
      </w:r>
      <w:proofErr w:type="spellStart"/>
      <w:r w:rsidR="009820EF" w:rsidRPr="000B1A12">
        <w:rPr>
          <w:rFonts w:cs="Times New Roman"/>
        </w:rPr>
        <w:t>Tabarsi</w:t>
      </w:r>
      <w:proofErr w:type="spellEnd"/>
      <w:r w:rsidR="009820EF" w:rsidRPr="000B1A12">
        <w:rPr>
          <w:rFonts w:cs="Times New Roman"/>
        </w:rPr>
        <w:t xml:space="preserve"> P, </w:t>
      </w:r>
      <w:proofErr w:type="spellStart"/>
      <w:r w:rsidR="009820EF" w:rsidRPr="000B1A12">
        <w:rPr>
          <w:rFonts w:cs="Times New Roman"/>
        </w:rPr>
        <w:t>Tupasi</w:t>
      </w:r>
      <w:proofErr w:type="spellEnd"/>
      <w:r w:rsidR="009820EF" w:rsidRPr="000B1A12">
        <w:rPr>
          <w:rFonts w:cs="Times New Roman"/>
        </w:rPr>
        <w:t xml:space="preserve"> TE, van </w:t>
      </w:r>
      <w:proofErr w:type="spellStart"/>
      <w:r w:rsidR="009820EF" w:rsidRPr="000B1A12">
        <w:rPr>
          <w:rFonts w:cs="Times New Roman"/>
        </w:rPr>
        <w:t>Altena</w:t>
      </w:r>
      <w:proofErr w:type="spellEnd"/>
      <w:r w:rsidR="009820EF" w:rsidRPr="000B1A12">
        <w:rPr>
          <w:rFonts w:cs="Times New Roman"/>
        </w:rPr>
        <w:t xml:space="preserve"> R, Van der Walt M, Van der </w:t>
      </w:r>
      <w:proofErr w:type="spellStart"/>
      <w:r w:rsidR="009820EF" w:rsidRPr="000B1A12">
        <w:rPr>
          <w:rFonts w:cs="Times New Roman"/>
        </w:rPr>
        <w:t>Werf</w:t>
      </w:r>
      <w:proofErr w:type="spellEnd"/>
      <w:r w:rsidR="009820EF" w:rsidRPr="000B1A12">
        <w:rPr>
          <w:rFonts w:cs="Times New Roman"/>
        </w:rPr>
        <w:t xml:space="preserve"> TS, Vargas MH, </w:t>
      </w:r>
      <w:proofErr w:type="spellStart"/>
      <w:r w:rsidR="009820EF" w:rsidRPr="000B1A12">
        <w:rPr>
          <w:rFonts w:cs="Times New Roman"/>
        </w:rPr>
        <w:t>Viiklepp</w:t>
      </w:r>
      <w:proofErr w:type="spellEnd"/>
      <w:r w:rsidR="009820EF" w:rsidRPr="000B1A12">
        <w:rPr>
          <w:rFonts w:cs="Times New Roman"/>
        </w:rPr>
        <w:t xml:space="preserve"> P, </w:t>
      </w:r>
      <w:proofErr w:type="spellStart"/>
      <w:r w:rsidR="009820EF" w:rsidRPr="000B1A12">
        <w:rPr>
          <w:rFonts w:cs="Times New Roman"/>
        </w:rPr>
        <w:t>Westenhouse</w:t>
      </w:r>
      <w:proofErr w:type="spellEnd"/>
      <w:r w:rsidR="009820EF" w:rsidRPr="000B1A12">
        <w:rPr>
          <w:rFonts w:cs="Times New Roman"/>
        </w:rPr>
        <w:t xml:space="preserve"> J, Yew WW, </w:t>
      </w:r>
      <w:proofErr w:type="spellStart"/>
      <w:r w:rsidR="009820EF" w:rsidRPr="000B1A12">
        <w:rPr>
          <w:rFonts w:cs="Times New Roman"/>
        </w:rPr>
        <w:t>Yim</w:t>
      </w:r>
      <w:proofErr w:type="spellEnd"/>
      <w:r w:rsidR="009820EF" w:rsidRPr="000B1A12">
        <w:rPr>
          <w:rFonts w:cs="Times New Roman"/>
        </w:rPr>
        <w:t xml:space="preserve"> JJ; Collaborative Group for Meta-Analysis of Individual Patient Data in </w:t>
      </w:r>
      <w:r w:rsidR="009820EF" w:rsidRPr="000B1A12">
        <w:rPr>
          <w:rFonts w:cs="Times New Roman"/>
          <w:bCs/>
        </w:rPr>
        <w:t>MDR-TB</w:t>
      </w:r>
      <w:r w:rsidR="009820EF" w:rsidRPr="000B1A12">
        <w:rPr>
          <w:rFonts w:cs="Times New Roman"/>
        </w:rPr>
        <w:t xml:space="preserve">. </w:t>
      </w:r>
      <w:hyperlink r:id="rId20" w:history="1">
        <w:r w:rsidR="009820EF" w:rsidRPr="000B1A12">
          <w:rPr>
            <w:rFonts w:cs="Times New Roman"/>
          </w:rPr>
          <w:t>Multidrug resistant pulmonary tuberculosis treatment regimens and patient outcomes: an individual patient data meta-analysis of 9,153 patients.</w:t>
        </w:r>
      </w:hyperlink>
      <w:r w:rsidR="009820EF" w:rsidRPr="000B1A12">
        <w:rPr>
          <w:rFonts w:cs="Times New Roman"/>
        </w:rPr>
        <w:t xml:space="preserve"> </w:t>
      </w:r>
      <w:proofErr w:type="spellStart"/>
      <w:r w:rsidR="009820EF" w:rsidRPr="000B1A12">
        <w:rPr>
          <w:rFonts w:cs="Times New Roman"/>
        </w:rPr>
        <w:t>PLoS</w:t>
      </w:r>
      <w:proofErr w:type="spellEnd"/>
      <w:r w:rsidR="009820EF" w:rsidRPr="000B1A12">
        <w:rPr>
          <w:rFonts w:cs="Times New Roman"/>
        </w:rPr>
        <w:t xml:space="preserve"> Med. 2012</w:t>
      </w:r>
      <w:proofErr w:type="gramStart"/>
      <w:r w:rsidR="009820EF" w:rsidRPr="000B1A12">
        <w:rPr>
          <w:rFonts w:cs="Times New Roman"/>
        </w:rPr>
        <w:t>;9</w:t>
      </w:r>
      <w:proofErr w:type="gramEnd"/>
      <w:r w:rsidR="009820EF" w:rsidRPr="000B1A12">
        <w:rPr>
          <w:rFonts w:cs="Times New Roman"/>
        </w:rPr>
        <w:t xml:space="preserve">(8):e1001300. </w:t>
      </w:r>
      <w:proofErr w:type="spellStart"/>
      <w:proofErr w:type="gramStart"/>
      <w:r w:rsidR="009820EF" w:rsidRPr="000B1A12">
        <w:rPr>
          <w:rFonts w:cs="Times New Roman"/>
        </w:rPr>
        <w:t>Epub</w:t>
      </w:r>
      <w:proofErr w:type="spellEnd"/>
      <w:r w:rsidR="009820EF" w:rsidRPr="000B1A12">
        <w:rPr>
          <w:rFonts w:cs="Times New Roman"/>
        </w:rPr>
        <w:t xml:space="preserve"> 2012 Aug 28.</w:t>
      </w:r>
      <w:proofErr w:type="gramEnd"/>
      <w:r w:rsidR="009820EF" w:rsidRPr="000B1A12">
        <w:rPr>
          <w:rFonts w:cs="Times New Roman"/>
        </w:rPr>
        <w:t xml:space="preserve"> </w:t>
      </w:r>
      <w:r w:rsidR="009820EF" w:rsidRPr="000B1A12">
        <w:rPr>
          <w:rFonts w:eastAsia="Times New Roman" w:cs="Times New Roman"/>
        </w:rPr>
        <w:t>PMID: 22952439</w:t>
      </w:r>
    </w:p>
    <w:p w14:paraId="232FCD0E" w14:textId="6BDB9BBD" w:rsidR="00577874" w:rsidRDefault="009302C3" w:rsidP="004421F1">
      <w:pPr>
        <w:pStyle w:val="Title"/>
      </w:pPr>
      <w:r w:rsidRPr="000B1A12">
        <w:rPr>
          <w:rFonts w:asciiTheme="minorHAnsi" w:eastAsia="Times New Roman" w:hAnsiTheme="minorHAnsi" w:cs="Times New Roman"/>
          <w:sz w:val="24"/>
          <w:szCs w:val="24"/>
        </w:rPr>
        <w:t xml:space="preserve">3.  </w:t>
      </w:r>
      <w:proofErr w:type="spellStart"/>
      <w:r w:rsidRPr="000B1A12">
        <w:rPr>
          <w:rFonts w:asciiTheme="minorHAnsi" w:hAnsiTheme="minorHAnsi" w:cs="Times New Roman"/>
          <w:sz w:val="24"/>
          <w:szCs w:val="24"/>
        </w:rPr>
        <w:t>Seddon</w:t>
      </w:r>
      <w:proofErr w:type="spellEnd"/>
      <w:r w:rsidRPr="000B1A12">
        <w:rPr>
          <w:rFonts w:asciiTheme="minorHAnsi" w:hAnsiTheme="minorHAnsi" w:cs="Times New Roman"/>
          <w:sz w:val="24"/>
          <w:szCs w:val="24"/>
        </w:rPr>
        <w:t xml:space="preserve"> JA, Perez-Velez CM, </w:t>
      </w:r>
      <w:proofErr w:type="spellStart"/>
      <w:r w:rsidRPr="000B1A12">
        <w:rPr>
          <w:rFonts w:asciiTheme="minorHAnsi" w:hAnsiTheme="minorHAnsi" w:cs="Times New Roman"/>
          <w:sz w:val="24"/>
          <w:szCs w:val="24"/>
        </w:rPr>
        <w:t>Schaaf</w:t>
      </w:r>
      <w:proofErr w:type="spellEnd"/>
      <w:r w:rsidRPr="000B1A12">
        <w:rPr>
          <w:rFonts w:asciiTheme="minorHAnsi" w:hAnsiTheme="minorHAnsi" w:cs="Times New Roman"/>
          <w:sz w:val="24"/>
          <w:szCs w:val="24"/>
        </w:rPr>
        <w:t xml:space="preserve"> HS, </w:t>
      </w:r>
      <w:proofErr w:type="spellStart"/>
      <w:r w:rsidRPr="000B1A12">
        <w:rPr>
          <w:rFonts w:asciiTheme="minorHAnsi" w:hAnsiTheme="minorHAnsi" w:cs="Times New Roman"/>
          <w:sz w:val="24"/>
          <w:szCs w:val="24"/>
        </w:rPr>
        <w:t>Furin</w:t>
      </w:r>
      <w:proofErr w:type="spellEnd"/>
      <w:r w:rsidRPr="000B1A12">
        <w:rPr>
          <w:rFonts w:asciiTheme="minorHAnsi" w:hAnsiTheme="minorHAnsi" w:cs="Times New Roman"/>
          <w:sz w:val="24"/>
          <w:szCs w:val="24"/>
        </w:rPr>
        <w:t xml:space="preserve"> JJ, Marais BJ, </w:t>
      </w:r>
      <w:proofErr w:type="spellStart"/>
      <w:r w:rsidRPr="000B1A12">
        <w:rPr>
          <w:rFonts w:asciiTheme="minorHAnsi" w:hAnsiTheme="minorHAnsi" w:cs="Times New Roman"/>
          <w:sz w:val="24"/>
          <w:szCs w:val="24"/>
        </w:rPr>
        <w:t>Tebruegge</w:t>
      </w:r>
      <w:proofErr w:type="spellEnd"/>
      <w:r w:rsidRPr="000B1A12">
        <w:rPr>
          <w:rFonts w:asciiTheme="minorHAnsi" w:hAnsiTheme="minorHAnsi" w:cs="Times New Roman"/>
          <w:sz w:val="24"/>
          <w:szCs w:val="24"/>
        </w:rPr>
        <w:t xml:space="preserve"> M, </w:t>
      </w:r>
      <w:proofErr w:type="spellStart"/>
      <w:r w:rsidRPr="000B1A12">
        <w:rPr>
          <w:rFonts w:asciiTheme="minorHAnsi" w:hAnsiTheme="minorHAnsi" w:cs="Times New Roman"/>
          <w:sz w:val="24"/>
          <w:szCs w:val="24"/>
        </w:rPr>
        <w:t>Detjen</w:t>
      </w:r>
      <w:proofErr w:type="spellEnd"/>
      <w:r w:rsidRPr="000B1A12">
        <w:rPr>
          <w:rFonts w:asciiTheme="minorHAnsi" w:hAnsiTheme="minorHAnsi" w:cs="Times New Roman"/>
          <w:sz w:val="24"/>
          <w:szCs w:val="24"/>
        </w:rPr>
        <w:t xml:space="preserve"> A, </w:t>
      </w:r>
      <w:proofErr w:type="spellStart"/>
      <w:r w:rsidRPr="000B1A12">
        <w:rPr>
          <w:rFonts w:asciiTheme="minorHAnsi" w:hAnsiTheme="minorHAnsi" w:cs="Times New Roman"/>
          <w:sz w:val="24"/>
          <w:szCs w:val="24"/>
        </w:rPr>
        <w:t>Hesseling</w:t>
      </w:r>
      <w:proofErr w:type="spellEnd"/>
      <w:r w:rsidRPr="000B1A12">
        <w:rPr>
          <w:rFonts w:asciiTheme="minorHAnsi" w:hAnsiTheme="minorHAnsi" w:cs="Times New Roman"/>
          <w:sz w:val="24"/>
          <w:szCs w:val="24"/>
        </w:rPr>
        <w:t xml:space="preserve"> AC, Shah S, Adams LV, Starke JR, </w:t>
      </w:r>
      <w:proofErr w:type="spellStart"/>
      <w:r w:rsidRPr="000B1A12">
        <w:rPr>
          <w:rFonts w:asciiTheme="minorHAnsi" w:hAnsiTheme="minorHAnsi" w:cs="Times New Roman"/>
          <w:sz w:val="24"/>
          <w:szCs w:val="24"/>
        </w:rPr>
        <w:t>Swaminathan</w:t>
      </w:r>
      <w:proofErr w:type="spellEnd"/>
      <w:r w:rsidRPr="000B1A12">
        <w:rPr>
          <w:rFonts w:asciiTheme="minorHAnsi" w:hAnsiTheme="minorHAnsi" w:cs="Times New Roman"/>
          <w:sz w:val="24"/>
          <w:szCs w:val="24"/>
        </w:rPr>
        <w:t xml:space="preserve"> S, Becerra MC; on Behalf of the Sentinel Project on Pediatric Drug-Resistant Tuberculosis. </w:t>
      </w:r>
      <w:hyperlink r:id="rId21" w:history="1">
        <w:proofErr w:type="gramStart"/>
        <w:r w:rsidRPr="000B1A12">
          <w:rPr>
            <w:rFonts w:asciiTheme="minorHAnsi" w:hAnsiTheme="minorHAnsi" w:cs="Times New Roman"/>
            <w:sz w:val="24"/>
            <w:szCs w:val="24"/>
          </w:rPr>
          <w:t>Consensus Statement on Research Definitions for Drug-Resistant Tuberculosis in Children.</w:t>
        </w:r>
        <w:proofErr w:type="gramEnd"/>
      </w:hyperlink>
      <w:r w:rsidRPr="000B1A12">
        <w:rPr>
          <w:rFonts w:asciiTheme="minorHAnsi" w:hAnsiTheme="minorHAnsi" w:cs="Times New Roman"/>
          <w:sz w:val="24"/>
          <w:szCs w:val="24"/>
        </w:rPr>
        <w:t xml:space="preserve"> J Pediatric Infect Dis Soc. 2013 Jun</w:t>
      </w:r>
      <w:proofErr w:type="gramStart"/>
      <w:r w:rsidRPr="000B1A12">
        <w:rPr>
          <w:rFonts w:asciiTheme="minorHAnsi" w:hAnsiTheme="minorHAnsi" w:cs="Times New Roman"/>
          <w:sz w:val="24"/>
          <w:szCs w:val="24"/>
        </w:rPr>
        <w:t>;2</w:t>
      </w:r>
      <w:proofErr w:type="gramEnd"/>
      <w:r w:rsidRPr="000B1A12">
        <w:rPr>
          <w:rFonts w:asciiTheme="minorHAnsi" w:hAnsiTheme="minorHAnsi" w:cs="Times New Roman"/>
          <w:sz w:val="24"/>
          <w:szCs w:val="24"/>
        </w:rPr>
        <w:t xml:space="preserve">(2):100-109. </w:t>
      </w:r>
      <w:proofErr w:type="spellStart"/>
      <w:proofErr w:type="gramStart"/>
      <w:r w:rsidRPr="000B1A12">
        <w:rPr>
          <w:rFonts w:asciiTheme="minorHAnsi" w:hAnsiTheme="minorHAnsi" w:cs="Times New Roman"/>
          <w:sz w:val="24"/>
          <w:szCs w:val="24"/>
        </w:rPr>
        <w:t>Epub</w:t>
      </w:r>
      <w:proofErr w:type="spellEnd"/>
      <w:r w:rsidRPr="000B1A12">
        <w:rPr>
          <w:rFonts w:asciiTheme="minorHAnsi" w:hAnsiTheme="minorHAnsi" w:cs="Times New Roman"/>
          <w:sz w:val="24"/>
          <w:szCs w:val="24"/>
        </w:rPr>
        <w:t xml:space="preserve"> 2013 Apr 10.</w:t>
      </w:r>
      <w:proofErr w:type="gramEnd"/>
      <w:r w:rsidRPr="000B1A12">
        <w:rPr>
          <w:rFonts w:asciiTheme="minorHAnsi" w:hAnsiTheme="minorHAnsi" w:cs="Times New Roman"/>
          <w:sz w:val="24"/>
          <w:szCs w:val="24"/>
        </w:rPr>
        <w:t xml:space="preserve"> </w:t>
      </w:r>
      <w:r w:rsidRPr="000B1A12">
        <w:rPr>
          <w:rFonts w:asciiTheme="minorHAnsi" w:eastAsia="Times New Roman" w:hAnsiTheme="minorHAnsi" w:cs="Times New Roman"/>
          <w:sz w:val="24"/>
          <w:szCs w:val="24"/>
        </w:rPr>
        <w:t>PMID: 23717785</w:t>
      </w:r>
      <w:r w:rsidR="00CA57F2">
        <w:t xml:space="preserve">4. </w:t>
      </w:r>
    </w:p>
    <w:p w14:paraId="1BF4EB26" w14:textId="643BBD8E" w:rsidR="00CA57F2" w:rsidRDefault="00577874" w:rsidP="004421F1">
      <w:pPr>
        <w:pStyle w:val="Title"/>
        <w:rPr>
          <w:rFonts w:asciiTheme="minorHAnsi" w:hAnsiTheme="minorHAnsi" w:cs="AGaramond-Regular"/>
          <w:sz w:val="24"/>
          <w:szCs w:val="24"/>
        </w:rPr>
      </w:pPr>
      <w:r w:rsidRPr="00577874">
        <w:rPr>
          <w:rFonts w:asciiTheme="minorHAnsi" w:hAnsiTheme="minorHAnsi"/>
          <w:sz w:val="24"/>
          <w:szCs w:val="24"/>
        </w:rPr>
        <w:t xml:space="preserve">4. </w:t>
      </w:r>
      <w:r w:rsidR="00CA57F2" w:rsidRPr="004421F1">
        <w:rPr>
          <w:rFonts w:asciiTheme="minorHAnsi" w:hAnsiTheme="minorHAnsi" w:cs="AGaramond-Regular"/>
          <w:sz w:val="24"/>
          <w:szCs w:val="24"/>
        </w:rPr>
        <w:t xml:space="preserve">Guidance for </w:t>
      </w:r>
      <w:r w:rsidR="005F280E" w:rsidRPr="004421F1">
        <w:rPr>
          <w:rFonts w:asciiTheme="minorHAnsi" w:hAnsiTheme="minorHAnsi" w:cs="AGaramond-Regular"/>
          <w:sz w:val="24"/>
          <w:szCs w:val="24"/>
        </w:rPr>
        <w:t>n</w:t>
      </w:r>
      <w:r w:rsidR="00CA57F2" w:rsidRPr="004421F1">
        <w:rPr>
          <w:rFonts w:asciiTheme="minorHAnsi" w:hAnsiTheme="minorHAnsi" w:cs="AGaramond-Regular"/>
          <w:sz w:val="24"/>
          <w:szCs w:val="24"/>
        </w:rPr>
        <w:t xml:space="preserve">ational </w:t>
      </w:r>
      <w:r w:rsidR="005F280E" w:rsidRPr="004421F1">
        <w:rPr>
          <w:rFonts w:asciiTheme="minorHAnsi" w:hAnsiTheme="minorHAnsi" w:cs="AGaramond-Regular"/>
          <w:sz w:val="24"/>
          <w:szCs w:val="24"/>
        </w:rPr>
        <w:t xml:space="preserve">tuberculosis </w:t>
      </w:r>
      <w:proofErr w:type="spellStart"/>
      <w:r w:rsidR="005F280E" w:rsidRPr="004421F1">
        <w:rPr>
          <w:rFonts w:asciiTheme="minorHAnsi" w:hAnsiTheme="minorHAnsi" w:cs="AGaramond-Regular"/>
          <w:sz w:val="24"/>
          <w:szCs w:val="24"/>
        </w:rPr>
        <w:t>p</w:t>
      </w:r>
      <w:r w:rsidR="00CA57F2" w:rsidRPr="004421F1">
        <w:rPr>
          <w:rFonts w:asciiTheme="minorHAnsi" w:hAnsiTheme="minorHAnsi" w:cs="AGaramond-Regular"/>
          <w:sz w:val="24"/>
          <w:szCs w:val="24"/>
        </w:rPr>
        <w:t>rogrammes</w:t>
      </w:r>
      <w:proofErr w:type="spellEnd"/>
      <w:r w:rsidR="00CA57F2" w:rsidRPr="004421F1">
        <w:rPr>
          <w:rFonts w:asciiTheme="minorHAnsi" w:hAnsiTheme="minorHAnsi" w:cs="AGaramond-Regular"/>
          <w:sz w:val="24"/>
          <w:szCs w:val="24"/>
        </w:rPr>
        <w:t xml:space="preserve"> on the </w:t>
      </w:r>
      <w:r w:rsidR="005F280E" w:rsidRPr="004421F1">
        <w:rPr>
          <w:rFonts w:asciiTheme="minorHAnsi" w:hAnsiTheme="minorHAnsi" w:cs="AGaramond-Regular"/>
          <w:sz w:val="24"/>
          <w:szCs w:val="24"/>
        </w:rPr>
        <w:t>m</w:t>
      </w:r>
      <w:r w:rsidR="00CA57F2" w:rsidRPr="004421F1">
        <w:rPr>
          <w:rFonts w:asciiTheme="minorHAnsi" w:hAnsiTheme="minorHAnsi" w:cs="AGaramond-Regular"/>
          <w:sz w:val="24"/>
          <w:szCs w:val="24"/>
        </w:rPr>
        <w:t xml:space="preserve">anagement of </w:t>
      </w:r>
      <w:r w:rsidR="005F280E" w:rsidRPr="004421F1">
        <w:rPr>
          <w:rFonts w:asciiTheme="minorHAnsi" w:hAnsiTheme="minorHAnsi" w:cs="AGaramond-Regular"/>
          <w:sz w:val="24"/>
          <w:szCs w:val="24"/>
        </w:rPr>
        <w:t>t</w:t>
      </w:r>
      <w:r w:rsidR="00CA57F2" w:rsidRPr="004421F1">
        <w:rPr>
          <w:rFonts w:asciiTheme="minorHAnsi" w:hAnsiTheme="minorHAnsi" w:cs="AGaramond-Regular"/>
          <w:sz w:val="24"/>
          <w:szCs w:val="24"/>
        </w:rPr>
        <w:t xml:space="preserve">uberculosis in </w:t>
      </w:r>
      <w:r w:rsidR="005F280E" w:rsidRPr="004421F1">
        <w:rPr>
          <w:rFonts w:asciiTheme="minorHAnsi" w:hAnsiTheme="minorHAnsi" w:cs="AGaramond-Regular"/>
          <w:sz w:val="24"/>
          <w:szCs w:val="24"/>
        </w:rPr>
        <w:t>c</w:t>
      </w:r>
      <w:r w:rsidR="00CA57F2" w:rsidRPr="004421F1">
        <w:rPr>
          <w:rFonts w:asciiTheme="minorHAnsi" w:hAnsiTheme="minorHAnsi" w:cs="AGaramond-Regular"/>
          <w:sz w:val="24"/>
          <w:szCs w:val="24"/>
        </w:rPr>
        <w:t>hildren</w:t>
      </w:r>
      <w:r w:rsidR="005F280E" w:rsidRPr="004421F1">
        <w:rPr>
          <w:rFonts w:asciiTheme="minorHAnsi" w:hAnsiTheme="minorHAnsi" w:cs="AGaramond-Regular"/>
          <w:sz w:val="24"/>
          <w:szCs w:val="24"/>
        </w:rPr>
        <w:t>: second edition. 2014. [</w:t>
      </w:r>
      <w:proofErr w:type="gramStart"/>
      <w:r w:rsidR="005F280E" w:rsidRPr="004421F1">
        <w:rPr>
          <w:rFonts w:asciiTheme="minorHAnsi" w:hAnsiTheme="minorHAnsi" w:cs="AGaramond-Regular"/>
          <w:sz w:val="24"/>
          <w:szCs w:val="24"/>
        </w:rPr>
        <w:t>internet</w:t>
      </w:r>
      <w:proofErr w:type="gramEnd"/>
      <w:r w:rsidR="005F280E" w:rsidRPr="004421F1">
        <w:rPr>
          <w:rFonts w:asciiTheme="minorHAnsi" w:hAnsiTheme="minorHAnsi" w:cs="AGaramond-Regular"/>
          <w:sz w:val="24"/>
          <w:szCs w:val="24"/>
        </w:rPr>
        <w:t xml:space="preserve">].  </w:t>
      </w:r>
      <w:proofErr w:type="gramStart"/>
      <w:r w:rsidR="005F280E" w:rsidRPr="004421F1">
        <w:rPr>
          <w:rFonts w:asciiTheme="minorHAnsi" w:hAnsiTheme="minorHAnsi" w:cs="AGaramond-Regular"/>
          <w:sz w:val="24"/>
          <w:szCs w:val="24"/>
        </w:rPr>
        <w:t>World Health Organization (WHO)</w:t>
      </w:r>
      <w:r w:rsidR="00146977">
        <w:rPr>
          <w:rFonts w:asciiTheme="minorHAnsi" w:hAnsiTheme="minorHAnsi" w:cs="AGaramond-Regular"/>
          <w:sz w:val="24"/>
          <w:szCs w:val="24"/>
        </w:rPr>
        <w:t>, 2014</w:t>
      </w:r>
      <w:r w:rsidR="005F280E" w:rsidRPr="004421F1">
        <w:rPr>
          <w:rFonts w:asciiTheme="minorHAnsi" w:hAnsiTheme="minorHAnsi" w:cs="AGaramond-Regular"/>
          <w:sz w:val="24"/>
          <w:szCs w:val="24"/>
        </w:rPr>
        <w:t>.</w:t>
      </w:r>
      <w:proofErr w:type="gramEnd"/>
      <w:r w:rsidR="00146977">
        <w:rPr>
          <w:rFonts w:asciiTheme="minorHAnsi" w:hAnsiTheme="minorHAnsi" w:cs="AGaramond-Regular"/>
          <w:sz w:val="24"/>
          <w:szCs w:val="24"/>
        </w:rPr>
        <w:t xml:space="preserve"> Geneva.</w:t>
      </w:r>
      <w:r w:rsidR="005F280E" w:rsidRPr="004421F1">
        <w:rPr>
          <w:rFonts w:asciiTheme="minorHAnsi" w:hAnsiTheme="minorHAnsi" w:cs="AGaramond-Regular"/>
          <w:sz w:val="24"/>
          <w:szCs w:val="24"/>
        </w:rPr>
        <w:t xml:space="preserve">  Available from: </w:t>
      </w:r>
      <w:hyperlink r:id="rId22" w:history="1">
        <w:r w:rsidR="00C77324" w:rsidRPr="00D108F6">
          <w:rPr>
            <w:rStyle w:val="Hyperlink"/>
            <w:rFonts w:asciiTheme="minorHAnsi" w:hAnsiTheme="minorHAnsi" w:cs="AGaramond-Regular"/>
            <w:sz w:val="24"/>
            <w:szCs w:val="24"/>
          </w:rPr>
          <w:t>http://www.who.int/tb/publications/childtb_guidelines/en/</w:t>
        </w:r>
      </w:hyperlink>
    </w:p>
    <w:p w14:paraId="6C725A09" w14:textId="77777777" w:rsidR="009D36B5" w:rsidRDefault="00C77324" w:rsidP="008B687F">
      <w:pPr>
        <w:autoSpaceDE w:val="0"/>
        <w:autoSpaceDN w:val="0"/>
        <w:adjustRightInd w:val="0"/>
        <w:rPr>
          <w:rFonts w:cs="Helvetica"/>
        </w:rPr>
      </w:pPr>
      <w:r w:rsidRPr="00C77324">
        <w:rPr>
          <w:rFonts w:cs="AGaramond-Regular"/>
        </w:rPr>
        <w:t>5.</w:t>
      </w:r>
      <w:r w:rsidRPr="00E676E9">
        <w:rPr>
          <w:rFonts w:cs="Helvetica-Oblique"/>
          <w:i/>
          <w:iCs/>
        </w:rPr>
        <w:t xml:space="preserve"> </w:t>
      </w:r>
      <w:r w:rsidRPr="00E676E9">
        <w:rPr>
          <w:rFonts w:cs="Helvetica-Oblique"/>
          <w:iCs/>
        </w:rPr>
        <w:t>Definitions and reporti</w:t>
      </w:r>
      <w:r w:rsidR="00146977" w:rsidRPr="00146977">
        <w:rPr>
          <w:rFonts w:cs="Helvetica-Oblique"/>
          <w:iCs/>
        </w:rPr>
        <w:t xml:space="preserve">ng framework for </w:t>
      </w:r>
      <w:proofErr w:type="gramStart"/>
      <w:r w:rsidR="00146977" w:rsidRPr="00146977">
        <w:rPr>
          <w:rFonts w:cs="Helvetica-Oblique"/>
          <w:iCs/>
        </w:rPr>
        <w:t xml:space="preserve">tuberculosis </w:t>
      </w:r>
      <w:r w:rsidR="00146977">
        <w:rPr>
          <w:rFonts w:cs="Helvetica-Oblique"/>
          <w:iCs/>
        </w:rPr>
        <w:t>:</w:t>
      </w:r>
      <w:proofErr w:type="gramEnd"/>
      <w:r w:rsidR="00146977">
        <w:rPr>
          <w:rFonts w:cs="Helvetica-Oblique"/>
          <w:iCs/>
        </w:rPr>
        <w:t xml:space="preserve"> </w:t>
      </w:r>
      <w:r w:rsidRPr="00E676E9">
        <w:rPr>
          <w:rFonts w:cs="Helvetica-Oblique"/>
          <w:iCs/>
        </w:rPr>
        <w:t>2013 revision</w:t>
      </w:r>
      <w:r w:rsidRPr="00E676E9">
        <w:rPr>
          <w:rFonts w:cs="Helvetica"/>
        </w:rPr>
        <w:t xml:space="preserve">. </w:t>
      </w:r>
      <w:proofErr w:type="gramStart"/>
      <w:r w:rsidRPr="00E676E9">
        <w:rPr>
          <w:rFonts w:cs="Helvetica"/>
        </w:rPr>
        <w:t>World Health</w:t>
      </w:r>
      <w:r>
        <w:rPr>
          <w:rFonts w:cs="Helvetica"/>
        </w:rPr>
        <w:t xml:space="preserve"> </w:t>
      </w:r>
      <w:r w:rsidRPr="00E676E9">
        <w:rPr>
          <w:rFonts w:cs="Helvetica"/>
        </w:rPr>
        <w:t>Organization</w:t>
      </w:r>
      <w:r w:rsidR="00146977">
        <w:rPr>
          <w:rFonts w:cs="Helvetica"/>
        </w:rPr>
        <w:t xml:space="preserve"> (WHO)</w:t>
      </w:r>
      <w:r w:rsidRPr="00E676E9">
        <w:rPr>
          <w:rFonts w:cs="Helvetica"/>
        </w:rPr>
        <w:t>, 2013</w:t>
      </w:r>
      <w:r w:rsidR="00146977">
        <w:rPr>
          <w:rFonts w:cs="Helvetica"/>
        </w:rPr>
        <w:t>.</w:t>
      </w:r>
      <w:proofErr w:type="gramEnd"/>
      <w:r w:rsidRPr="00E676E9">
        <w:rPr>
          <w:rFonts w:cs="Helvetica"/>
        </w:rPr>
        <w:t xml:space="preserve"> </w:t>
      </w:r>
      <w:r w:rsidR="00146977" w:rsidRPr="00676727">
        <w:rPr>
          <w:rFonts w:cs="Helvetica"/>
        </w:rPr>
        <w:t>Geneva</w:t>
      </w:r>
      <w:r w:rsidR="00146977">
        <w:rPr>
          <w:rFonts w:cs="Helvetica"/>
        </w:rPr>
        <w:t xml:space="preserve">. </w:t>
      </w:r>
    </w:p>
    <w:p w14:paraId="5D2731E8" w14:textId="77777777" w:rsidR="009D36B5" w:rsidRDefault="009D36B5" w:rsidP="008B687F">
      <w:pPr>
        <w:autoSpaceDE w:val="0"/>
        <w:autoSpaceDN w:val="0"/>
        <w:adjustRightInd w:val="0"/>
        <w:rPr>
          <w:rFonts w:cs="Helvetica"/>
        </w:rPr>
      </w:pPr>
    </w:p>
    <w:p w14:paraId="3F07494A" w14:textId="79D70E58" w:rsidR="009D36B5" w:rsidRDefault="009D36B5" w:rsidP="008B687F">
      <w:pPr>
        <w:autoSpaceDE w:val="0"/>
        <w:autoSpaceDN w:val="0"/>
        <w:adjustRightInd w:val="0"/>
      </w:pPr>
      <w:r>
        <w:t xml:space="preserve">6.Guyatt GH, </w:t>
      </w:r>
      <w:proofErr w:type="spellStart"/>
      <w:r>
        <w:t>Oxman</w:t>
      </w:r>
      <w:proofErr w:type="spellEnd"/>
      <w:r>
        <w:t xml:space="preserve"> AD, </w:t>
      </w:r>
      <w:proofErr w:type="spellStart"/>
      <w:r>
        <w:t>Schunemann</w:t>
      </w:r>
      <w:proofErr w:type="spellEnd"/>
      <w:r>
        <w:t xml:space="preserve"> HJ, </w:t>
      </w:r>
      <w:proofErr w:type="spellStart"/>
      <w:r>
        <w:t>Tugwell</w:t>
      </w:r>
      <w:proofErr w:type="spellEnd"/>
      <w:r>
        <w:t xml:space="preserve"> P, </w:t>
      </w:r>
      <w:proofErr w:type="spellStart"/>
      <w:r>
        <w:t>Knottnerus</w:t>
      </w:r>
      <w:proofErr w:type="spellEnd"/>
      <w:r>
        <w:t xml:space="preserve"> A. GRADE guidelines: a new series of articles in the Journal of Clinical Epidemiology. Journal of Clinical Epidemiology 2011</w:t>
      </w:r>
      <w:proofErr w:type="gramStart"/>
      <w:r>
        <w:t>;64</w:t>
      </w:r>
      <w:proofErr w:type="gramEnd"/>
      <w:r>
        <w:t>(4):380-2. [PubMed: 21185693]</w:t>
      </w:r>
    </w:p>
    <w:p w14:paraId="4A4E42A6" w14:textId="77777777" w:rsidR="009D36B5" w:rsidRPr="009D36B5" w:rsidRDefault="009D36B5" w:rsidP="008B687F">
      <w:pPr>
        <w:pStyle w:val="ListParagraph"/>
        <w:autoSpaceDE w:val="0"/>
        <w:autoSpaceDN w:val="0"/>
        <w:adjustRightInd w:val="0"/>
        <w:ind w:left="360"/>
        <w:rPr>
          <w:rFonts w:cs="Helvetica"/>
        </w:rPr>
      </w:pPr>
    </w:p>
    <w:p w14:paraId="387292FC" w14:textId="700F20F6" w:rsidR="009D36B5" w:rsidRPr="00C81C0E" w:rsidRDefault="00C81C0E" w:rsidP="00321DAD">
      <w:pPr>
        <w:autoSpaceDE w:val="0"/>
        <w:autoSpaceDN w:val="0"/>
        <w:adjustRightInd w:val="0"/>
        <w:rPr>
          <w:rFonts w:cs="Helvetica"/>
        </w:rPr>
      </w:pPr>
      <w:r>
        <w:t xml:space="preserve">7. </w:t>
      </w:r>
      <w:r w:rsidR="009D36B5">
        <w:t xml:space="preserve">Higgins JPT, Green S (editors). Cochrane Handbook for Systematic Reviews of Interventions Version 5.1.0 [updated March 2011]. </w:t>
      </w:r>
      <w:proofErr w:type="gramStart"/>
      <w:r w:rsidR="009D36B5">
        <w:t>The Cochrane Collaboration, 2011.</w:t>
      </w:r>
      <w:proofErr w:type="gramEnd"/>
      <w:r w:rsidR="009D36B5">
        <w:t xml:space="preserve"> Available from: http://www.cochrane-handbook.org, (Accessed 20 February 2012).</w:t>
      </w:r>
    </w:p>
    <w:p w14:paraId="1B735A4B" w14:textId="33A3B6C9" w:rsidR="009D36B5" w:rsidRPr="00321DAD" w:rsidRDefault="009D36B5" w:rsidP="00B32D4F">
      <w:pPr>
        <w:pStyle w:val="ListParagraph"/>
        <w:numPr>
          <w:ilvl w:val="0"/>
          <w:numId w:val="37"/>
        </w:numPr>
        <w:spacing w:before="100" w:beforeAutospacing="1" w:after="100" w:afterAutospacing="1"/>
        <w:ind w:left="360"/>
        <w:rPr>
          <w:rFonts w:ascii="Times New Roman" w:eastAsia="Times New Roman" w:hAnsi="Times New Roman" w:cs="Times New Roman"/>
        </w:rPr>
      </w:pPr>
      <w:proofErr w:type="spellStart"/>
      <w:r w:rsidRPr="00321DAD">
        <w:rPr>
          <w:rFonts w:ascii="Times New Roman" w:eastAsia="Times New Roman" w:hAnsi="Times New Roman" w:cs="Times New Roman"/>
        </w:rPr>
        <w:lastRenderedPageBreak/>
        <w:t>Deeks</w:t>
      </w:r>
      <w:proofErr w:type="spellEnd"/>
      <w:r w:rsidRPr="00321DAD">
        <w:rPr>
          <w:rFonts w:ascii="Times New Roman" w:eastAsia="Times New Roman" w:hAnsi="Times New Roman" w:cs="Times New Roman"/>
        </w:rPr>
        <w:t xml:space="preserve"> JJ, Higgins JPT, Altman DG. Chapter 9: </w:t>
      </w:r>
      <w:proofErr w:type="spellStart"/>
      <w:r w:rsidRPr="00321DAD">
        <w:rPr>
          <w:rFonts w:ascii="Times New Roman" w:eastAsia="Times New Roman" w:hAnsi="Times New Roman" w:cs="Times New Roman"/>
        </w:rPr>
        <w:t>Analysing</w:t>
      </w:r>
      <w:proofErr w:type="spellEnd"/>
      <w:r w:rsidRPr="00321DAD">
        <w:rPr>
          <w:rFonts w:ascii="Times New Roman" w:eastAsia="Times New Roman" w:hAnsi="Times New Roman" w:cs="Times New Roman"/>
        </w:rPr>
        <w:t xml:space="preserve"> data and undertaking meta-analyses. In: Higgins JPT, Green S, </w:t>
      </w:r>
      <w:proofErr w:type="gramStart"/>
      <w:r w:rsidRPr="00321DAD">
        <w:rPr>
          <w:rFonts w:ascii="Times New Roman" w:eastAsia="Times New Roman" w:hAnsi="Times New Roman" w:cs="Times New Roman"/>
        </w:rPr>
        <w:t>editor</w:t>
      </w:r>
      <w:proofErr w:type="gramEnd"/>
      <w:r w:rsidRPr="00321DAD">
        <w:rPr>
          <w:rFonts w:ascii="Times New Roman" w:eastAsia="Times New Roman" w:hAnsi="Times New Roman" w:cs="Times New Roman"/>
        </w:rPr>
        <w:t xml:space="preserve">(s). Cochrane Handbook for Systematic Reviews of Interventions. </w:t>
      </w:r>
      <w:proofErr w:type="spellStart"/>
      <w:r w:rsidRPr="00321DAD">
        <w:rPr>
          <w:rFonts w:ascii="Times New Roman" w:eastAsia="Times New Roman" w:hAnsi="Times New Roman" w:cs="Times New Roman"/>
        </w:rPr>
        <w:t>Chichester</w:t>
      </w:r>
      <w:proofErr w:type="spellEnd"/>
      <w:r w:rsidRPr="00321DAD">
        <w:rPr>
          <w:rFonts w:ascii="Times New Roman" w:eastAsia="Times New Roman" w:hAnsi="Times New Roman" w:cs="Times New Roman"/>
        </w:rPr>
        <w:t>: John Wiley &amp; Sons, 2008:276-82.</w:t>
      </w:r>
    </w:p>
    <w:p w14:paraId="375FBDBC" w14:textId="77777777" w:rsidR="009D36B5" w:rsidRPr="009D36B5" w:rsidRDefault="009D36B5" w:rsidP="00321DAD">
      <w:pPr>
        <w:pStyle w:val="ListParagraph"/>
        <w:autoSpaceDE w:val="0"/>
        <w:autoSpaceDN w:val="0"/>
        <w:adjustRightInd w:val="0"/>
        <w:ind w:left="0"/>
        <w:rPr>
          <w:rFonts w:cs="Helvetica"/>
        </w:rPr>
      </w:pPr>
    </w:p>
    <w:p w14:paraId="2F733481" w14:textId="12FD64E7" w:rsidR="009D36B5" w:rsidRPr="008B687F" w:rsidRDefault="00E508F4" w:rsidP="00321DAD">
      <w:pPr>
        <w:pStyle w:val="ListParagraph"/>
        <w:numPr>
          <w:ilvl w:val="0"/>
          <w:numId w:val="37"/>
        </w:numPr>
        <w:autoSpaceDE w:val="0"/>
        <w:autoSpaceDN w:val="0"/>
        <w:adjustRightInd w:val="0"/>
        <w:ind w:left="360"/>
        <w:rPr>
          <w:rFonts w:cs="Helvetica"/>
        </w:rPr>
      </w:pPr>
      <w:r w:rsidRPr="008B687F">
        <w:rPr>
          <w:rFonts w:ascii="Times New Roman" w:hAnsi="Times New Roman"/>
          <w:sz w:val="22"/>
          <w:szCs w:val="22"/>
        </w:rPr>
        <w:t xml:space="preserve">Jenkins HE, </w:t>
      </w:r>
      <w:proofErr w:type="spellStart"/>
      <w:r w:rsidRPr="008B687F">
        <w:rPr>
          <w:rFonts w:ascii="Times New Roman" w:hAnsi="Times New Roman"/>
          <w:sz w:val="22"/>
          <w:szCs w:val="22"/>
        </w:rPr>
        <w:t>Tolman</w:t>
      </w:r>
      <w:proofErr w:type="spellEnd"/>
      <w:r w:rsidRPr="008B687F">
        <w:rPr>
          <w:rFonts w:ascii="Times New Roman" w:hAnsi="Times New Roman"/>
          <w:sz w:val="22"/>
          <w:szCs w:val="22"/>
        </w:rPr>
        <w:t xml:space="preserve"> AW, Yuen CM, Parr JB, </w:t>
      </w:r>
      <w:proofErr w:type="spellStart"/>
      <w:r w:rsidRPr="008B687F">
        <w:rPr>
          <w:rFonts w:ascii="Times New Roman" w:hAnsi="Times New Roman"/>
          <w:sz w:val="22"/>
          <w:szCs w:val="22"/>
        </w:rPr>
        <w:t>Keshavjee</w:t>
      </w:r>
      <w:proofErr w:type="spellEnd"/>
      <w:r w:rsidRPr="008B687F">
        <w:rPr>
          <w:rFonts w:ascii="Times New Roman" w:hAnsi="Times New Roman"/>
          <w:sz w:val="22"/>
          <w:szCs w:val="22"/>
        </w:rPr>
        <w:t xml:space="preserve"> S, Pérez-</w:t>
      </w:r>
      <w:proofErr w:type="spellStart"/>
      <w:r w:rsidRPr="008B687F">
        <w:rPr>
          <w:rFonts w:ascii="Times New Roman" w:hAnsi="Times New Roman"/>
          <w:sz w:val="22"/>
          <w:szCs w:val="22"/>
        </w:rPr>
        <w:t>Vélez</w:t>
      </w:r>
      <w:proofErr w:type="spellEnd"/>
      <w:r w:rsidRPr="008B687F">
        <w:rPr>
          <w:rFonts w:ascii="Times New Roman" w:hAnsi="Times New Roman"/>
          <w:sz w:val="22"/>
          <w:szCs w:val="22"/>
        </w:rPr>
        <w:t xml:space="preserve"> CM, Pagano M, Becerra MC, Cohen T. Incidence of multidrug-resistant tuberculosis disease in children: systematic review and global estimates. Lancet. 2014 May 3; 383(9928)</w:t>
      </w:r>
      <w:proofErr w:type="gramStart"/>
      <w:r w:rsidRPr="008B687F">
        <w:rPr>
          <w:rFonts w:ascii="Times New Roman" w:hAnsi="Times New Roman"/>
          <w:sz w:val="22"/>
          <w:szCs w:val="22"/>
        </w:rPr>
        <w:t>:1572</w:t>
      </w:r>
      <w:proofErr w:type="gramEnd"/>
      <w:r w:rsidRPr="008B687F">
        <w:rPr>
          <w:rFonts w:ascii="Times New Roman" w:hAnsi="Times New Roman"/>
          <w:sz w:val="22"/>
          <w:szCs w:val="22"/>
        </w:rPr>
        <w:t>-9.</w:t>
      </w:r>
    </w:p>
    <w:p w14:paraId="1A2A715D" w14:textId="77777777" w:rsidR="00C03679" w:rsidRPr="00E508F4" w:rsidRDefault="00C03679" w:rsidP="00321DAD">
      <w:pPr>
        <w:pStyle w:val="ListParagraph"/>
        <w:autoSpaceDE w:val="0"/>
        <w:autoSpaceDN w:val="0"/>
        <w:adjustRightInd w:val="0"/>
        <w:ind w:left="0"/>
        <w:rPr>
          <w:rFonts w:cs="Helvetica"/>
        </w:rPr>
      </w:pPr>
    </w:p>
    <w:p w14:paraId="5FE7F76B" w14:textId="120A6F5C" w:rsidR="009302C3" w:rsidRPr="008B687F" w:rsidRDefault="009A05E0" w:rsidP="00321DAD">
      <w:pPr>
        <w:pStyle w:val="ListParagraph"/>
        <w:numPr>
          <w:ilvl w:val="0"/>
          <w:numId w:val="37"/>
        </w:numPr>
        <w:spacing w:before="100" w:beforeAutospacing="1" w:after="100" w:afterAutospacing="1"/>
        <w:ind w:left="360"/>
        <w:rPr>
          <w:rFonts w:eastAsia="Times New Roman" w:cs="Times New Roman"/>
        </w:rPr>
      </w:pPr>
      <w:proofErr w:type="spellStart"/>
      <w:r w:rsidRPr="008B687F">
        <w:rPr>
          <w:rFonts w:eastAsia="Times New Roman" w:cs="Times New Roman"/>
          <w:bCs/>
        </w:rPr>
        <w:t>Wallgren</w:t>
      </w:r>
      <w:proofErr w:type="spellEnd"/>
      <w:r w:rsidRPr="008B687F">
        <w:rPr>
          <w:rFonts w:eastAsia="Times New Roman" w:cs="Times New Roman"/>
          <w:bCs/>
        </w:rPr>
        <w:t xml:space="preserve"> A. Primary </w:t>
      </w:r>
      <w:proofErr w:type="spellStart"/>
      <w:r w:rsidRPr="008B687F">
        <w:rPr>
          <w:rFonts w:eastAsia="Times New Roman" w:cs="Times New Roman"/>
          <w:bCs/>
        </w:rPr>
        <w:t>tuberculous</w:t>
      </w:r>
      <w:proofErr w:type="spellEnd"/>
      <w:r w:rsidRPr="008B687F">
        <w:rPr>
          <w:rFonts w:eastAsia="Times New Roman" w:cs="Times New Roman"/>
          <w:bCs/>
        </w:rPr>
        <w:t xml:space="preserve"> infections in young adult life and in childhood. Am J Dis Child 1941; 61: 577-589</w:t>
      </w:r>
    </w:p>
    <w:p w14:paraId="0D3C871B" w14:textId="77777777" w:rsidR="008B687F" w:rsidRPr="00C03679" w:rsidRDefault="008B687F" w:rsidP="008B687F">
      <w:pPr>
        <w:pStyle w:val="ListParagraph"/>
        <w:spacing w:before="100" w:beforeAutospacing="1" w:after="100" w:afterAutospacing="1"/>
        <w:ind w:left="360"/>
        <w:rPr>
          <w:rFonts w:eastAsia="Times New Roman" w:cs="Times New Roman"/>
        </w:rPr>
      </w:pPr>
    </w:p>
    <w:p w14:paraId="0A15134F" w14:textId="619AA5D6" w:rsidR="009820EF" w:rsidRPr="008B687F" w:rsidRDefault="009820EF" w:rsidP="008B687F">
      <w:pPr>
        <w:pStyle w:val="ListParagraph"/>
        <w:spacing w:before="100" w:beforeAutospacing="1" w:after="100" w:afterAutospacing="1"/>
        <w:ind w:left="360"/>
        <w:rPr>
          <w:rFonts w:eastAsia="Times New Roman" w:cs="Times New Roman"/>
        </w:rPr>
      </w:pPr>
    </w:p>
    <w:p w14:paraId="3950E218" w14:textId="77777777" w:rsidR="002C791C" w:rsidRPr="000B1A12" w:rsidRDefault="002C791C" w:rsidP="002C791C">
      <w:pPr>
        <w:spacing w:before="100" w:beforeAutospacing="1" w:after="100" w:afterAutospacing="1"/>
        <w:rPr>
          <w:rFonts w:cs="Times New Roman"/>
        </w:rPr>
      </w:pPr>
    </w:p>
    <w:p w14:paraId="45996982" w14:textId="4537DDE9" w:rsidR="00BD46D3" w:rsidRDefault="00BD46D3">
      <w:r>
        <w:br w:type="page"/>
      </w:r>
    </w:p>
    <w:p w14:paraId="0B490997" w14:textId="665A5EFF" w:rsidR="00C75605" w:rsidRPr="004C44EE" w:rsidRDefault="00BD46D3" w:rsidP="004C44EE">
      <w:pPr>
        <w:pStyle w:val="Heading1"/>
        <w:rPr>
          <w:rFonts w:asciiTheme="minorHAnsi" w:hAnsiTheme="minorHAnsi"/>
          <w:sz w:val="24"/>
          <w:szCs w:val="24"/>
        </w:rPr>
      </w:pPr>
      <w:bookmarkStart w:id="28" w:name="_Toc398595345"/>
      <w:r w:rsidRPr="004C44EE">
        <w:rPr>
          <w:rFonts w:asciiTheme="minorHAnsi" w:hAnsiTheme="minorHAnsi"/>
          <w:sz w:val="24"/>
          <w:szCs w:val="24"/>
        </w:rPr>
        <w:lastRenderedPageBreak/>
        <w:t>Appendix A</w:t>
      </w:r>
      <w:r w:rsidR="005A5898" w:rsidRPr="004C44EE">
        <w:rPr>
          <w:rFonts w:asciiTheme="minorHAnsi" w:hAnsiTheme="minorHAnsi"/>
          <w:sz w:val="24"/>
          <w:szCs w:val="24"/>
        </w:rPr>
        <w:t>: Study Objectives within PICO format</w:t>
      </w:r>
      <w:bookmarkEnd w:id="28"/>
    </w:p>
    <w:p w14:paraId="703975BE" w14:textId="77777777" w:rsidR="00BD46D3" w:rsidRPr="000B1A12" w:rsidRDefault="00BD46D3" w:rsidP="00BD46D3"/>
    <w:p w14:paraId="6766E9AA" w14:textId="34530E3A" w:rsidR="00BD46D3" w:rsidRPr="000B1A12" w:rsidRDefault="00BD46D3" w:rsidP="00BD46D3">
      <w:pPr>
        <w:rPr>
          <w:b/>
          <w:sz w:val="22"/>
          <w:szCs w:val="22"/>
        </w:rPr>
      </w:pPr>
      <w:r w:rsidRPr="000B1A12">
        <w:rPr>
          <w:b/>
          <w:sz w:val="22"/>
          <w:szCs w:val="22"/>
        </w:rPr>
        <w:t>Table 1.  PICO components</w:t>
      </w:r>
    </w:p>
    <w:tbl>
      <w:tblPr>
        <w:tblStyle w:val="TableGrid"/>
        <w:tblW w:w="8564" w:type="dxa"/>
        <w:tblLayout w:type="fixed"/>
        <w:tblLook w:val="04A0" w:firstRow="1" w:lastRow="0" w:firstColumn="1" w:lastColumn="0" w:noHBand="0" w:noVBand="1"/>
      </w:tblPr>
      <w:tblGrid>
        <w:gridCol w:w="2141"/>
        <w:gridCol w:w="2141"/>
        <w:gridCol w:w="2141"/>
        <w:gridCol w:w="2141"/>
      </w:tblGrid>
      <w:tr w:rsidR="00BD46D3" w:rsidRPr="000B1A12" w14:paraId="6768B5C6" w14:textId="77777777" w:rsidTr="00225944">
        <w:trPr>
          <w:trHeight w:val="144"/>
        </w:trPr>
        <w:tc>
          <w:tcPr>
            <w:tcW w:w="2141" w:type="dxa"/>
          </w:tcPr>
          <w:p w14:paraId="721F1152" w14:textId="77777777" w:rsidR="00BD46D3" w:rsidRPr="000B1A12" w:rsidRDefault="00BD46D3" w:rsidP="00225944">
            <w:pPr>
              <w:rPr>
                <w:b/>
                <w:sz w:val="22"/>
                <w:szCs w:val="22"/>
              </w:rPr>
            </w:pPr>
            <w:r w:rsidRPr="000B1A12">
              <w:rPr>
                <w:b/>
                <w:sz w:val="22"/>
                <w:szCs w:val="22"/>
              </w:rPr>
              <w:t>Population/</w:t>
            </w:r>
          </w:p>
          <w:p w14:paraId="2CE86C94" w14:textId="77777777" w:rsidR="00BD46D3" w:rsidRPr="000B1A12" w:rsidRDefault="00BD46D3" w:rsidP="00225944">
            <w:pPr>
              <w:rPr>
                <w:b/>
                <w:sz w:val="22"/>
                <w:szCs w:val="22"/>
              </w:rPr>
            </w:pPr>
            <w:r w:rsidRPr="000B1A12">
              <w:rPr>
                <w:b/>
                <w:sz w:val="22"/>
                <w:szCs w:val="22"/>
              </w:rPr>
              <w:t>Patients</w:t>
            </w:r>
          </w:p>
        </w:tc>
        <w:tc>
          <w:tcPr>
            <w:tcW w:w="2141" w:type="dxa"/>
          </w:tcPr>
          <w:p w14:paraId="6B9A31EB" w14:textId="77777777" w:rsidR="00BD46D3" w:rsidRPr="000B1A12" w:rsidRDefault="00BD46D3" w:rsidP="00225944">
            <w:pPr>
              <w:rPr>
                <w:b/>
                <w:sz w:val="22"/>
                <w:szCs w:val="22"/>
              </w:rPr>
            </w:pPr>
            <w:r w:rsidRPr="000B1A12">
              <w:rPr>
                <w:b/>
                <w:sz w:val="22"/>
                <w:szCs w:val="22"/>
              </w:rPr>
              <w:t>Intervention</w:t>
            </w:r>
          </w:p>
        </w:tc>
        <w:tc>
          <w:tcPr>
            <w:tcW w:w="2141" w:type="dxa"/>
          </w:tcPr>
          <w:p w14:paraId="157A0181" w14:textId="77777777" w:rsidR="00BD46D3" w:rsidRPr="000B1A12" w:rsidRDefault="00BD46D3" w:rsidP="00225944">
            <w:pPr>
              <w:rPr>
                <w:b/>
                <w:sz w:val="22"/>
                <w:szCs w:val="22"/>
              </w:rPr>
            </w:pPr>
            <w:r w:rsidRPr="000B1A12">
              <w:rPr>
                <w:b/>
                <w:sz w:val="22"/>
                <w:szCs w:val="22"/>
              </w:rPr>
              <w:t>Comparator</w:t>
            </w:r>
          </w:p>
        </w:tc>
        <w:tc>
          <w:tcPr>
            <w:tcW w:w="2141" w:type="dxa"/>
          </w:tcPr>
          <w:p w14:paraId="04987261" w14:textId="77777777" w:rsidR="00BD46D3" w:rsidRPr="000B1A12" w:rsidRDefault="00BD46D3" w:rsidP="00225944">
            <w:pPr>
              <w:rPr>
                <w:b/>
                <w:sz w:val="22"/>
                <w:szCs w:val="22"/>
              </w:rPr>
            </w:pPr>
            <w:r w:rsidRPr="000B1A12">
              <w:rPr>
                <w:b/>
                <w:sz w:val="22"/>
                <w:szCs w:val="22"/>
              </w:rPr>
              <w:t>Outcome/s</w:t>
            </w:r>
          </w:p>
        </w:tc>
      </w:tr>
      <w:tr w:rsidR="00BD46D3" w:rsidRPr="000B1A12" w14:paraId="7D98FBD9" w14:textId="77777777" w:rsidTr="00225944">
        <w:trPr>
          <w:trHeight w:val="1284"/>
        </w:trPr>
        <w:tc>
          <w:tcPr>
            <w:tcW w:w="2141" w:type="dxa"/>
            <w:vMerge w:val="restart"/>
          </w:tcPr>
          <w:p w14:paraId="37125229" w14:textId="77777777" w:rsidR="00BD46D3" w:rsidRPr="000B1A12" w:rsidRDefault="00BD46D3" w:rsidP="00225944">
            <w:pPr>
              <w:rPr>
                <w:sz w:val="22"/>
                <w:szCs w:val="22"/>
              </w:rPr>
            </w:pPr>
            <w:r w:rsidRPr="000B1A12">
              <w:rPr>
                <w:sz w:val="22"/>
                <w:szCs w:val="22"/>
              </w:rPr>
              <w:t>Primary population:</w:t>
            </w:r>
          </w:p>
          <w:p w14:paraId="54E6B194" w14:textId="77777777" w:rsidR="00BD46D3" w:rsidRPr="000B1A12" w:rsidRDefault="00BD46D3" w:rsidP="00225944">
            <w:pPr>
              <w:pStyle w:val="ListParagraph"/>
              <w:numPr>
                <w:ilvl w:val="0"/>
                <w:numId w:val="1"/>
              </w:numPr>
              <w:rPr>
                <w:sz w:val="22"/>
                <w:szCs w:val="22"/>
              </w:rPr>
            </w:pPr>
            <w:r w:rsidRPr="000B1A12">
              <w:rPr>
                <w:sz w:val="22"/>
                <w:szCs w:val="22"/>
              </w:rPr>
              <w:t>Children, age 0-14</w:t>
            </w:r>
            <w:r>
              <w:rPr>
                <w:sz w:val="22"/>
                <w:szCs w:val="22"/>
              </w:rPr>
              <w:t xml:space="preserve"> </w:t>
            </w:r>
            <w:r w:rsidRPr="004301C0">
              <w:rPr>
                <w:sz w:val="22"/>
                <w:szCs w:val="22"/>
              </w:rPr>
              <w:t xml:space="preserve">(or to 16 years, see </w:t>
            </w:r>
            <w:r w:rsidRPr="004301C0">
              <w:rPr>
                <w:i/>
                <w:sz w:val="22"/>
                <w:szCs w:val="22"/>
              </w:rPr>
              <w:t>Methods</w:t>
            </w:r>
            <w:r w:rsidRPr="004301C0">
              <w:rPr>
                <w:sz w:val="22"/>
                <w:szCs w:val="22"/>
              </w:rPr>
              <w:t>)</w:t>
            </w:r>
            <w:r w:rsidRPr="000B1A12">
              <w:rPr>
                <w:sz w:val="22"/>
                <w:szCs w:val="22"/>
              </w:rPr>
              <w:t xml:space="preserve"> years, treated for </w:t>
            </w:r>
            <w:r w:rsidRPr="00822D9E">
              <w:rPr>
                <w:sz w:val="22"/>
                <w:szCs w:val="22"/>
              </w:rPr>
              <w:t xml:space="preserve">clinically diagnosed or </w:t>
            </w:r>
            <w:r>
              <w:rPr>
                <w:sz w:val="22"/>
                <w:szCs w:val="22"/>
              </w:rPr>
              <w:t xml:space="preserve">bacteriologically </w:t>
            </w:r>
            <w:r w:rsidRPr="00822D9E">
              <w:rPr>
                <w:sz w:val="22"/>
                <w:szCs w:val="22"/>
              </w:rPr>
              <w:t xml:space="preserve">confirmed pulmonary or </w:t>
            </w:r>
            <w:proofErr w:type="spellStart"/>
            <w:r w:rsidRPr="00822D9E">
              <w:rPr>
                <w:sz w:val="22"/>
                <w:szCs w:val="22"/>
              </w:rPr>
              <w:t>extrapulmonary</w:t>
            </w:r>
            <w:proofErr w:type="spellEnd"/>
            <w:r w:rsidRPr="00822D9E">
              <w:rPr>
                <w:sz w:val="22"/>
                <w:szCs w:val="22"/>
              </w:rPr>
              <w:t xml:space="preserve"> </w:t>
            </w:r>
            <w:r>
              <w:rPr>
                <w:sz w:val="22"/>
                <w:szCs w:val="22"/>
              </w:rPr>
              <w:t>MDR-</w:t>
            </w:r>
            <w:r w:rsidRPr="00822D9E">
              <w:rPr>
                <w:sz w:val="22"/>
                <w:szCs w:val="22"/>
              </w:rPr>
              <w:t>TB</w:t>
            </w:r>
          </w:p>
          <w:p w14:paraId="31376DEE" w14:textId="77777777" w:rsidR="00BD46D3" w:rsidRPr="000B1A12" w:rsidRDefault="00BD46D3" w:rsidP="00225944">
            <w:pPr>
              <w:rPr>
                <w:sz w:val="22"/>
                <w:szCs w:val="22"/>
              </w:rPr>
            </w:pPr>
          </w:p>
          <w:p w14:paraId="36812445" w14:textId="77777777" w:rsidR="00BD46D3" w:rsidRPr="000B1A12" w:rsidRDefault="00BD46D3" w:rsidP="00225944">
            <w:pPr>
              <w:rPr>
                <w:sz w:val="22"/>
                <w:szCs w:val="22"/>
              </w:rPr>
            </w:pPr>
            <w:r w:rsidRPr="000B1A12">
              <w:rPr>
                <w:sz w:val="22"/>
                <w:szCs w:val="22"/>
              </w:rPr>
              <w:t>Subgroups/other covariates of interest (as specified above)</w:t>
            </w:r>
          </w:p>
        </w:tc>
        <w:tc>
          <w:tcPr>
            <w:tcW w:w="2141" w:type="dxa"/>
          </w:tcPr>
          <w:p w14:paraId="1359389F" w14:textId="558FC25F" w:rsidR="00BD46D3" w:rsidRPr="00321DAD" w:rsidRDefault="00BD46D3" w:rsidP="00321DAD">
            <w:pPr>
              <w:pStyle w:val="ListParagraph"/>
              <w:numPr>
                <w:ilvl w:val="0"/>
                <w:numId w:val="3"/>
              </w:numPr>
              <w:rPr>
                <w:sz w:val="22"/>
                <w:szCs w:val="22"/>
              </w:rPr>
            </w:pPr>
            <w:r w:rsidRPr="00321DAD">
              <w:rPr>
                <w:sz w:val="22"/>
                <w:szCs w:val="22"/>
              </w:rPr>
              <w:t xml:space="preserve">Treated with </w:t>
            </w:r>
            <w:r w:rsidRPr="000B1A12">
              <w:sym w:font="Symbol" w:char="F0B3"/>
            </w:r>
            <w:r w:rsidRPr="00321DAD">
              <w:rPr>
                <w:sz w:val="22"/>
                <w:szCs w:val="22"/>
              </w:rPr>
              <w:t>6 drugs during at least the intensive phase of treatment</w:t>
            </w:r>
          </w:p>
        </w:tc>
        <w:tc>
          <w:tcPr>
            <w:tcW w:w="2141" w:type="dxa"/>
          </w:tcPr>
          <w:p w14:paraId="60DDDF29" w14:textId="2E592B5B" w:rsidR="00BD46D3" w:rsidRPr="00321DAD" w:rsidRDefault="00BD46D3" w:rsidP="00321DAD">
            <w:pPr>
              <w:pStyle w:val="ListParagraph"/>
              <w:numPr>
                <w:ilvl w:val="0"/>
                <w:numId w:val="38"/>
              </w:numPr>
              <w:rPr>
                <w:sz w:val="22"/>
                <w:szCs w:val="22"/>
              </w:rPr>
            </w:pPr>
            <w:r w:rsidRPr="00321DAD">
              <w:rPr>
                <w:sz w:val="22"/>
                <w:szCs w:val="22"/>
              </w:rPr>
              <w:t>Treated with &lt;6 drugs during at least the intensive phase of treatment</w:t>
            </w:r>
          </w:p>
        </w:tc>
        <w:tc>
          <w:tcPr>
            <w:tcW w:w="2141" w:type="dxa"/>
            <w:vMerge w:val="restart"/>
          </w:tcPr>
          <w:p w14:paraId="3AC718F6" w14:textId="77777777" w:rsidR="00BD46D3" w:rsidRPr="000B1A12" w:rsidRDefault="00BD46D3" w:rsidP="00225944">
            <w:pPr>
              <w:rPr>
                <w:sz w:val="22"/>
                <w:szCs w:val="22"/>
              </w:rPr>
            </w:pPr>
            <w:r w:rsidRPr="000B1A12">
              <w:rPr>
                <w:sz w:val="22"/>
                <w:szCs w:val="22"/>
              </w:rPr>
              <w:t>Primary outcome:</w:t>
            </w:r>
          </w:p>
          <w:p w14:paraId="031572E2" w14:textId="77777777" w:rsidR="00BD46D3" w:rsidRPr="000B1A12" w:rsidRDefault="00BD46D3" w:rsidP="00225944">
            <w:pPr>
              <w:rPr>
                <w:sz w:val="22"/>
                <w:szCs w:val="22"/>
              </w:rPr>
            </w:pPr>
            <w:r>
              <w:rPr>
                <w:sz w:val="22"/>
                <w:szCs w:val="22"/>
              </w:rPr>
              <w:t>Treatment success</w:t>
            </w:r>
            <w:r w:rsidRPr="000B1A12">
              <w:rPr>
                <w:sz w:val="22"/>
                <w:szCs w:val="22"/>
              </w:rPr>
              <w:t xml:space="preserve"> (cure or </w:t>
            </w:r>
            <w:r>
              <w:rPr>
                <w:sz w:val="22"/>
                <w:szCs w:val="22"/>
              </w:rPr>
              <w:t>treatment completed</w:t>
            </w:r>
            <w:r w:rsidRPr="000B1A12">
              <w:rPr>
                <w:sz w:val="22"/>
                <w:szCs w:val="22"/>
              </w:rPr>
              <w:t>)</w:t>
            </w:r>
            <w:r>
              <w:rPr>
                <w:sz w:val="22"/>
                <w:szCs w:val="22"/>
              </w:rPr>
              <w:t xml:space="preserve"> and treatment failure.</w:t>
            </w:r>
          </w:p>
          <w:p w14:paraId="68E4EF96" w14:textId="77777777" w:rsidR="00BD46D3" w:rsidRDefault="00BD46D3" w:rsidP="00225944">
            <w:pPr>
              <w:rPr>
                <w:sz w:val="22"/>
                <w:szCs w:val="22"/>
              </w:rPr>
            </w:pPr>
          </w:p>
          <w:p w14:paraId="31C84322" w14:textId="77777777" w:rsidR="00BD46D3" w:rsidRPr="000B1A12" w:rsidRDefault="00BD46D3" w:rsidP="00225944">
            <w:pPr>
              <w:rPr>
                <w:sz w:val="22"/>
                <w:szCs w:val="22"/>
              </w:rPr>
            </w:pPr>
          </w:p>
          <w:p w14:paraId="6AC44092" w14:textId="77777777" w:rsidR="00BD46D3" w:rsidRPr="000B1A12" w:rsidRDefault="00BD46D3" w:rsidP="00225944">
            <w:pPr>
              <w:rPr>
                <w:sz w:val="22"/>
                <w:szCs w:val="22"/>
              </w:rPr>
            </w:pPr>
            <w:r w:rsidRPr="000B1A12">
              <w:rPr>
                <w:sz w:val="22"/>
                <w:szCs w:val="22"/>
              </w:rPr>
              <w:t>Secondary outcomes:</w:t>
            </w:r>
          </w:p>
          <w:p w14:paraId="05EE1D59" w14:textId="77777777" w:rsidR="00BD46D3" w:rsidRDefault="00BD46D3" w:rsidP="00225944">
            <w:pPr>
              <w:pStyle w:val="ListParagraph"/>
              <w:numPr>
                <w:ilvl w:val="0"/>
                <w:numId w:val="4"/>
              </w:numPr>
              <w:rPr>
                <w:sz w:val="22"/>
                <w:szCs w:val="22"/>
              </w:rPr>
            </w:pPr>
            <w:r>
              <w:rPr>
                <w:sz w:val="22"/>
                <w:szCs w:val="22"/>
              </w:rPr>
              <w:t>Death</w:t>
            </w:r>
          </w:p>
          <w:p w14:paraId="1AE89FFF" w14:textId="77777777" w:rsidR="00BD46D3" w:rsidRDefault="00BD46D3" w:rsidP="00225944">
            <w:pPr>
              <w:pStyle w:val="ListParagraph"/>
              <w:numPr>
                <w:ilvl w:val="0"/>
                <w:numId w:val="4"/>
              </w:numPr>
              <w:rPr>
                <w:sz w:val="22"/>
                <w:szCs w:val="22"/>
              </w:rPr>
            </w:pPr>
            <w:r>
              <w:rPr>
                <w:sz w:val="22"/>
                <w:szCs w:val="22"/>
              </w:rPr>
              <w:t>Lost to follow-up/ not evaluated</w:t>
            </w:r>
          </w:p>
          <w:p w14:paraId="694ECA1C" w14:textId="77777777" w:rsidR="00BD46D3" w:rsidRPr="000B1A12" w:rsidRDefault="00BD46D3" w:rsidP="00225944">
            <w:pPr>
              <w:pStyle w:val="ListParagraph"/>
              <w:numPr>
                <w:ilvl w:val="0"/>
                <w:numId w:val="4"/>
              </w:numPr>
              <w:rPr>
                <w:sz w:val="22"/>
                <w:szCs w:val="22"/>
              </w:rPr>
            </w:pPr>
            <w:r>
              <w:rPr>
                <w:sz w:val="22"/>
                <w:szCs w:val="22"/>
              </w:rPr>
              <w:t>2 month sputum conversion among those with bacteriologically confirmed TB</w:t>
            </w:r>
          </w:p>
          <w:p w14:paraId="0EAC7129" w14:textId="77777777" w:rsidR="00BD46D3" w:rsidRDefault="00BD46D3" w:rsidP="00225944">
            <w:pPr>
              <w:pStyle w:val="ListParagraph"/>
              <w:numPr>
                <w:ilvl w:val="0"/>
                <w:numId w:val="4"/>
              </w:numPr>
              <w:rPr>
                <w:sz w:val="22"/>
                <w:szCs w:val="22"/>
              </w:rPr>
            </w:pPr>
            <w:r>
              <w:rPr>
                <w:sz w:val="22"/>
                <w:szCs w:val="22"/>
              </w:rPr>
              <w:t>Clinically significant adverse events</w:t>
            </w:r>
          </w:p>
          <w:p w14:paraId="087DF555" w14:textId="77777777" w:rsidR="00BD46D3" w:rsidRDefault="00BD46D3" w:rsidP="00225944">
            <w:pPr>
              <w:pStyle w:val="ListParagraph"/>
              <w:numPr>
                <w:ilvl w:val="0"/>
                <w:numId w:val="4"/>
              </w:numPr>
              <w:rPr>
                <w:sz w:val="22"/>
                <w:szCs w:val="22"/>
              </w:rPr>
            </w:pPr>
            <w:r>
              <w:rPr>
                <w:sz w:val="22"/>
                <w:szCs w:val="22"/>
              </w:rPr>
              <w:t>Drug cost</w:t>
            </w:r>
          </w:p>
          <w:p w14:paraId="633983A3" w14:textId="77777777" w:rsidR="00BD46D3" w:rsidRDefault="00BD46D3" w:rsidP="00225944">
            <w:pPr>
              <w:rPr>
                <w:sz w:val="22"/>
                <w:szCs w:val="22"/>
              </w:rPr>
            </w:pPr>
          </w:p>
          <w:p w14:paraId="307BE22D" w14:textId="77777777" w:rsidR="00BD46D3" w:rsidRPr="000B1A12" w:rsidRDefault="00BD46D3" w:rsidP="00225944">
            <w:pPr>
              <w:rPr>
                <w:sz w:val="22"/>
                <w:szCs w:val="22"/>
              </w:rPr>
            </w:pPr>
            <w:r>
              <w:rPr>
                <w:sz w:val="22"/>
                <w:szCs w:val="22"/>
              </w:rPr>
              <w:t xml:space="preserve">Note: in addition to standard WHO treatment outcomes, international research consensus for </w:t>
            </w:r>
            <w:proofErr w:type="spellStart"/>
            <w:r>
              <w:rPr>
                <w:sz w:val="22"/>
                <w:szCs w:val="22"/>
              </w:rPr>
              <w:t>paediatric</w:t>
            </w:r>
            <w:proofErr w:type="spellEnd"/>
            <w:r>
              <w:rPr>
                <w:sz w:val="22"/>
                <w:szCs w:val="22"/>
              </w:rPr>
              <w:t xml:space="preserve"> MDR-</w:t>
            </w:r>
            <w:proofErr w:type="gramStart"/>
            <w:r>
              <w:rPr>
                <w:sz w:val="22"/>
                <w:szCs w:val="22"/>
              </w:rPr>
              <w:t>TB  treatment</w:t>
            </w:r>
            <w:proofErr w:type="gramEnd"/>
            <w:r>
              <w:rPr>
                <w:sz w:val="22"/>
                <w:szCs w:val="22"/>
              </w:rPr>
              <w:t xml:space="preserve"> outcomes will also be described. </w:t>
            </w:r>
          </w:p>
          <w:p w14:paraId="1BA0A9A6" w14:textId="77777777" w:rsidR="00BD46D3" w:rsidRPr="00AA3E0A" w:rsidRDefault="00BD46D3" w:rsidP="00225944">
            <w:pPr>
              <w:rPr>
                <w:sz w:val="22"/>
                <w:szCs w:val="22"/>
              </w:rPr>
            </w:pPr>
          </w:p>
        </w:tc>
      </w:tr>
      <w:tr w:rsidR="00BD46D3" w:rsidRPr="000B1A12" w14:paraId="6490976B" w14:textId="77777777" w:rsidTr="00225944">
        <w:trPr>
          <w:trHeight w:val="1296"/>
        </w:trPr>
        <w:tc>
          <w:tcPr>
            <w:tcW w:w="2141" w:type="dxa"/>
            <w:vMerge/>
          </w:tcPr>
          <w:p w14:paraId="7102BD06" w14:textId="77777777" w:rsidR="00BD46D3" w:rsidRPr="000B1A12" w:rsidRDefault="00BD46D3" w:rsidP="00225944">
            <w:pPr>
              <w:rPr>
                <w:sz w:val="22"/>
                <w:szCs w:val="22"/>
              </w:rPr>
            </w:pPr>
          </w:p>
        </w:tc>
        <w:tc>
          <w:tcPr>
            <w:tcW w:w="2141" w:type="dxa"/>
          </w:tcPr>
          <w:p w14:paraId="111A7F80" w14:textId="77777777" w:rsidR="00BD46D3" w:rsidRPr="004301C0" w:rsidRDefault="00BD46D3" w:rsidP="00321DAD">
            <w:pPr>
              <w:pStyle w:val="ListParagraph"/>
              <w:numPr>
                <w:ilvl w:val="0"/>
                <w:numId w:val="38"/>
              </w:numPr>
              <w:rPr>
                <w:sz w:val="22"/>
                <w:szCs w:val="22"/>
              </w:rPr>
            </w:pPr>
            <w:r w:rsidRPr="004301C0">
              <w:rPr>
                <w:sz w:val="22"/>
                <w:szCs w:val="22"/>
              </w:rPr>
              <w:t>Treated with second-line injectable TB drugs for &lt;4 months</w:t>
            </w:r>
          </w:p>
        </w:tc>
        <w:tc>
          <w:tcPr>
            <w:tcW w:w="2141" w:type="dxa"/>
          </w:tcPr>
          <w:p w14:paraId="409A0FC4" w14:textId="5FB0A1FE" w:rsidR="00BD46D3" w:rsidRPr="00321DAD" w:rsidRDefault="00BD46D3" w:rsidP="00321DAD">
            <w:pPr>
              <w:pStyle w:val="ListParagraph"/>
              <w:numPr>
                <w:ilvl w:val="0"/>
                <w:numId w:val="3"/>
              </w:numPr>
              <w:rPr>
                <w:sz w:val="22"/>
                <w:szCs w:val="22"/>
              </w:rPr>
            </w:pPr>
            <w:r w:rsidRPr="00321DAD">
              <w:rPr>
                <w:sz w:val="22"/>
                <w:szCs w:val="22"/>
              </w:rPr>
              <w:t xml:space="preserve">Treated with second-line injectable TB drugs for </w:t>
            </w:r>
            <w:r w:rsidRPr="00DE36FD">
              <w:sym w:font="Symbol" w:char="F0B3"/>
            </w:r>
            <w:r w:rsidRPr="00321DAD">
              <w:rPr>
                <w:sz w:val="22"/>
                <w:szCs w:val="22"/>
              </w:rPr>
              <w:t>4 months</w:t>
            </w:r>
          </w:p>
        </w:tc>
        <w:tc>
          <w:tcPr>
            <w:tcW w:w="2141" w:type="dxa"/>
            <w:vMerge/>
          </w:tcPr>
          <w:p w14:paraId="715BA9DE" w14:textId="77777777" w:rsidR="00BD46D3" w:rsidRPr="000B1A12" w:rsidRDefault="00BD46D3" w:rsidP="00225944">
            <w:pPr>
              <w:rPr>
                <w:sz w:val="22"/>
                <w:szCs w:val="22"/>
              </w:rPr>
            </w:pPr>
          </w:p>
        </w:tc>
      </w:tr>
      <w:tr w:rsidR="00BD46D3" w:rsidRPr="000B1A12" w14:paraId="748DD835" w14:textId="77777777" w:rsidTr="00225944">
        <w:trPr>
          <w:trHeight w:val="834"/>
        </w:trPr>
        <w:tc>
          <w:tcPr>
            <w:tcW w:w="2141" w:type="dxa"/>
            <w:vMerge/>
          </w:tcPr>
          <w:p w14:paraId="1A0DC1C2" w14:textId="77777777" w:rsidR="00BD46D3" w:rsidRPr="000B1A12" w:rsidRDefault="00BD46D3" w:rsidP="00225944">
            <w:pPr>
              <w:rPr>
                <w:sz w:val="22"/>
                <w:szCs w:val="22"/>
              </w:rPr>
            </w:pPr>
          </w:p>
        </w:tc>
        <w:tc>
          <w:tcPr>
            <w:tcW w:w="2141" w:type="dxa"/>
          </w:tcPr>
          <w:p w14:paraId="1CCEF9CF" w14:textId="4D81198C" w:rsidR="00BD46D3" w:rsidRPr="00321DAD" w:rsidRDefault="00BD46D3" w:rsidP="00321DAD">
            <w:pPr>
              <w:pStyle w:val="ListParagraph"/>
              <w:numPr>
                <w:ilvl w:val="0"/>
                <w:numId w:val="3"/>
              </w:numPr>
              <w:rPr>
                <w:sz w:val="22"/>
                <w:szCs w:val="22"/>
              </w:rPr>
            </w:pPr>
            <w:r w:rsidRPr="00321DAD">
              <w:rPr>
                <w:sz w:val="22"/>
                <w:szCs w:val="22"/>
              </w:rPr>
              <w:t>Treated for a total duration of &lt;18 months</w:t>
            </w:r>
          </w:p>
        </w:tc>
        <w:tc>
          <w:tcPr>
            <w:tcW w:w="2141" w:type="dxa"/>
          </w:tcPr>
          <w:p w14:paraId="4B5234DE" w14:textId="4AC06A7E" w:rsidR="00BD46D3" w:rsidRPr="00321DAD" w:rsidRDefault="00BD46D3" w:rsidP="00321DAD">
            <w:pPr>
              <w:pStyle w:val="ListParagraph"/>
              <w:numPr>
                <w:ilvl w:val="0"/>
                <w:numId w:val="38"/>
              </w:numPr>
              <w:rPr>
                <w:sz w:val="22"/>
                <w:szCs w:val="22"/>
              </w:rPr>
            </w:pPr>
            <w:r w:rsidRPr="00321DAD">
              <w:rPr>
                <w:sz w:val="22"/>
                <w:szCs w:val="22"/>
              </w:rPr>
              <w:t xml:space="preserve">Treated for a total duration of </w:t>
            </w:r>
            <w:r w:rsidRPr="000B1A12">
              <w:sym w:font="Symbol" w:char="F0B3"/>
            </w:r>
            <w:r w:rsidRPr="00321DAD">
              <w:rPr>
                <w:sz w:val="22"/>
                <w:szCs w:val="22"/>
              </w:rPr>
              <w:t>18 months</w:t>
            </w:r>
          </w:p>
        </w:tc>
        <w:tc>
          <w:tcPr>
            <w:tcW w:w="2141" w:type="dxa"/>
            <w:vMerge/>
          </w:tcPr>
          <w:p w14:paraId="2BC30B1B" w14:textId="77777777" w:rsidR="00BD46D3" w:rsidRPr="000B1A12" w:rsidRDefault="00BD46D3" w:rsidP="00225944">
            <w:pPr>
              <w:rPr>
                <w:sz w:val="22"/>
                <w:szCs w:val="22"/>
              </w:rPr>
            </w:pPr>
          </w:p>
        </w:tc>
      </w:tr>
      <w:tr w:rsidR="00BD46D3" w:rsidRPr="000B1A12" w14:paraId="16E1D44D" w14:textId="77777777" w:rsidTr="00225944">
        <w:trPr>
          <w:trHeight w:val="1272"/>
        </w:trPr>
        <w:tc>
          <w:tcPr>
            <w:tcW w:w="2141" w:type="dxa"/>
            <w:vMerge/>
          </w:tcPr>
          <w:p w14:paraId="00AC5B73" w14:textId="77777777" w:rsidR="00BD46D3" w:rsidRPr="000B1A12" w:rsidRDefault="00BD46D3" w:rsidP="00225944">
            <w:pPr>
              <w:rPr>
                <w:sz w:val="22"/>
                <w:szCs w:val="22"/>
              </w:rPr>
            </w:pPr>
          </w:p>
        </w:tc>
        <w:tc>
          <w:tcPr>
            <w:tcW w:w="2141" w:type="dxa"/>
          </w:tcPr>
          <w:p w14:paraId="6F3CF75B" w14:textId="4C5BF364" w:rsidR="00BD46D3" w:rsidRPr="00321DAD" w:rsidRDefault="00BD46D3" w:rsidP="00321DAD">
            <w:pPr>
              <w:pStyle w:val="ListParagraph"/>
              <w:numPr>
                <w:ilvl w:val="0"/>
                <w:numId w:val="39"/>
              </w:numPr>
              <w:rPr>
                <w:sz w:val="22"/>
                <w:szCs w:val="22"/>
              </w:rPr>
            </w:pPr>
            <w:r w:rsidRPr="00321DAD">
              <w:rPr>
                <w:sz w:val="22"/>
                <w:szCs w:val="22"/>
              </w:rPr>
              <w:t xml:space="preserve">Use of later generation fluoroquinolone (moxifloxacin or levofloxacin) </w:t>
            </w:r>
          </w:p>
        </w:tc>
        <w:tc>
          <w:tcPr>
            <w:tcW w:w="2141" w:type="dxa"/>
          </w:tcPr>
          <w:p w14:paraId="10EA6130" w14:textId="77777777" w:rsidR="00BD46D3" w:rsidRPr="000B1A12" w:rsidRDefault="00BD46D3" w:rsidP="00321DAD">
            <w:pPr>
              <w:pStyle w:val="ListParagraph"/>
              <w:numPr>
                <w:ilvl w:val="0"/>
                <w:numId w:val="38"/>
              </w:numPr>
              <w:rPr>
                <w:sz w:val="22"/>
                <w:szCs w:val="22"/>
              </w:rPr>
            </w:pPr>
            <w:r w:rsidRPr="004301C0">
              <w:rPr>
                <w:sz w:val="22"/>
                <w:szCs w:val="22"/>
              </w:rPr>
              <w:t>Use of earlier generation fluoroquinolone (</w:t>
            </w:r>
            <w:proofErr w:type="spellStart"/>
            <w:r w:rsidRPr="004301C0">
              <w:rPr>
                <w:sz w:val="22"/>
                <w:szCs w:val="22"/>
              </w:rPr>
              <w:t>ofloxacin</w:t>
            </w:r>
            <w:proofErr w:type="spellEnd"/>
            <w:r w:rsidRPr="004301C0">
              <w:rPr>
                <w:sz w:val="22"/>
                <w:szCs w:val="22"/>
              </w:rPr>
              <w:t xml:space="preserve"> or ciprofloxacin)</w:t>
            </w:r>
          </w:p>
        </w:tc>
        <w:tc>
          <w:tcPr>
            <w:tcW w:w="2141" w:type="dxa"/>
            <w:vMerge/>
          </w:tcPr>
          <w:p w14:paraId="0A9F2883" w14:textId="77777777" w:rsidR="00BD46D3" w:rsidRPr="000B1A12" w:rsidRDefault="00BD46D3" w:rsidP="00225944">
            <w:pPr>
              <w:rPr>
                <w:sz w:val="22"/>
                <w:szCs w:val="22"/>
              </w:rPr>
            </w:pPr>
          </w:p>
        </w:tc>
      </w:tr>
      <w:tr w:rsidR="00BD46D3" w:rsidRPr="000B1A12" w14:paraId="66A2658F" w14:textId="77777777" w:rsidTr="00225944">
        <w:trPr>
          <w:trHeight w:val="1032"/>
        </w:trPr>
        <w:tc>
          <w:tcPr>
            <w:tcW w:w="2141" w:type="dxa"/>
            <w:vMerge/>
          </w:tcPr>
          <w:p w14:paraId="709A55FA" w14:textId="77777777" w:rsidR="00BD46D3" w:rsidRPr="000B1A12" w:rsidRDefault="00BD46D3" w:rsidP="00225944">
            <w:pPr>
              <w:rPr>
                <w:sz w:val="22"/>
                <w:szCs w:val="22"/>
              </w:rPr>
            </w:pPr>
          </w:p>
        </w:tc>
        <w:tc>
          <w:tcPr>
            <w:tcW w:w="2141" w:type="dxa"/>
          </w:tcPr>
          <w:p w14:paraId="6BE14703" w14:textId="77777777" w:rsidR="00BD46D3" w:rsidRDefault="00BD46D3" w:rsidP="00321DAD">
            <w:pPr>
              <w:pStyle w:val="ListParagraph"/>
              <w:numPr>
                <w:ilvl w:val="0"/>
                <w:numId w:val="39"/>
              </w:numPr>
              <w:rPr>
                <w:sz w:val="22"/>
                <w:szCs w:val="22"/>
              </w:rPr>
            </w:pPr>
            <w:r>
              <w:rPr>
                <w:sz w:val="22"/>
                <w:szCs w:val="22"/>
              </w:rPr>
              <w:t>Inclusion of high dose isoniazid in treatment regimen</w:t>
            </w:r>
          </w:p>
        </w:tc>
        <w:tc>
          <w:tcPr>
            <w:tcW w:w="2141" w:type="dxa"/>
          </w:tcPr>
          <w:p w14:paraId="3C6E2D36" w14:textId="77777777" w:rsidR="00BD46D3" w:rsidRPr="008E3125" w:rsidRDefault="00BD46D3" w:rsidP="00321DAD">
            <w:pPr>
              <w:pStyle w:val="ListParagraph"/>
              <w:numPr>
                <w:ilvl w:val="0"/>
                <w:numId w:val="38"/>
              </w:numPr>
              <w:rPr>
                <w:sz w:val="22"/>
                <w:szCs w:val="22"/>
              </w:rPr>
            </w:pPr>
            <w:r>
              <w:rPr>
                <w:sz w:val="22"/>
                <w:szCs w:val="22"/>
              </w:rPr>
              <w:t>Treatment regimens without high dose isoniazid</w:t>
            </w:r>
          </w:p>
        </w:tc>
        <w:tc>
          <w:tcPr>
            <w:tcW w:w="2141" w:type="dxa"/>
            <w:vMerge/>
          </w:tcPr>
          <w:p w14:paraId="69C9327A" w14:textId="77777777" w:rsidR="00BD46D3" w:rsidRPr="000B1A12" w:rsidRDefault="00BD46D3" w:rsidP="00225944">
            <w:pPr>
              <w:rPr>
                <w:sz w:val="22"/>
                <w:szCs w:val="22"/>
              </w:rPr>
            </w:pPr>
          </w:p>
        </w:tc>
      </w:tr>
      <w:tr w:rsidR="00BD46D3" w:rsidRPr="000B1A12" w14:paraId="1DD32C3F" w14:textId="77777777" w:rsidTr="00225944">
        <w:trPr>
          <w:trHeight w:val="1284"/>
        </w:trPr>
        <w:tc>
          <w:tcPr>
            <w:tcW w:w="2141" w:type="dxa"/>
            <w:vMerge/>
          </w:tcPr>
          <w:p w14:paraId="7F1F06B9" w14:textId="77777777" w:rsidR="00BD46D3" w:rsidRPr="000B1A12" w:rsidRDefault="00BD46D3" w:rsidP="00225944">
            <w:pPr>
              <w:rPr>
                <w:sz w:val="22"/>
                <w:szCs w:val="22"/>
              </w:rPr>
            </w:pPr>
          </w:p>
        </w:tc>
        <w:tc>
          <w:tcPr>
            <w:tcW w:w="2141" w:type="dxa"/>
          </w:tcPr>
          <w:p w14:paraId="6451D700" w14:textId="77777777" w:rsidR="00BD46D3" w:rsidRDefault="00BD46D3" w:rsidP="00321DAD">
            <w:pPr>
              <w:pStyle w:val="ListParagraph"/>
              <w:numPr>
                <w:ilvl w:val="0"/>
                <w:numId w:val="39"/>
              </w:numPr>
              <w:rPr>
                <w:sz w:val="22"/>
                <w:szCs w:val="22"/>
              </w:rPr>
            </w:pPr>
            <w:r>
              <w:rPr>
                <w:sz w:val="22"/>
                <w:szCs w:val="22"/>
              </w:rPr>
              <w:t>Inclusion of ethionamide/ prothionamide in treatment regimen</w:t>
            </w:r>
          </w:p>
        </w:tc>
        <w:tc>
          <w:tcPr>
            <w:tcW w:w="2141" w:type="dxa"/>
          </w:tcPr>
          <w:p w14:paraId="32B1F524" w14:textId="77777777" w:rsidR="00BD46D3" w:rsidRDefault="00BD46D3" w:rsidP="00321DAD">
            <w:pPr>
              <w:pStyle w:val="ListParagraph"/>
              <w:numPr>
                <w:ilvl w:val="0"/>
                <w:numId w:val="38"/>
              </w:numPr>
              <w:rPr>
                <w:sz w:val="22"/>
                <w:szCs w:val="22"/>
              </w:rPr>
            </w:pPr>
            <w:r>
              <w:rPr>
                <w:sz w:val="22"/>
                <w:szCs w:val="22"/>
              </w:rPr>
              <w:t>Treatment regimens without ethionamide/ prothionamide</w:t>
            </w:r>
          </w:p>
        </w:tc>
        <w:tc>
          <w:tcPr>
            <w:tcW w:w="2141" w:type="dxa"/>
            <w:vMerge/>
          </w:tcPr>
          <w:p w14:paraId="70162D42" w14:textId="77777777" w:rsidR="00BD46D3" w:rsidRPr="000B1A12" w:rsidRDefault="00BD46D3" w:rsidP="00225944">
            <w:pPr>
              <w:rPr>
                <w:sz w:val="22"/>
                <w:szCs w:val="22"/>
              </w:rPr>
            </w:pPr>
          </w:p>
        </w:tc>
      </w:tr>
    </w:tbl>
    <w:p w14:paraId="62D7147A" w14:textId="24A9C4C9" w:rsidR="005A5898" w:rsidRDefault="005A5898" w:rsidP="00B63356"/>
    <w:p w14:paraId="1FEF2A8A" w14:textId="77777777" w:rsidR="005A5898" w:rsidRDefault="005A5898">
      <w:r>
        <w:br w:type="page"/>
      </w:r>
    </w:p>
    <w:p w14:paraId="7F3BE2FA" w14:textId="7155A374" w:rsidR="005A5898" w:rsidRPr="00442DA6" w:rsidRDefault="005A5898" w:rsidP="00442DA6">
      <w:pPr>
        <w:pStyle w:val="Heading1"/>
        <w:rPr>
          <w:rFonts w:asciiTheme="minorHAnsi" w:hAnsiTheme="minorHAnsi"/>
          <w:sz w:val="24"/>
          <w:szCs w:val="24"/>
        </w:rPr>
      </w:pPr>
      <w:bookmarkStart w:id="29" w:name="_Toc398595346"/>
      <w:r w:rsidRPr="004C44EE">
        <w:rPr>
          <w:rFonts w:asciiTheme="minorHAnsi" w:hAnsiTheme="minorHAnsi"/>
          <w:sz w:val="24"/>
          <w:szCs w:val="24"/>
        </w:rPr>
        <w:lastRenderedPageBreak/>
        <w:t>Appendix B: Definitions for Study Classifications</w:t>
      </w:r>
      <w:bookmarkEnd w:id="29"/>
    </w:p>
    <w:p w14:paraId="377F9392" w14:textId="77777777" w:rsidR="005A5898" w:rsidRPr="00E676E9" w:rsidRDefault="005A5898" w:rsidP="005A5898">
      <w:pPr>
        <w:autoSpaceDE w:val="0"/>
        <w:autoSpaceDN w:val="0"/>
        <w:adjustRightInd w:val="0"/>
        <w:rPr>
          <w:rFonts w:cs="AGaramond-Regular"/>
          <w:szCs w:val="18"/>
        </w:rPr>
      </w:pPr>
      <w:r w:rsidRPr="00E676E9">
        <w:rPr>
          <w:rFonts w:cs="AGaramond-Regular"/>
          <w:szCs w:val="18"/>
        </w:rPr>
        <w:t>Certainty of Diagnosis of TB Disease (as per WHO guidelines)[5]</w:t>
      </w:r>
    </w:p>
    <w:p w14:paraId="344D2088" w14:textId="77777777" w:rsidR="005A5898" w:rsidRPr="00E676E9" w:rsidRDefault="005A5898" w:rsidP="005A5898">
      <w:pPr>
        <w:numPr>
          <w:ilvl w:val="0"/>
          <w:numId w:val="10"/>
        </w:numPr>
        <w:autoSpaceDE w:val="0"/>
        <w:autoSpaceDN w:val="0"/>
        <w:adjustRightInd w:val="0"/>
        <w:rPr>
          <w:rFonts w:cs="AGaramond-Regular"/>
          <w:szCs w:val="18"/>
        </w:rPr>
      </w:pPr>
      <w:r w:rsidRPr="00E676E9">
        <w:rPr>
          <w:rFonts w:cs="AGaramond-Regular"/>
          <w:szCs w:val="18"/>
        </w:rPr>
        <w:t xml:space="preserve">Confirmed: A bacteriologically confirmed TB case is one from whom a biological specimen is positive by smear microscopy, culture or WHO approved rapid diagnostics (such as </w:t>
      </w:r>
      <w:proofErr w:type="spellStart"/>
      <w:r w:rsidRPr="00E676E9">
        <w:rPr>
          <w:rFonts w:cs="AGaramond-Regular"/>
          <w:szCs w:val="18"/>
        </w:rPr>
        <w:t>Xpert</w:t>
      </w:r>
      <w:proofErr w:type="spellEnd"/>
      <w:r w:rsidRPr="00E676E9">
        <w:rPr>
          <w:rFonts w:cs="AGaramond-Regular"/>
          <w:szCs w:val="18"/>
        </w:rPr>
        <w:t xml:space="preserve"> MTB/RIF</w:t>
      </w:r>
      <w:r>
        <w:rPr>
          <w:rFonts w:cs="AGaramond-Regular"/>
          <w:szCs w:val="18"/>
        </w:rPr>
        <w:t xml:space="preserve"> or LPA</w:t>
      </w:r>
      <w:r w:rsidRPr="00E676E9">
        <w:rPr>
          <w:rFonts w:cs="AGaramond-Regular"/>
          <w:szCs w:val="18"/>
        </w:rPr>
        <w:t xml:space="preserve">).  </w:t>
      </w:r>
    </w:p>
    <w:p w14:paraId="0DE5C8BE" w14:textId="77777777" w:rsidR="005A5898" w:rsidRDefault="005A5898" w:rsidP="005A5898">
      <w:pPr>
        <w:numPr>
          <w:ilvl w:val="0"/>
          <w:numId w:val="10"/>
        </w:numPr>
        <w:autoSpaceDE w:val="0"/>
        <w:autoSpaceDN w:val="0"/>
        <w:adjustRightInd w:val="0"/>
        <w:rPr>
          <w:rFonts w:cs="AGaramond-Regular"/>
          <w:szCs w:val="18"/>
        </w:rPr>
      </w:pPr>
      <w:r w:rsidRPr="00E676E9">
        <w:rPr>
          <w:rFonts w:cs="AGaramond-Regular"/>
          <w:szCs w:val="18"/>
        </w:rPr>
        <w:t>Clinically diagnosed case: a case who does not fulfill the criteria for bacteriological confirmation but who has been diagnosed with TB</w:t>
      </w:r>
      <w:r>
        <w:rPr>
          <w:rFonts w:cs="AGaramond-Regular"/>
          <w:szCs w:val="18"/>
        </w:rPr>
        <w:t xml:space="preserve"> disease</w:t>
      </w:r>
      <w:r w:rsidRPr="00E676E9">
        <w:rPr>
          <w:rFonts w:cs="AGaramond-Regular"/>
          <w:szCs w:val="18"/>
        </w:rPr>
        <w:t xml:space="preserve"> by a clinician or other medical practitioner who has decided to give the patient a full course of </w:t>
      </w:r>
      <w:r>
        <w:rPr>
          <w:rFonts w:cs="AGaramond-Regular"/>
          <w:szCs w:val="18"/>
        </w:rPr>
        <w:t>MDR-</w:t>
      </w:r>
      <w:r w:rsidRPr="00E676E9">
        <w:rPr>
          <w:rFonts w:cs="AGaramond-Regular"/>
          <w:szCs w:val="18"/>
        </w:rPr>
        <w:t xml:space="preserve">TB treatment. </w:t>
      </w:r>
    </w:p>
    <w:p w14:paraId="4352D181" w14:textId="77777777" w:rsidR="005A5898" w:rsidRDefault="005A5898" w:rsidP="005A5898">
      <w:pPr>
        <w:autoSpaceDE w:val="0"/>
        <w:autoSpaceDN w:val="0"/>
        <w:adjustRightInd w:val="0"/>
        <w:rPr>
          <w:rFonts w:cs="AGaramond-Regular"/>
          <w:szCs w:val="18"/>
        </w:rPr>
      </w:pPr>
    </w:p>
    <w:p w14:paraId="5B3C0958" w14:textId="5E9958EA" w:rsidR="005A5898" w:rsidRDefault="005A5898" w:rsidP="005A5898">
      <w:pPr>
        <w:autoSpaceDE w:val="0"/>
        <w:autoSpaceDN w:val="0"/>
        <w:adjustRightInd w:val="0"/>
        <w:rPr>
          <w:rFonts w:cs="AGaramond-Regular"/>
          <w:szCs w:val="18"/>
        </w:rPr>
      </w:pPr>
      <w:r>
        <w:rPr>
          <w:rFonts w:cs="AGaramond-Regular"/>
          <w:szCs w:val="18"/>
        </w:rPr>
        <w:t xml:space="preserve">In addition to these WHO diagnostic categories, the certainty of diagnosis will also be reported using International Consensus Statement definitions for </w:t>
      </w:r>
      <w:proofErr w:type="spellStart"/>
      <w:r>
        <w:rPr>
          <w:rFonts w:cs="AGaramond-Regular"/>
          <w:szCs w:val="18"/>
        </w:rPr>
        <w:t>paediatric</w:t>
      </w:r>
      <w:proofErr w:type="spellEnd"/>
      <w:r>
        <w:rPr>
          <w:rFonts w:cs="AGaramond-Regular"/>
          <w:szCs w:val="18"/>
        </w:rPr>
        <w:t xml:space="preserve"> TB [3].</w:t>
      </w:r>
    </w:p>
    <w:p w14:paraId="293F59C0" w14:textId="77777777" w:rsidR="005A5898" w:rsidRPr="002B3B8D" w:rsidRDefault="005A5898" w:rsidP="005A5898">
      <w:pPr>
        <w:pStyle w:val="ListParagraph"/>
        <w:numPr>
          <w:ilvl w:val="0"/>
          <w:numId w:val="30"/>
        </w:numPr>
        <w:autoSpaceDE w:val="0"/>
        <w:autoSpaceDN w:val="0"/>
        <w:adjustRightInd w:val="0"/>
        <w:rPr>
          <w:rFonts w:cs="AGaramond-Regular"/>
          <w:szCs w:val="18"/>
        </w:rPr>
      </w:pPr>
      <w:r w:rsidRPr="002B3B8D">
        <w:rPr>
          <w:rFonts w:cs="AGaramond-Regular"/>
          <w:szCs w:val="18"/>
        </w:rPr>
        <w:t>Confirmed TB disease: At least 1 of the signs and symptoms suggestive of TB disease and microbiological confirmation of MTB</w:t>
      </w:r>
    </w:p>
    <w:p w14:paraId="7E62D9FC" w14:textId="77777777" w:rsidR="005A5898" w:rsidRPr="00AE0DA8" w:rsidRDefault="005A5898" w:rsidP="005A5898">
      <w:pPr>
        <w:pStyle w:val="ListParagraph"/>
        <w:numPr>
          <w:ilvl w:val="0"/>
          <w:numId w:val="30"/>
        </w:numPr>
        <w:autoSpaceDE w:val="0"/>
        <w:autoSpaceDN w:val="0"/>
        <w:adjustRightInd w:val="0"/>
        <w:rPr>
          <w:rFonts w:cs="AGaramond-Regular"/>
          <w:szCs w:val="18"/>
        </w:rPr>
      </w:pPr>
      <w:r w:rsidRPr="00AE0DA8">
        <w:rPr>
          <w:rFonts w:cs="AGaramond-Regular"/>
          <w:szCs w:val="18"/>
        </w:rPr>
        <w:t xml:space="preserve">Probable TB disease: At least one of the signs and symptoms suggestive of TB disease and the chest X-ray is consistent with </w:t>
      </w:r>
      <w:proofErr w:type="spellStart"/>
      <w:r w:rsidRPr="00AE0DA8">
        <w:rPr>
          <w:rFonts w:cs="AGaramond-Regular"/>
          <w:szCs w:val="18"/>
        </w:rPr>
        <w:t>intrathoracic</w:t>
      </w:r>
      <w:proofErr w:type="spellEnd"/>
      <w:r w:rsidRPr="00AE0DA8">
        <w:rPr>
          <w:rFonts w:cs="AGaramond-Regular"/>
          <w:szCs w:val="18"/>
        </w:rPr>
        <w:t xml:space="preserve"> TB disease and presence of one of the following:</w:t>
      </w:r>
    </w:p>
    <w:p w14:paraId="3151A470" w14:textId="77777777" w:rsidR="005A5898" w:rsidRPr="002B3B8D" w:rsidRDefault="005A5898" w:rsidP="005A5898">
      <w:pPr>
        <w:pStyle w:val="ListParagraph"/>
        <w:numPr>
          <w:ilvl w:val="1"/>
          <w:numId w:val="29"/>
        </w:numPr>
        <w:autoSpaceDE w:val="0"/>
        <w:autoSpaceDN w:val="0"/>
        <w:adjustRightInd w:val="0"/>
        <w:rPr>
          <w:rFonts w:cs="AGaramond-Regular"/>
          <w:szCs w:val="18"/>
        </w:rPr>
      </w:pPr>
      <w:r w:rsidRPr="002B3B8D">
        <w:rPr>
          <w:rFonts w:cs="AGaramond-Regular"/>
          <w:szCs w:val="18"/>
        </w:rPr>
        <w:t>Positive clinical response to TB treatment</w:t>
      </w:r>
    </w:p>
    <w:p w14:paraId="241E3B53" w14:textId="77777777" w:rsidR="005A5898" w:rsidRPr="002B3B8D" w:rsidRDefault="005A5898" w:rsidP="005A5898">
      <w:pPr>
        <w:pStyle w:val="ListParagraph"/>
        <w:numPr>
          <w:ilvl w:val="1"/>
          <w:numId w:val="29"/>
        </w:numPr>
        <w:autoSpaceDE w:val="0"/>
        <w:autoSpaceDN w:val="0"/>
        <w:adjustRightInd w:val="0"/>
        <w:rPr>
          <w:rFonts w:cs="AGaramond-Regular"/>
          <w:szCs w:val="18"/>
        </w:rPr>
      </w:pPr>
      <w:r w:rsidRPr="002B3B8D">
        <w:rPr>
          <w:rFonts w:cs="AGaramond-Regular"/>
          <w:szCs w:val="18"/>
        </w:rPr>
        <w:t>Documented exposure to a source case with TB disease</w:t>
      </w:r>
    </w:p>
    <w:p w14:paraId="36D6A270" w14:textId="77777777" w:rsidR="005A5898" w:rsidRPr="002B3B8D" w:rsidRDefault="005A5898" w:rsidP="005A5898">
      <w:pPr>
        <w:pStyle w:val="ListParagraph"/>
        <w:numPr>
          <w:ilvl w:val="1"/>
          <w:numId w:val="29"/>
        </w:numPr>
        <w:autoSpaceDE w:val="0"/>
        <w:autoSpaceDN w:val="0"/>
        <w:adjustRightInd w:val="0"/>
        <w:rPr>
          <w:rFonts w:cs="AGaramond-Regular"/>
          <w:szCs w:val="18"/>
        </w:rPr>
      </w:pPr>
      <w:r w:rsidRPr="002B3B8D">
        <w:rPr>
          <w:rFonts w:cs="AGaramond-Regular"/>
          <w:szCs w:val="18"/>
        </w:rPr>
        <w:t>Immunological evidence of TB disease</w:t>
      </w:r>
    </w:p>
    <w:p w14:paraId="632280DF" w14:textId="77777777" w:rsidR="005A5898" w:rsidRPr="00AE0DA8" w:rsidRDefault="005A5898" w:rsidP="005A5898">
      <w:pPr>
        <w:pStyle w:val="ListParagraph"/>
        <w:numPr>
          <w:ilvl w:val="0"/>
          <w:numId w:val="31"/>
        </w:numPr>
        <w:autoSpaceDE w:val="0"/>
        <w:autoSpaceDN w:val="0"/>
        <w:adjustRightInd w:val="0"/>
        <w:rPr>
          <w:rFonts w:cs="AGaramond-Regular"/>
          <w:szCs w:val="18"/>
        </w:rPr>
      </w:pPr>
      <w:r w:rsidRPr="00AE0DA8">
        <w:rPr>
          <w:rFonts w:cs="AGaramond-Regular"/>
          <w:szCs w:val="18"/>
        </w:rPr>
        <w:t>Possible TB disease: At least one of the signs and symptoms suggestive of TB disease and either:</w:t>
      </w:r>
    </w:p>
    <w:p w14:paraId="3DB6D137" w14:textId="77777777" w:rsidR="005A5898" w:rsidRPr="002B3B8D" w:rsidRDefault="005A5898" w:rsidP="005A5898">
      <w:pPr>
        <w:pStyle w:val="ListParagraph"/>
        <w:numPr>
          <w:ilvl w:val="1"/>
          <w:numId w:val="28"/>
        </w:numPr>
        <w:autoSpaceDE w:val="0"/>
        <w:autoSpaceDN w:val="0"/>
        <w:adjustRightInd w:val="0"/>
        <w:rPr>
          <w:rFonts w:cs="AGaramond-Regular"/>
          <w:szCs w:val="18"/>
        </w:rPr>
      </w:pPr>
      <w:r w:rsidRPr="002B3B8D">
        <w:rPr>
          <w:rFonts w:cs="AGaramond-Regular"/>
          <w:szCs w:val="18"/>
        </w:rPr>
        <w:t>Clinical response to TB treatment, documented exposure to a source case with TB disease or immunological evidence of TB infection</w:t>
      </w:r>
    </w:p>
    <w:p w14:paraId="6DB24DFF" w14:textId="1CD0AFC3" w:rsidR="005A5898" w:rsidRPr="00B32D4F" w:rsidRDefault="005A5898" w:rsidP="00B32D4F">
      <w:pPr>
        <w:pStyle w:val="ListParagraph"/>
        <w:numPr>
          <w:ilvl w:val="1"/>
          <w:numId w:val="28"/>
        </w:numPr>
        <w:autoSpaceDE w:val="0"/>
        <w:autoSpaceDN w:val="0"/>
        <w:adjustRightInd w:val="0"/>
        <w:rPr>
          <w:rFonts w:cs="AGaramond-Regular"/>
          <w:szCs w:val="18"/>
        </w:rPr>
      </w:pPr>
      <w:r w:rsidRPr="002B3B8D">
        <w:rPr>
          <w:rFonts w:cs="AGaramond-Regular"/>
          <w:szCs w:val="18"/>
        </w:rPr>
        <w:t xml:space="preserve">Chest X-ray consistent with </w:t>
      </w:r>
      <w:proofErr w:type="spellStart"/>
      <w:r w:rsidRPr="002B3B8D">
        <w:rPr>
          <w:rFonts w:cs="AGaramond-Regular"/>
          <w:szCs w:val="18"/>
        </w:rPr>
        <w:t>intrathoracic</w:t>
      </w:r>
      <w:proofErr w:type="spellEnd"/>
      <w:r w:rsidRPr="002B3B8D">
        <w:rPr>
          <w:rFonts w:cs="AGaramond-Regular"/>
          <w:szCs w:val="18"/>
        </w:rPr>
        <w:t xml:space="preserve"> TB disease.</w:t>
      </w:r>
    </w:p>
    <w:p w14:paraId="6C671550" w14:textId="77777777" w:rsidR="005A5898" w:rsidRDefault="005A5898" w:rsidP="005A5898">
      <w:pPr>
        <w:autoSpaceDE w:val="0"/>
        <w:autoSpaceDN w:val="0"/>
        <w:adjustRightInd w:val="0"/>
        <w:ind w:left="720"/>
        <w:rPr>
          <w:rFonts w:cs="AGaramond-Regular"/>
          <w:szCs w:val="18"/>
        </w:rPr>
      </w:pPr>
    </w:p>
    <w:p w14:paraId="49A98AA2" w14:textId="77777777" w:rsidR="005A5898" w:rsidRDefault="005A5898" w:rsidP="005A5898">
      <w:pPr>
        <w:autoSpaceDE w:val="0"/>
        <w:autoSpaceDN w:val="0"/>
        <w:adjustRightInd w:val="0"/>
        <w:rPr>
          <w:rFonts w:cs="AGaramond-Regular"/>
          <w:szCs w:val="18"/>
        </w:rPr>
      </w:pPr>
      <w:r>
        <w:rPr>
          <w:rFonts w:cs="AGaramond-Regular"/>
          <w:szCs w:val="18"/>
        </w:rPr>
        <w:t>Drug Resistance Categories (as per WHO guidelines)[</w:t>
      </w:r>
      <w:r w:rsidRPr="004421F1">
        <w:rPr>
          <w:rFonts w:cs="AGaramond-Regular"/>
          <w:szCs w:val="18"/>
        </w:rPr>
        <w:t>5</w:t>
      </w:r>
      <w:r>
        <w:rPr>
          <w:rFonts w:cs="AGaramond-Regular"/>
          <w:szCs w:val="18"/>
        </w:rPr>
        <w:t>]</w:t>
      </w:r>
    </w:p>
    <w:p w14:paraId="08384A56" w14:textId="77777777" w:rsidR="005A5898" w:rsidRDefault="005A5898" w:rsidP="005A5898">
      <w:pPr>
        <w:numPr>
          <w:ilvl w:val="0"/>
          <w:numId w:val="11"/>
        </w:numPr>
        <w:autoSpaceDE w:val="0"/>
        <w:autoSpaceDN w:val="0"/>
        <w:adjustRightInd w:val="0"/>
        <w:rPr>
          <w:rFonts w:cs="AGaramond-Regular"/>
          <w:szCs w:val="18"/>
        </w:rPr>
      </w:pPr>
      <w:proofErr w:type="spellStart"/>
      <w:r>
        <w:rPr>
          <w:rFonts w:cs="AGaramond-Regular"/>
          <w:szCs w:val="18"/>
        </w:rPr>
        <w:t>Monoresistance</w:t>
      </w:r>
      <w:proofErr w:type="spellEnd"/>
      <w:r>
        <w:rPr>
          <w:rFonts w:cs="AGaramond-Regular"/>
          <w:szCs w:val="18"/>
        </w:rPr>
        <w:t>: Resistance to one first-line anti-TB drug only</w:t>
      </w:r>
    </w:p>
    <w:p w14:paraId="728884C7" w14:textId="77777777" w:rsidR="005A5898" w:rsidRDefault="005A5898" w:rsidP="005A5898">
      <w:pPr>
        <w:numPr>
          <w:ilvl w:val="0"/>
          <w:numId w:val="11"/>
        </w:numPr>
        <w:autoSpaceDE w:val="0"/>
        <w:autoSpaceDN w:val="0"/>
        <w:adjustRightInd w:val="0"/>
        <w:rPr>
          <w:rFonts w:cs="AGaramond-Regular"/>
          <w:szCs w:val="18"/>
        </w:rPr>
      </w:pPr>
      <w:proofErr w:type="spellStart"/>
      <w:r>
        <w:rPr>
          <w:rFonts w:cs="AGaramond-Regular"/>
          <w:szCs w:val="18"/>
        </w:rPr>
        <w:t>Polydrug</w:t>
      </w:r>
      <w:proofErr w:type="spellEnd"/>
      <w:r>
        <w:rPr>
          <w:rFonts w:cs="AGaramond-Regular"/>
          <w:szCs w:val="18"/>
        </w:rPr>
        <w:t xml:space="preserve"> resistance: resistance to more than one first-line anti-TB drug (other than both rifampicin and isoniazid)</w:t>
      </w:r>
    </w:p>
    <w:p w14:paraId="7A5AC7B1" w14:textId="77777777" w:rsidR="005A5898" w:rsidRDefault="005A5898" w:rsidP="005A5898">
      <w:pPr>
        <w:numPr>
          <w:ilvl w:val="0"/>
          <w:numId w:val="11"/>
        </w:numPr>
        <w:autoSpaceDE w:val="0"/>
        <w:autoSpaceDN w:val="0"/>
        <w:adjustRightInd w:val="0"/>
        <w:rPr>
          <w:rFonts w:cs="AGaramond-Regular"/>
          <w:szCs w:val="18"/>
        </w:rPr>
      </w:pPr>
      <w:r>
        <w:rPr>
          <w:rFonts w:cs="AGaramond-Regular"/>
          <w:szCs w:val="18"/>
        </w:rPr>
        <w:t>Multidrug resistance: Resistance to at least both rifampicin and isoniazid</w:t>
      </w:r>
    </w:p>
    <w:p w14:paraId="07ABC5D1" w14:textId="77777777" w:rsidR="005A5898" w:rsidRDefault="005A5898" w:rsidP="005A5898">
      <w:pPr>
        <w:numPr>
          <w:ilvl w:val="0"/>
          <w:numId w:val="11"/>
        </w:numPr>
        <w:autoSpaceDE w:val="0"/>
        <w:autoSpaceDN w:val="0"/>
        <w:adjustRightInd w:val="0"/>
        <w:rPr>
          <w:rFonts w:cs="AGaramond-Regular"/>
          <w:szCs w:val="18"/>
        </w:rPr>
      </w:pPr>
      <w:r>
        <w:rPr>
          <w:rFonts w:cs="AGaramond-Regular"/>
          <w:szCs w:val="18"/>
        </w:rPr>
        <w:t>Extensive drug resistance: resistance to any fluoroquinolone and to at least one of the three second-line injectable drugs (</w:t>
      </w:r>
      <w:proofErr w:type="spellStart"/>
      <w:r>
        <w:rPr>
          <w:rFonts w:cs="AGaramond-Regular"/>
          <w:szCs w:val="18"/>
        </w:rPr>
        <w:t>capreomycin</w:t>
      </w:r>
      <w:proofErr w:type="spellEnd"/>
      <w:r>
        <w:rPr>
          <w:rFonts w:cs="AGaramond-Regular"/>
          <w:szCs w:val="18"/>
        </w:rPr>
        <w:t xml:space="preserve">, kanamycin and </w:t>
      </w:r>
      <w:proofErr w:type="spellStart"/>
      <w:r>
        <w:rPr>
          <w:rFonts w:cs="AGaramond-Regular"/>
          <w:szCs w:val="18"/>
        </w:rPr>
        <w:t>amikacin</w:t>
      </w:r>
      <w:proofErr w:type="spellEnd"/>
      <w:r>
        <w:rPr>
          <w:rFonts w:cs="AGaramond-Regular"/>
          <w:szCs w:val="18"/>
        </w:rPr>
        <w:t>), in addition to multidrug resistance.</w:t>
      </w:r>
    </w:p>
    <w:p w14:paraId="63D0A7C8" w14:textId="77777777" w:rsidR="005A5898" w:rsidRPr="00080B06" w:rsidRDefault="005A5898" w:rsidP="005A5898">
      <w:pPr>
        <w:numPr>
          <w:ilvl w:val="0"/>
          <w:numId w:val="11"/>
        </w:numPr>
        <w:autoSpaceDE w:val="0"/>
        <w:autoSpaceDN w:val="0"/>
        <w:adjustRightInd w:val="0"/>
        <w:rPr>
          <w:rFonts w:cs="AGaramond-Regular"/>
          <w:szCs w:val="18"/>
        </w:rPr>
      </w:pPr>
      <w:r>
        <w:rPr>
          <w:rFonts w:cs="AGaramond-Regular"/>
          <w:szCs w:val="18"/>
        </w:rPr>
        <w:t xml:space="preserve">Rifampicin resistance: resistance to rifampicin detected using phenotypic or genotypic methods, with or without resistance to other anti-TB drugs.  It includes any resistance to rifampicin, whether </w:t>
      </w:r>
      <w:proofErr w:type="spellStart"/>
      <w:r>
        <w:rPr>
          <w:rFonts w:cs="AGaramond-Regular"/>
          <w:szCs w:val="18"/>
        </w:rPr>
        <w:t>monoresistance</w:t>
      </w:r>
      <w:proofErr w:type="spellEnd"/>
      <w:r>
        <w:rPr>
          <w:rFonts w:cs="AGaramond-Regular"/>
          <w:szCs w:val="18"/>
        </w:rPr>
        <w:t xml:space="preserve">, multidrug resistance, </w:t>
      </w:r>
      <w:proofErr w:type="spellStart"/>
      <w:r>
        <w:rPr>
          <w:rFonts w:cs="AGaramond-Regular"/>
          <w:szCs w:val="18"/>
        </w:rPr>
        <w:t>polydrug</w:t>
      </w:r>
      <w:proofErr w:type="spellEnd"/>
      <w:r>
        <w:rPr>
          <w:rFonts w:cs="AGaramond-Regular"/>
          <w:szCs w:val="18"/>
        </w:rPr>
        <w:t xml:space="preserve"> resistance or extensive drug resistance</w:t>
      </w:r>
    </w:p>
    <w:p w14:paraId="56C1A116" w14:textId="77777777" w:rsidR="005A5898" w:rsidRPr="006D78E8" w:rsidRDefault="005A5898" w:rsidP="005A5898">
      <w:pPr>
        <w:autoSpaceDE w:val="0"/>
        <w:autoSpaceDN w:val="0"/>
        <w:adjustRightInd w:val="0"/>
        <w:rPr>
          <w:rFonts w:cs="AGaramond-Regular"/>
          <w:szCs w:val="18"/>
        </w:rPr>
      </w:pPr>
    </w:p>
    <w:p w14:paraId="5D4DA561" w14:textId="77777777" w:rsidR="005A5898" w:rsidRDefault="005A5898" w:rsidP="005A5898">
      <w:pPr>
        <w:autoSpaceDE w:val="0"/>
        <w:autoSpaceDN w:val="0"/>
        <w:adjustRightInd w:val="0"/>
        <w:rPr>
          <w:rFonts w:cs="AGaramond-Regular"/>
          <w:szCs w:val="18"/>
        </w:rPr>
      </w:pPr>
      <w:r>
        <w:rPr>
          <w:rFonts w:cs="AGaramond-Regular"/>
          <w:szCs w:val="18"/>
        </w:rPr>
        <w:t>Treatment Outcomes (As per WHO Guidelines) [</w:t>
      </w:r>
      <w:r w:rsidRPr="004421F1">
        <w:rPr>
          <w:rFonts w:cs="AGaramond-Regular"/>
          <w:szCs w:val="18"/>
        </w:rPr>
        <w:t>5</w:t>
      </w:r>
      <w:r>
        <w:rPr>
          <w:rFonts w:cs="AGaramond-Regular"/>
          <w:szCs w:val="18"/>
        </w:rPr>
        <w:t>]</w:t>
      </w:r>
    </w:p>
    <w:p w14:paraId="06CE52A8" w14:textId="77777777" w:rsidR="005A5898" w:rsidRDefault="005A5898" w:rsidP="005A5898">
      <w:pPr>
        <w:numPr>
          <w:ilvl w:val="0"/>
          <w:numId w:val="12"/>
        </w:numPr>
        <w:autoSpaceDE w:val="0"/>
        <w:autoSpaceDN w:val="0"/>
        <w:adjustRightInd w:val="0"/>
        <w:rPr>
          <w:rFonts w:cs="AGaramond-Regular"/>
          <w:szCs w:val="18"/>
        </w:rPr>
      </w:pPr>
      <w:r>
        <w:rPr>
          <w:rFonts w:cs="AGaramond-Regular"/>
          <w:szCs w:val="18"/>
        </w:rPr>
        <w:t xml:space="preserve">Cured: Treatment completed as recommended by the national policy without evidence of failure and three or more consecutive cultures taken at least 30 days apart (standard </w:t>
      </w:r>
      <w:proofErr w:type="spellStart"/>
      <w:r>
        <w:rPr>
          <w:rFonts w:cs="AGaramond-Regular"/>
          <w:szCs w:val="18"/>
        </w:rPr>
        <w:t>paediatric</w:t>
      </w:r>
      <w:proofErr w:type="spellEnd"/>
      <w:r>
        <w:rPr>
          <w:rFonts w:cs="AGaramond-Regular"/>
          <w:szCs w:val="18"/>
        </w:rPr>
        <w:t xml:space="preserve"> definitions; WHO adult recommendations are 5 or more consecutive cultures) are negative after the intensive phase</w:t>
      </w:r>
    </w:p>
    <w:p w14:paraId="3445B765" w14:textId="77777777" w:rsidR="005A5898" w:rsidRDefault="005A5898" w:rsidP="005A5898">
      <w:pPr>
        <w:numPr>
          <w:ilvl w:val="0"/>
          <w:numId w:val="12"/>
        </w:numPr>
        <w:autoSpaceDE w:val="0"/>
        <w:autoSpaceDN w:val="0"/>
        <w:adjustRightInd w:val="0"/>
        <w:rPr>
          <w:rFonts w:cs="AGaramond-Regular"/>
          <w:szCs w:val="18"/>
        </w:rPr>
      </w:pPr>
      <w:r>
        <w:rPr>
          <w:rFonts w:cs="AGaramond-Regular"/>
          <w:szCs w:val="18"/>
        </w:rPr>
        <w:lastRenderedPageBreak/>
        <w:t>Treatment completed: treatment completed as recommended by the national policy without evidence of failure but no record that three or more consecutive cultures taken at least 30 days apart are negative after the intensive phase</w:t>
      </w:r>
    </w:p>
    <w:p w14:paraId="719978A7" w14:textId="77777777" w:rsidR="005A5898" w:rsidRDefault="005A5898" w:rsidP="005A5898">
      <w:pPr>
        <w:numPr>
          <w:ilvl w:val="0"/>
          <w:numId w:val="12"/>
        </w:numPr>
        <w:autoSpaceDE w:val="0"/>
        <w:autoSpaceDN w:val="0"/>
        <w:adjustRightInd w:val="0"/>
        <w:rPr>
          <w:rFonts w:cs="AGaramond-Regular"/>
          <w:szCs w:val="18"/>
        </w:rPr>
      </w:pPr>
      <w:r>
        <w:rPr>
          <w:rFonts w:cs="AGaramond-Regular"/>
          <w:szCs w:val="18"/>
        </w:rPr>
        <w:t>Treatment failed: treatment terminated or need for permanent regimen change of at least two anti-TB drugs because of:</w:t>
      </w:r>
    </w:p>
    <w:p w14:paraId="27B68C24" w14:textId="77777777" w:rsidR="005A5898" w:rsidRDefault="005A5898" w:rsidP="005A5898">
      <w:pPr>
        <w:numPr>
          <w:ilvl w:val="1"/>
          <w:numId w:val="12"/>
        </w:numPr>
        <w:autoSpaceDE w:val="0"/>
        <w:autoSpaceDN w:val="0"/>
        <w:adjustRightInd w:val="0"/>
        <w:rPr>
          <w:rFonts w:cs="AGaramond-Regular"/>
          <w:szCs w:val="18"/>
        </w:rPr>
      </w:pPr>
      <w:r>
        <w:rPr>
          <w:rFonts w:cs="AGaramond-Regular"/>
          <w:szCs w:val="18"/>
        </w:rPr>
        <w:t xml:space="preserve">Lack of conversion by the end of the intensive phase </w:t>
      </w:r>
      <w:r w:rsidRPr="00E8701C">
        <w:rPr>
          <w:rFonts w:cs="AGaramond-Regular"/>
          <w:i/>
          <w:szCs w:val="18"/>
        </w:rPr>
        <w:t>or</w:t>
      </w:r>
    </w:p>
    <w:p w14:paraId="212B0318" w14:textId="77777777" w:rsidR="005A5898" w:rsidRDefault="005A5898" w:rsidP="005A5898">
      <w:pPr>
        <w:numPr>
          <w:ilvl w:val="1"/>
          <w:numId w:val="12"/>
        </w:numPr>
        <w:autoSpaceDE w:val="0"/>
        <w:autoSpaceDN w:val="0"/>
        <w:adjustRightInd w:val="0"/>
        <w:rPr>
          <w:rFonts w:cs="AGaramond-Regular"/>
          <w:szCs w:val="18"/>
        </w:rPr>
      </w:pPr>
      <w:r>
        <w:rPr>
          <w:rFonts w:cs="AGaramond-Regular"/>
          <w:szCs w:val="18"/>
        </w:rPr>
        <w:t xml:space="preserve">Bacteriological reversion in the continuation phase after conversion to negative </w:t>
      </w:r>
      <w:r w:rsidRPr="00E8701C">
        <w:rPr>
          <w:rFonts w:cs="AGaramond-Regular"/>
          <w:i/>
          <w:szCs w:val="18"/>
        </w:rPr>
        <w:t>or</w:t>
      </w:r>
    </w:p>
    <w:p w14:paraId="0A22642C" w14:textId="77777777" w:rsidR="005A5898" w:rsidRDefault="005A5898" w:rsidP="005A5898">
      <w:pPr>
        <w:numPr>
          <w:ilvl w:val="1"/>
          <w:numId w:val="12"/>
        </w:numPr>
        <w:autoSpaceDE w:val="0"/>
        <w:autoSpaceDN w:val="0"/>
        <w:adjustRightInd w:val="0"/>
        <w:rPr>
          <w:rFonts w:cs="AGaramond-Regular"/>
          <w:szCs w:val="18"/>
        </w:rPr>
      </w:pPr>
      <w:r>
        <w:rPr>
          <w:rFonts w:cs="AGaramond-Regular"/>
          <w:szCs w:val="18"/>
        </w:rPr>
        <w:t xml:space="preserve">Evidence of additional acquired resistance to fluoroquinolones or second-line injectable drugs </w:t>
      </w:r>
      <w:r w:rsidRPr="00E8701C">
        <w:rPr>
          <w:rFonts w:cs="AGaramond-Regular"/>
          <w:i/>
          <w:szCs w:val="18"/>
        </w:rPr>
        <w:t>or</w:t>
      </w:r>
    </w:p>
    <w:p w14:paraId="6469A527" w14:textId="77777777" w:rsidR="005A5898" w:rsidRDefault="005A5898" w:rsidP="005A5898">
      <w:pPr>
        <w:numPr>
          <w:ilvl w:val="1"/>
          <w:numId w:val="12"/>
        </w:numPr>
        <w:autoSpaceDE w:val="0"/>
        <w:autoSpaceDN w:val="0"/>
        <w:adjustRightInd w:val="0"/>
        <w:rPr>
          <w:rFonts w:cs="AGaramond-Regular"/>
          <w:szCs w:val="18"/>
        </w:rPr>
      </w:pPr>
      <w:r>
        <w:rPr>
          <w:rFonts w:cs="AGaramond-Regular"/>
          <w:szCs w:val="18"/>
        </w:rPr>
        <w:t xml:space="preserve">Adverse drug reactions resulting in discontinuation of at least 2 </w:t>
      </w:r>
      <w:proofErr w:type="spellStart"/>
      <w:r>
        <w:rPr>
          <w:rFonts w:cs="AGaramond-Regular"/>
          <w:szCs w:val="18"/>
        </w:rPr>
        <w:t>antituberculosis</w:t>
      </w:r>
      <w:proofErr w:type="spellEnd"/>
      <w:r>
        <w:rPr>
          <w:rFonts w:cs="AGaramond-Regular"/>
          <w:szCs w:val="18"/>
        </w:rPr>
        <w:t xml:space="preserve"> drugs.</w:t>
      </w:r>
    </w:p>
    <w:p w14:paraId="43F1B9B6" w14:textId="77777777" w:rsidR="005A5898" w:rsidRDefault="005A5898" w:rsidP="005A5898">
      <w:pPr>
        <w:numPr>
          <w:ilvl w:val="0"/>
          <w:numId w:val="12"/>
        </w:numPr>
        <w:autoSpaceDE w:val="0"/>
        <w:autoSpaceDN w:val="0"/>
        <w:adjustRightInd w:val="0"/>
        <w:rPr>
          <w:rFonts w:cs="AGaramond-Regular"/>
          <w:szCs w:val="18"/>
        </w:rPr>
      </w:pPr>
      <w:r>
        <w:rPr>
          <w:rFonts w:cs="AGaramond-Regular"/>
          <w:szCs w:val="18"/>
        </w:rPr>
        <w:t>Died: A patient who dies for any reason during the course of treatment</w:t>
      </w:r>
    </w:p>
    <w:p w14:paraId="2B6E4E37" w14:textId="77777777" w:rsidR="005A5898" w:rsidRDefault="005A5898" w:rsidP="005A5898">
      <w:pPr>
        <w:numPr>
          <w:ilvl w:val="0"/>
          <w:numId w:val="12"/>
        </w:numPr>
        <w:autoSpaceDE w:val="0"/>
        <w:autoSpaceDN w:val="0"/>
        <w:adjustRightInd w:val="0"/>
        <w:rPr>
          <w:rFonts w:cs="AGaramond-Regular"/>
          <w:szCs w:val="18"/>
        </w:rPr>
      </w:pPr>
      <w:r>
        <w:rPr>
          <w:rFonts w:cs="AGaramond-Regular"/>
          <w:szCs w:val="18"/>
        </w:rPr>
        <w:t>Lost to follow-up: a patient whose treatment was interrupted for 2 consecutive months or more</w:t>
      </w:r>
    </w:p>
    <w:p w14:paraId="41BB5851" w14:textId="77777777" w:rsidR="005A5898" w:rsidRDefault="005A5898" w:rsidP="005A5898">
      <w:pPr>
        <w:numPr>
          <w:ilvl w:val="0"/>
          <w:numId w:val="12"/>
        </w:numPr>
        <w:autoSpaceDE w:val="0"/>
        <w:autoSpaceDN w:val="0"/>
        <w:adjustRightInd w:val="0"/>
        <w:rPr>
          <w:rFonts w:cs="AGaramond-Regular"/>
          <w:szCs w:val="18"/>
        </w:rPr>
      </w:pPr>
      <w:r>
        <w:rPr>
          <w:rFonts w:cs="AGaramond-Regular"/>
          <w:szCs w:val="18"/>
        </w:rPr>
        <w:t>Not evaluated: A patient for whom no treatment outcome is assigned.  This includes cases “transferred out” to another treatment unit and whose treatment outcome is unknown</w:t>
      </w:r>
    </w:p>
    <w:p w14:paraId="4B37E814" w14:textId="77777777" w:rsidR="005A5898" w:rsidRDefault="005A5898" w:rsidP="005A5898">
      <w:pPr>
        <w:numPr>
          <w:ilvl w:val="0"/>
          <w:numId w:val="12"/>
        </w:numPr>
        <w:autoSpaceDE w:val="0"/>
        <w:autoSpaceDN w:val="0"/>
        <w:adjustRightInd w:val="0"/>
        <w:rPr>
          <w:rFonts w:cs="AGaramond-Regular"/>
          <w:szCs w:val="18"/>
        </w:rPr>
      </w:pPr>
      <w:r>
        <w:rPr>
          <w:rFonts w:cs="AGaramond-Regular"/>
          <w:szCs w:val="18"/>
        </w:rPr>
        <w:t xml:space="preserve">Treatment success: the sum of </w:t>
      </w:r>
      <w:r w:rsidRPr="00E8701C">
        <w:rPr>
          <w:rFonts w:cs="AGaramond-Regular"/>
          <w:i/>
          <w:szCs w:val="18"/>
        </w:rPr>
        <w:t>cured</w:t>
      </w:r>
      <w:r>
        <w:rPr>
          <w:rFonts w:cs="AGaramond-Regular"/>
          <w:szCs w:val="18"/>
        </w:rPr>
        <w:t xml:space="preserve"> and </w:t>
      </w:r>
      <w:r w:rsidRPr="00E8701C">
        <w:rPr>
          <w:rFonts w:cs="AGaramond-Regular"/>
          <w:i/>
          <w:szCs w:val="18"/>
        </w:rPr>
        <w:t>treatment completed</w:t>
      </w:r>
    </w:p>
    <w:p w14:paraId="3ACF1A23" w14:textId="77777777" w:rsidR="005A5898" w:rsidRDefault="005A5898" w:rsidP="005A5898">
      <w:pPr>
        <w:autoSpaceDE w:val="0"/>
        <w:autoSpaceDN w:val="0"/>
        <w:adjustRightInd w:val="0"/>
        <w:ind w:left="720"/>
        <w:rPr>
          <w:rFonts w:cs="AGaramond-Regular"/>
          <w:szCs w:val="18"/>
        </w:rPr>
      </w:pPr>
    </w:p>
    <w:p w14:paraId="362A8682" w14:textId="77777777" w:rsidR="005A5898" w:rsidRDefault="005A5898" w:rsidP="005A5898">
      <w:pPr>
        <w:autoSpaceDE w:val="0"/>
        <w:autoSpaceDN w:val="0"/>
        <w:adjustRightInd w:val="0"/>
        <w:rPr>
          <w:rFonts w:cs="AGaramond-Regular"/>
          <w:szCs w:val="18"/>
        </w:rPr>
      </w:pPr>
      <w:r>
        <w:rPr>
          <w:rFonts w:cs="AGaramond-Regular"/>
          <w:szCs w:val="18"/>
        </w:rPr>
        <w:t xml:space="preserve">In addition to standard WHO treatment outcomes, the following treatment outcomes as per International TB Consensus Statement definitions for </w:t>
      </w:r>
      <w:proofErr w:type="spellStart"/>
      <w:r>
        <w:rPr>
          <w:rFonts w:cs="AGaramond-Regular"/>
          <w:szCs w:val="18"/>
        </w:rPr>
        <w:t>Paediatric</w:t>
      </w:r>
      <w:proofErr w:type="spellEnd"/>
      <w:r>
        <w:rPr>
          <w:rFonts w:cs="AGaramond-Regular"/>
          <w:szCs w:val="18"/>
        </w:rPr>
        <w:t xml:space="preserve"> TB [3] may also be considered in analysis:</w:t>
      </w:r>
    </w:p>
    <w:p w14:paraId="1877023E" w14:textId="77777777" w:rsidR="005A5898" w:rsidRPr="00904CFA" w:rsidRDefault="005A5898" w:rsidP="005A5898">
      <w:pPr>
        <w:pStyle w:val="ListParagraph"/>
        <w:numPr>
          <w:ilvl w:val="0"/>
          <w:numId w:val="22"/>
        </w:numPr>
        <w:autoSpaceDE w:val="0"/>
        <w:autoSpaceDN w:val="0"/>
        <w:adjustRightInd w:val="0"/>
        <w:rPr>
          <w:rFonts w:cs="AGaramond-Regular"/>
          <w:szCs w:val="18"/>
        </w:rPr>
      </w:pPr>
      <w:r w:rsidRPr="00904CFA">
        <w:rPr>
          <w:rFonts w:cs="AGaramond-Regular"/>
          <w:szCs w:val="18"/>
        </w:rPr>
        <w:t>Probable cure</w:t>
      </w:r>
      <w:r>
        <w:rPr>
          <w:rFonts w:cs="AGaramond-Regular"/>
          <w:szCs w:val="18"/>
        </w:rPr>
        <w:t>: completion of prescribed treatment with attainment of clinical and radiological improvement</w:t>
      </w:r>
    </w:p>
    <w:p w14:paraId="289DD646" w14:textId="77777777" w:rsidR="005A5898" w:rsidRPr="00904CFA" w:rsidRDefault="005A5898" w:rsidP="005A5898">
      <w:pPr>
        <w:pStyle w:val="ListParagraph"/>
        <w:numPr>
          <w:ilvl w:val="0"/>
          <w:numId w:val="22"/>
        </w:numPr>
        <w:autoSpaceDE w:val="0"/>
        <w:autoSpaceDN w:val="0"/>
        <w:adjustRightInd w:val="0"/>
        <w:rPr>
          <w:rFonts w:cs="AGaramond-Regular"/>
          <w:szCs w:val="18"/>
        </w:rPr>
      </w:pPr>
      <w:r w:rsidRPr="00904CFA">
        <w:rPr>
          <w:rFonts w:cs="AGaramond-Regular"/>
          <w:szCs w:val="18"/>
        </w:rPr>
        <w:t>Default</w:t>
      </w:r>
      <w:r>
        <w:rPr>
          <w:rFonts w:cs="AGaramond-Regular"/>
          <w:szCs w:val="18"/>
        </w:rPr>
        <w:t>: treatment interruption for 2 months or more</w:t>
      </w:r>
    </w:p>
    <w:p w14:paraId="4A31F56D" w14:textId="77777777" w:rsidR="005A5898" w:rsidRPr="00904CFA" w:rsidRDefault="005A5898" w:rsidP="005A5898">
      <w:pPr>
        <w:pStyle w:val="ListParagraph"/>
        <w:numPr>
          <w:ilvl w:val="0"/>
          <w:numId w:val="22"/>
        </w:numPr>
        <w:autoSpaceDE w:val="0"/>
        <w:autoSpaceDN w:val="0"/>
        <w:adjustRightInd w:val="0"/>
        <w:rPr>
          <w:rFonts w:cs="AGaramond-Regular"/>
          <w:szCs w:val="18"/>
        </w:rPr>
      </w:pPr>
      <w:r w:rsidRPr="00904CFA">
        <w:rPr>
          <w:rFonts w:cs="AGaramond-Regular"/>
          <w:szCs w:val="18"/>
        </w:rPr>
        <w:t>Primary default</w:t>
      </w:r>
      <w:r>
        <w:rPr>
          <w:rFonts w:cs="AGaramond-Regular"/>
          <w:szCs w:val="18"/>
        </w:rPr>
        <w:t>: never started on DR-TB treatment</w:t>
      </w:r>
    </w:p>
    <w:p w14:paraId="79A120B3" w14:textId="77777777" w:rsidR="005A5898" w:rsidRPr="00904CFA" w:rsidRDefault="005A5898" w:rsidP="005A5898">
      <w:pPr>
        <w:pStyle w:val="ListParagraph"/>
        <w:numPr>
          <w:ilvl w:val="0"/>
          <w:numId w:val="22"/>
        </w:numPr>
        <w:autoSpaceDE w:val="0"/>
        <w:autoSpaceDN w:val="0"/>
        <w:adjustRightInd w:val="0"/>
        <w:rPr>
          <w:rFonts w:cs="AGaramond-Regular"/>
          <w:szCs w:val="18"/>
        </w:rPr>
      </w:pPr>
      <w:r w:rsidRPr="00904CFA">
        <w:rPr>
          <w:rFonts w:cs="AGaramond-Regular"/>
          <w:szCs w:val="18"/>
        </w:rPr>
        <w:t>Primary death</w:t>
      </w:r>
      <w:r>
        <w:rPr>
          <w:rFonts w:cs="AGaramond-Regular"/>
          <w:szCs w:val="18"/>
        </w:rPr>
        <w:t>: death before starting DR-TB treatment</w:t>
      </w:r>
    </w:p>
    <w:p w14:paraId="1276070E" w14:textId="43923467" w:rsidR="005473C9" w:rsidRDefault="005473C9">
      <w:r>
        <w:br w:type="page"/>
      </w:r>
    </w:p>
    <w:p w14:paraId="761C4257" w14:textId="6E00B2E1" w:rsidR="005473C9" w:rsidRPr="00226D29" w:rsidRDefault="005473C9" w:rsidP="00226D29">
      <w:pPr>
        <w:pStyle w:val="Heading1"/>
        <w:rPr>
          <w:rFonts w:asciiTheme="minorHAnsi" w:hAnsiTheme="minorHAnsi"/>
          <w:i/>
          <w:sz w:val="24"/>
          <w:szCs w:val="24"/>
        </w:rPr>
      </w:pPr>
      <w:bookmarkStart w:id="30" w:name="_Toc398595347"/>
      <w:r w:rsidRPr="004C44EE">
        <w:rPr>
          <w:rFonts w:asciiTheme="minorHAnsi" w:hAnsiTheme="minorHAnsi"/>
          <w:sz w:val="24"/>
          <w:szCs w:val="24"/>
        </w:rPr>
        <w:lastRenderedPageBreak/>
        <w:t xml:space="preserve">Appendix C: General </w:t>
      </w:r>
      <w:r w:rsidR="004C44EE" w:rsidRPr="004C44EE">
        <w:rPr>
          <w:rFonts w:asciiTheme="minorHAnsi" w:hAnsiTheme="minorHAnsi"/>
          <w:sz w:val="24"/>
          <w:szCs w:val="24"/>
        </w:rPr>
        <w:t>I</w:t>
      </w:r>
      <w:r w:rsidRPr="004C44EE">
        <w:rPr>
          <w:rFonts w:asciiTheme="minorHAnsi" w:hAnsiTheme="minorHAnsi"/>
          <w:sz w:val="24"/>
          <w:szCs w:val="24"/>
        </w:rPr>
        <w:t xml:space="preserve">nformation </w:t>
      </w:r>
      <w:r w:rsidR="004C44EE" w:rsidRPr="004C44EE">
        <w:rPr>
          <w:rFonts w:asciiTheme="minorHAnsi" w:hAnsiTheme="minorHAnsi"/>
          <w:sz w:val="24"/>
          <w:szCs w:val="24"/>
        </w:rPr>
        <w:t>from Each Reporting Site/Centre</w:t>
      </w:r>
      <w:bookmarkEnd w:id="30"/>
    </w:p>
    <w:p w14:paraId="3529FF77" w14:textId="77777777" w:rsidR="005473C9" w:rsidRPr="003E1BFD" w:rsidRDefault="005473C9" w:rsidP="005473C9">
      <w:r w:rsidRPr="003E1BFD">
        <w:t xml:space="preserve">Type of </w:t>
      </w:r>
      <w:proofErr w:type="spellStart"/>
      <w:r w:rsidRPr="003E1BFD">
        <w:t>centre</w:t>
      </w:r>
      <w:proofErr w:type="spellEnd"/>
      <w:r w:rsidRPr="003E1BFD">
        <w:t xml:space="preserve"> (specialized, tertiary care hospital seeing only referred patients, or </w:t>
      </w:r>
      <w:proofErr w:type="spellStart"/>
      <w:r w:rsidRPr="003E1BFD">
        <w:t>programme</w:t>
      </w:r>
      <w:proofErr w:type="spellEnd"/>
      <w:r w:rsidRPr="003E1BFD">
        <w:t xml:space="preserve"> wide and population based)</w:t>
      </w:r>
    </w:p>
    <w:p w14:paraId="273A3573" w14:textId="77777777" w:rsidR="005473C9" w:rsidRDefault="005473C9" w:rsidP="005473C9">
      <w:pPr>
        <w:pStyle w:val="ListParagraph"/>
      </w:pPr>
      <w:r w:rsidRPr="003E1BFD">
        <w:t xml:space="preserve">Patient selection </w:t>
      </w:r>
    </w:p>
    <w:p w14:paraId="7F213F9C" w14:textId="77777777" w:rsidR="005473C9" w:rsidRDefault="005473C9" w:rsidP="005473C9">
      <w:pPr>
        <w:pStyle w:val="ListParagraph"/>
        <w:numPr>
          <w:ilvl w:val="1"/>
          <w:numId w:val="24"/>
        </w:numPr>
      </w:pPr>
      <w:r w:rsidRPr="003E1BFD">
        <w:t>How are MDR patients identified (i</w:t>
      </w:r>
      <w:r>
        <w:t>.</w:t>
      </w:r>
      <w:r w:rsidRPr="003E1BFD">
        <w:t>e</w:t>
      </w:r>
      <w:r>
        <w:t>.</w:t>
      </w:r>
      <w:r w:rsidRPr="003E1BFD">
        <w:t xml:space="preserve"> all new cases get DST, or only failures, or failures of retreatment, </w:t>
      </w:r>
      <w:proofErr w:type="spellStart"/>
      <w:r w:rsidRPr="003E1BFD">
        <w:t>etc</w:t>
      </w:r>
      <w:proofErr w:type="spellEnd"/>
      <w:r w:rsidRPr="003E1BFD">
        <w:t>)</w:t>
      </w:r>
      <w:proofErr w:type="gramStart"/>
      <w:r w:rsidRPr="003E1BFD">
        <w:t>.</w:t>
      </w:r>
      <w:proofErr w:type="gramEnd"/>
      <w:r w:rsidRPr="003E1BFD">
        <w:t xml:space="preserve"> </w:t>
      </w:r>
    </w:p>
    <w:p w14:paraId="399244C6" w14:textId="77777777" w:rsidR="005473C9" w:rsidRDefault="005473C9" w:rsidP="005473C9">
      <w:pPr>
        <w:pStyle w:val="ListParagraph"/>
        <w:numPr>
          <w:ilvl w:val="1"/>
          <w:numId w:val="24"/>
        </w:numPr>
      </w:pPr>
      <w:r w:rsidRPr="003E1BFD">
        <w:t xml:space="preserve">Were all MDR patients </w:t>
      </w:r>
      <w:r>
        <w:t xml:space="preserve">identified or treated </w:t>
      </w:r>
      <w:r w:rsidRPr="003E1BFD">
        <w:t>included in the series</w:t>
      </w:r>
      <w:r>
        <w:t>/report</w:t>
      </w:r>
      <w:r w:rsidRPr="003E1BFD">
        <w:t>?</w:t>
      </w:r>
    </w:p>
    <w:p w14:paraId="3B653892" w14:textId="77777777" w:rsidR="005473C9" w:rsidRPr="003E1BFD" w:rsidRDefault="005473C9" w:rsidP="005473C9"/>
    <w:p w14:paraId="35380E4F" w14:textId="77777777" w:rsidR="005473C9" w:rsidRDefault="005473C9" w:rsidP="005473C9">
      <w:pPr>
        <w:pStyle w:val="ListParagraph"/>
      </w:pPr>
      <w:r w:rsidRPr="003E1BFD">
        <w:t>Lab methods</w:t>
      </w:r>
    </w:p>
    <w:p w14:paraId="4289BB4D" w14:textId="77777777" w:rsidR="005473C9" w:rsidRPr="003E1BFD" w:rsidRDefault="005473C9" w:rsidP="005473C9">
      <w:pPr>
        <w:pStyle w:val="ListParagraph"/>
        <w:numPr>
          <w:ilvl w:val="1"/>
          <w:numId w:val="25"/>
        </w:numPr>
      </w:pPr>
      <w:r w:rsidRPr="003E1BFD">
        <w:t>What is the method of TB culture and DST? The latter includes critical concentrations if phenotypic testing.</w:t>
      </w:r>
      <w:r>
        <w:t xml:space="preserve"> Were molecular methods used for TB diagnosis and DST? If so, specific which (e.g. </w:t>
      </w:r>
      <w:proofErr w:type="spellStart"/>
      <w:r>
        <w:t>Xpert</w:t>
      </w:r>
      <w:proofErr w:type="spellEnd"/>
      <w:r>
        <w:t xml:space="preserve"> MTB/RIF, line probe assay </w:t>
      </w:r>
      <w:proofErr w:type="spellStart"/>
      <w:r>
        <w:t>etc</w:t>
      </w:r>
      <w:proofErr w:type="spellEnd"/>
      <w:r>
        <w:t>)</w:t>
      </w:r>
    </w:p>
    <w:p w14:paraId="38E34134" w14:textId="77777777" w:rsidR="005473C9" w:rsidRDefault="005473C9" w:rsidP="005473C9">
      <w:pPr>
        <w:pStyle w:val="ListParagraph"/>
      </w:pPr>
      <w:r w:rsidRPr="003E1BFD">
        <w:t xml:space="preserve">Treatment </w:t>
      </w:r>
    </w:p>
    <w:p w14:paraId="014945A1" w14:textId="77777777" w:rsidR="005473C9" w:rsidRPr="003E1BFD" w:rsidRDefault="005473C9" w:rsidP="005473C9">
      <w:pPr>
        <w:pStyle w:val="ListParagraph"/>
        <w:numPr>
          <w:ilvl w:val="1"/>
          <w:numId w:val="26"/>
        </w:numPr>
      </w:pPr>
      <w:r w:rsidRPr="003E1BFD">
        <w:t xml:space="preserve">A detailed and complete definition of treatment outcomes used in the study, at each </w:t>
      </w:r>
      <w:proofErr w:type="spellStart"/>
      <w:r w:rsidRPr="003E1BFD">
        <w:t>centre</w:t>
      </w:r>
      <w:proofErr w:type="spellEnd"/>
      <w:r w:rsidRPr="003E1BFD">
        <w:t>.</w:t>
      </w:r>
    </w:p>
    <w:p w14:paraId="7300EDE1" w14:textId="77777777" w:rsidR="005473C9" w:rsidRDefault="005473C9" w:rsidP="005473C9">
      <w:pPr>
        <w:pStyle w:val="ListParagraph"/>
        <w:numPr>
          <w:ilvl w:val="1"/>
          <w:numId w:val="26"/>
        </w:numPr>
      </w:pPr>
      <w:r w:rsidRPr="003E1BFD">
        <w:t xml:space="preserve">Is </w:t>
      </w:r>
      <w:r>
        <w:t xml:space="preserve">the </w:t>
      </w:r>
      <w:r w:rsidRPr="003E1BFD">
        <w:t xml:space="preserve">treatment regimen individualized on </w:t>
      </w:r>
      <w:r>
        <w:t xml:space="preserve">the </w:t>
      </w:r>
      <w:r w:rsidRPr="003E1BFD">
        <w:t>basis of DST</w:t>
      </w:r>
      <w:r>
        <w:t>,</w:t>
      </w:r>
      <w:r w:rsidRPr="003E1BFD">
        <w:t xml:space="preserve"> or standardized.</w:t>
      </w:r>
    </w:p>
    <w:p w14:paraId="05B2BA05" w14:textId="77777777" w:rsidR="005473C9" w:rsidRPr="003E1BFD" w:rsidRDefault="005473C9" w:rsidP="005473C9">
      <w:pPr>
        <w:pStyle w:val="ListParagraph"/>
        <w:numPr>
          <w:ilvl w:val="1"/>
          <w:numId w:val="26"/>
        </w:numPr>
      </w:pPr>
      <w:r>
        <w:t>How long are children with MDR-TB typically followed? (</w:t>
      </w:r>
      <w:proofErr w:type="gramStart"/>
      <w:r>
        <w:t>for</w:t>
      </w:r>
      <w:proofErr w:type="gramEnd"/>
      <w:r>
        <w:t xml:space="preserve"> IPD, the last date seen or number of months after treatment completion will be recorded)</w:t>
      </w:r>
    </w:p>
    <w:p w14:paraId="3496F243" w14:textId="77777777" w:rsidR="005473C9" w:rsidRDefault="005473C9" w:rsidP="005473C9">
      <w:pPr>
        <w:pStyle w:val="ListParagraph"/>
      </w:pPr>
    </w:p>
    <w:p w14:paraId="1DD8C0C5" w14:textId="77777777" w:rsidR="005473C9" w:rsidRDefault="005473C9" w:rsidP="005473C9">
      <w:pPr>
        <w:pStyle w:val="ListParagraph"/>
      </w:pPr>
      <w:r w:rsidRPr="003E1BFD">
        <w:t>Assessment of adverse events</w:t>
      </w:r>
    </w:p>
    <w:p w14:paraId="1F680389" w14:textId="77777777" w:rsidR="005473C9" w:rsidRDefault="005473C9" w:rsidP="005473C9">
      <w:pPr>
        <w:pStyle w:val="ListParagraph"/>
        <w:numPr>
          <w:ilvl w:val="1"/>
          <w:numId w:val="27"/>
        </w:numPr>
      </w:pPr>
      <w:r w:rsidRPr="003E1BFD">
        <w:t xml:space="preserve"> Which safety monitoring tests were done as a routine (without obvious clinical symptoms)</w:t>
      </w:r>
    </w:p>
    <w:p w14:paraId="745C5A8F" w14:textId="77777777" w:rsidR="005473C9" w:rsidRDefault="005473C9" w:rsidP="005473C9">
      <w:pPr>
        <w:pStyle w:val="ListParagraph"/>
        <w:numPr>
          <w:ilvl w:val="1"/>
          <w:numId w:val="27"/>
        </w:numPr>
      </w:pPr>
      <w:r>
        <w:t>W</w:t>
      </w:r>
      <w:r w:rsidRPr="003E1BFD">
        <w:t xml:space="preserve">hich </w:t>
      </w:r>
      <w:r>
        <w:t xml:space="preserve">tests </w:t>
      </w:r>
      <w:r w:rsidRPr="003E1BFD">
        <w:t>were done only when there was clinical indication of a toxicity</w:t>
      </w:r>
    </w:p>
    <w:p w14:paraId="160B1E35" w14:textId="77777777" w:rsidR="005473C9" w:rsidRPr="003E1BFD" w:rsidRDefault="005473C9" w:rsidP="005473C9">
      <w:pPr>
        <w:pStyle w:val="ListParagraph"/>
        <w:numPr>
          <w:ilvl w:val="1"/>
          <w:numId w:val="27"/>
        </w:numPr>
      </w:pPr>
      <w:r>
        <w:t xml:space="preserve">What would criteria for discontinuation of TB treatment typically be in relation to adverse events? </w:t>
      </w:r>
    </w:p>
    <w:p w14:paraId="5AF13A98" w14:textId="5F0568E9" w:rsidR="005473C9" w:rsidRDefault="005473C9">
      <w:r>
        <w:br w:type="page"/>
      </w:r>
    </w:p>
    <w:p w14:paraId="517DAD10" w14:textId="1A7DFA86" w:rsidR="005473C9" w:rsidRPr="00226D29" w:rsidRDefault="005473C9" w:rsidP="00226D29">
      <w:pPr>
        <w:pStyle w:val="Heading1"/>
        <w:rPr>
          <w:rFonts w:asciiTheme="minorHAnsi" w:hAnsiTheme="minorHAnsi"/>
          <w:i/>
          <w:sz w:val="24"/>
          <w:szCs w:val="24"/>
          <w:u w:val="single"/>
        </w:rPr>
      </w:pPr>
      <w:bookmarkStart w:id="31" w:name="_Toc398595348"/>
      <w:r w:rsidRPr="004C44EE">
        <w:rPr>
          <w:rFonts w:asciiTheme="minorHAnsi" w:hAnsiTheme="minorHAnsi"/>
          <w:sz w:val="24"/>
          <w:szCs w:val="24"/>
        </w:rPr>
        <w:lastRenderedPageBreak/>
        <w:t>Appendix D: Information for Each Patient</w:t>
      </w:r>
      <w:bookmarkEnd w:id="31"/>
    </w:p>
    <w:p w14:paraId="5D652769" w14:textId="77777777" w:rsidR="005473C9" w:rsidRPr="00A547C1" w:rsidRDefault="005473C9" w:rsidP="005473C9">
      <w:pPr>
        <w:autoSpaceDE w:val="0"/>
        <w:autoSpaceDN w:val="0"/>
        <w:adjustRightInd w:val="0"/>
        <w:rPr>
          <w:rFonts w:cs="AGaramond-Regular"/>
          <w:i/>
          <w:szCs w:val="18"/>
        </w:rPr>
      </w:pPr>
      <w:r>
        <w:rPr>
          <w:rFonts w:cs="AGaramond-Regular"/>
          <w:i/>
          <w:szCs w:val="18"/>
        </w:rPr>
        <w:t>Baseline patient characteristics</w:t>
      </w:r>
    </w:p>
    <w:p w14:paraId="0CA5D6DE" w14:textId="77777777" w:rsidR="005473C9" w:rsidRDefault="005473C9" w:rsidP="005473C9">
      <w:pPr>
        <w:autoSpaceDE w:val="0"/>
        <w:autoSpaceDN w:val="0"/>
        <w:adjustRightInd w:val="0"/>
        <w:rPr>
          <w:rFonts w:cs="AGaramond-Regular"/>
          <w:szCs w:val="18"/>
        </w:rPr>
      </w:pPr>
      <w:r w:rsidRPr="00D725B2">
        <w:rPr>
          <w:rFonts w:cs="AGaramond-Regular"/>
          <w:szCs w:val="18"/>
          <w:u w:val="single"/>
        </w:rPr>
        <w:t>Essential</w:t>
      </w:r>
      <w:r>
        <w:rPr>
          <w:rFonts w:cs="AGaramond-Regular"/>
          <w:szCs w:val="18"/>
          <w:u w:val="single"/>
        </w:rPr>
        <w:t xml:space="preserve"> data </w:t>
      </w:r>
      <w:r>
        <w:rPr>
          <w:rFonts w:cs="AGaramond-Regular"/>
          <w:szCs w:val="18"/>
        </w:rPr>
        <w:t>include all of the following:</w:t>
      </w:r>
    </w:p>
    <w:p w14:paraId="5130AF74" w14:textId="77777777" w:rsidR="005473C9" w:rsidRPr="00B0118C" w:rsidRDefault="005473C9" w:rsidP="005473C9">
      <w:pPr>
        <w:pStyle w:val="ListParagraph"/>
        <w:numPr>
          <w:ilvl w:val="0"/>
          <w:numId w:val="21"/>
        </w:numPr>
        <w:autoSpaceDE w:val="0"/>
        <w:autoSpaceDN w:val="0"/>
        <w:adjustRightInd w:val="0"/>
        <w:rPr>
          <w:rFonts w:cs="AGaramond-Regular"/>
          <w:szCs w:val="18"/>
        </w:rPr>
      </w:pPr>
      <w:r w:rsidRPr="00B0118C">
        <w:rPr>
          <w:rFonts w:cs="AGaramond-Regular"/>
          <w:szCs w:val="18"/>
        </w:rPr>
        <w:t xml:space="preserve">Age at </w:t>
      </w:r>
      <w:r>
        <w:rPr>
          <w:rFonts w:cs="AGaramond-Regular"/>
          <w:szCs w:val="18"/>
        </w:rPr>
        <w:t xml:space="preserve">TB </w:t>
      </w:r>
      <w:r w:rsidRPr="00B0118C">
        <w:rPr>
          <w:rFonts w:cs="AGaramond-Regular"/>
          <w:szCs w:val="18"/>
        </w:rPr>
        <w:t>diagnosis</w:t>
      </w:r>
    </w:p>
    <w:p w14:paraId="53C7E6CE" w14:textId="77777777" w:rsidR="005473C9" w:rsidRPr="00B0118C" w:rsidRDefault="005473C9" w:rsidP="005473C9">
      <w:pPr>
        <w:pStyle w:val="ListParagraph"/>
        <w:numPr>
          <w:ilvl w:val="0"/>
          <w:numId w:val="15"/>
        </w:numPr>
        <w:autoSpaceDE w:val="0"/>
        <w:autoSpaceDN w:val="0"/>
        <w:adjustRightInd w:val="0"/>
        <w:rPr>
          <w:rFonts w:cs="AGaramond-Regular"/>
          <w:szCs w:val="18"/>
        </w:rPr>
      </w:pPr>
      <w:r w:rsidRPr="00B0118C">
        <w:rPr>
          <w:rFonts w:cs="AGaramond-Regular"/>
          <w:szCs w:val="18"/>
        </w:rPr>
        <w:t>Gender</w:t>
      </w:r>
    </w:p>
    <w:p w14:paraId="36EE5BBB" w14:textId="77777777" w:rsidR="005473C9" w:rsidRDefault="005473C9" w:rsidP="005473C9">
      <w:pPr>
        <w:pStyle w:val="ListParagraph"/>
        <w:numPr>
          <w:ilvl w:val="0"/>
          <w:numId w:val="15"/>
        </w:numPr>
        <w:autoSpaceDE w:val="0"/>
        <w:autoSpaceDN w:val="0"/>
        <w:adjustRightInd w:val="0"/>
        <w:rPr>
          <w:rFonts w:cs="AGaramond-Regular"/>
          <w:i/>
          <w:szCs w:val="18"/>
        </w:rPr>
      </w:pPr>
      <w:r w:rsidRPr="00B0118C">
        <w:rPr>
          <w:rFonts w:cs="AGaramond-Regular"/>
          <w:szCs w:val="18"/>
        </w:rPr>
        <w:t xml:space="preserve">HIV </w:t>
      </w:r>
      <w:proofErr w:type="spellStart"/>
      <w:r w:rsidRPr="00B0118C">
        <w:rPr>
          <w:rFonts w:cs="AGaramond-Regular"/>
          <w:szCs w:val="18"/>
        </w:rPr>
        <w:t>sero</w:t>
      </w:r>
      <w:proofErr w:type="spellEnd"/>
      <w:r>
        <w:rPr>
          <w:rFonts w:cs="AGaramond-Regular"/>
          <w:szCs w:val="18"/>
        </w:rPr>
        <w:t>-</w:t>
      </w:r>
      <w:r w:rsidRPr="00B0118C">
        <w:rPr>
          <w:rFonts w:cs="AGaramond-Regular"/>
          <w:szCs w:val="18"/>
        </w:rPr>
        <w:t>status (</w:t>
      </w:r>
      <w:r>
        <w:rPr>
          <w:rFonts w:cs="AGaramond-Regular"/>
          <w:i/>
          <w:szCs w:val="18"/>
        </w:rPr>
        <w:t xml:space="preserve">missing data </w:t>
      </w:r>
      <w:r w:rsidRPr="00B0118C">
        <w:rPr>
          <w:rFonts w:cs="AGaramond-Regular"/>
          <w:i/>
          <w:szCs w:val="18"/>
        </w:rPr>
        <w:t xml:space="preserve">may be acceptable if the </w:t>
      </w:r>
      <w:proofErr w:type="spellStart"/>
      <w:r w:rsidRPr="00B0118C">
        <w:rPr>
          <w:rFonts w:cs="AGaramond-Regular"/>
          <w:i/>
          <w:szCs w:val="18"/>
        </w:rPr>
        <w:t>sero</w:t>
      </w:r>
      <w:proofErr w:type="spellEnd"/>
      <w:r w:rsidRPr="00B0118C">
        <w:rPr>
          <w:rFonts w:cs="AGaramond-Regular"/>
          <w:i/>
          <w:szCs w:val="18"/>
        </w:rPr>
        <w:t xml:space="preserve">-prevalence of HIV was known to be very low in the population of TB patients treated at the same time in the same </w:t>
      </w:r>
      <w:proofErr w:type="spellStart"/>
      <w:r w:rsidRPr="00B0118C">
        <w:rPr>
          <w:rFonts w:cs="AGaramond-Regular"/>
          <w:i/>
          <w:szCs w:val="18"/>
        </w:rPr>
        <w:t>centre</w:t>
      </w:r>
      <w:proofErr w:type="spellEnd"/>
      <w:r w:rsidRPr="00B0118C">
        <w:rPr>
          <w:rFonts w:cs="AGaramond-Regular"/>
          <w:i/>
          <w:szCs w:val="18"/>
        </w:rPr>
        <w:t xml:space="preserve">), </w:t>
      </w:r>
    </w:p>
    <w:p w14:paraId="7141E82D" w14:textId="77777777" w:rsidR="005473C9" w:rsidRPr="00B0118C" w:rsidRDefault="005473C9" w:rsidP="005473C9">
      <w:pPr>
        <w:pStyle w:val="ListParagraph"/>
        <w:numPr>
          <w:ilvl w:val="0"/>
          <w:numId w:val="15"/>
        </w:numPr>
        <w:autoSpaceDE w:val="0"/>
        <w:autoSpaceDN w:val="0"/>
        <w:adjustRightInd w:val="0"/>
        <w:rPr>
          <w:rFonts w:cs="AGaramond-Regular"/>
          <w:szCs w:val="18"/>
        </w:rPr>
      </w:pPr>
      <w:r>
        <w:rPr>
          <w:rFonts w:cs="AGaramond-Regular"/>
          <w:szCs w:val="18"/>
        </w:rPr>
        <w:t>W</w:t>
      </w:r>
      <w:r w:rsidRPr="00B0118C">
        <w:rPr>
          <w:rFonts w:cs="AGaramond-Regular"/>
          <w:szCs w:val="18"/>
        </w:rPr>
        <w:t xml:space="preserve">eight at </w:t>
      </w:r>
      <w:r>
        <w:rPr>
          <w:rFonts w:cs="AGaramond-Regular"/>
          <w:szCs w:val="18"/>
        </w:rPr>
        <w:t xml:space="preserve">time of </w:t>
      </w:r>
      <w:r w:rsidRPr="00B0118C">
        <w:rPr>
          <w:rFonts w:cs="AGaramond-Regular"/>
          <w:szCs w:val="18"/>
        </w:rPr>
        <w:t>start of treatment</w:t>
      </w:r>
    </w:p>
    <w:p w14:paraId="0874FEFC" w14:textId="77777777" w:rsidR="005473C9" w:rsidRDefault="005473C9" w:rsidP="005473C9">
      <w:pPr>
        <w:autoSpaceDE w:val="0"/>
        <w:autoSpaceDN w:val="0"/>
        <w:adjustRightInd w:val="0"/>
        <w:rPr>
          <w:rFonts w:cs="AGaramond-Regular"/>
          <w:szCs w:val="18"/>
        </w:rPr>
      </w:pPr>
    </w:p>
    <w:p w14:paraId="0B66CDF6" w14:textId="77777777" w:rsidR="005473C9" w:rsidRDefault="005473C9" w:rsidP="005473C9">
      <w:pPr>
        <w:autoSpaceDE w:val="0"/>
        <w:autoSpaceDN w:val="0"/>
        <w:adjustRightInd w:val="0"/>
        <w:rPr>
          <w:rFonts w:cs="AGaramond-Regular"/>
          <w:szCs w:val="18"/>
        </w:rPr>
      </w:pPr>
      <w:r w:rsidRPr="00D725B2">
        <w:rPr>
          <w:rFonts w:cs="AGaramond-Regular"/>
          <w:szCs w:val="18"/>
          <w:u w:val="single"/>
        </w:rPr>
        <w:t>Desirable</w:t>
      </w:r>
      <w:r>
        <w:rPr>
          <w:rFonts w:cs="AGaramond-Regular"/>
          <w:szCs w:val="18"/>
        </w:rPr>
        <w:t xml:space="preserve"> </w:t>
      </w:r>
    </w:p>
    <w:p w14:paraId="01F803A1" w14:textId="77777777" w:rsidR="005473C9" w:rsidRPr="006D42F7" w:rsidRDefault="005473C9" w:rsidP="005473C9">
      <w:pPr>
        <w:pStyle w:val="ListParagraph"/>
        <w:numPr>
          <w:ilvl w:val="0"/>
          <w:numId w:val="21"/>
        </w:numPr>
        <w:autoSpaceDE w:val="0"/>
        <w:autoSpaceDN w:val="0"/>
        <w:adjustRightInd w:val="0"/>
        <w:rPr>
          <w:rFonts w:cs="AGaramond-Regular"/>
          <w:szCs w:val="18"/>
        </w:rPr>
      </w:pPr>
      <w:r>
        <w:rPr>
          <w:rFonts w:cs="AGaramond-Regular"/>
          <w:szCs w:val="18"/>
        </w:rPr>
        <w:t xml:space="preserve">Certainty of diagnosis of TB disease per Consensus Statement: confirmed TB disease, probable TB disease, possible TB disease (see </w:t>
      </w:r>
      <w:r w:rsidRPr="007638DB">
        <w:rPr>
          <w:rFonts w:cs="AGaramond-Regular"/>
          <w:i/>
          <w:szCs w:val="18"/>
        </w:rPr>
        <w:t>Definitions for Study Classification</w:t>
      </w:r>
      <w:r>
        <w:rPr>
          <w:rFonts w:cs="AGaramond-Regular"/>
          <w:szCs w:val="18"/>
        </w:rPr>
        <w:t>)</w:t>
      </w:r>
    </w:p>
    <w:p w14:paraId="22AFDFE0" w14:textId="77777777" w:rsidR="005473C9" w:rsidRPr="00B0118C" w:rsidRDefault="005473C9" w:rsidP="005473C9">
      <w:pPr>
        <w:pStyle w:val="ListParagraph"/>
        <w:numPr>
          <w:ilvl w:val="0"/>
          <w:numId w:val="16"/>
        </w:numPr>
        <w:autoSpaceDE w:val="0"/>
        <w:autoSpaceDN w:val="0"/>
        <w:adjustRightInd w:val="0"/>
        <w:rPr>
          <w:rFonts w:cs="AGaramond-Regular"/>
          <w:szCs w:val="18"/>
        </w:rPr>
      </w:pPr>
      <w:r w:rsidRPr="00B0118C">
        <w:rPr>
          <w:rFonts w:cs="AGaramond-Regular"/>
          <w:szCs w:val="18"/>
        </w:rPr>
        <w:t>Previous TB treatment: drugs used, date(s) outcomes</w:t>
      </w:r>
    </w:p>
    <w:p w14:paraId="502C6A8B" w14:textId="77777777" w:rsidR="005473C9" w:rsidRPr="00B0118C" w:rsidRDefault="005473C9" w:rsidP="005473C9">
      <w:pPr>
        <w:pStyle w:val="ListParagraph"/>
        <w:numPr>
          <w:ilvl w:val="0"/>
          <w:numId w:val="16"/>
        </w:numPr>
        <w:autoSpaceDE w:val="0"/>
        <w:autoSpaceDN w:val="0"/>
        <w:adjustRightInd w:val="0"/>
        <w:rPr>
          <w:rFonts w:cs="AGaramond-Regular"/>
          <w:szCs w:val="18"/>
        </w:rPr>
      </w:pPr>
      <w:r>
        <w:rPr>
          <w:rFonts w:cs="AGaramond-Regular"/>
          <w:szCs w:val="18"/>
        </w:rPr>
        <w:t>C</w:t>
      </w:r>
      <w:r w:rsidRPr="00B0118C">
        <w:rPr>
          <w:rFonts w:cs="AGaramond-Regular"/>
          <w:szCs w:val="18"/>
        </w:rPr>
        <w:t>omorbidities</w:t>
      </w:r>
    </w:p>
    <w:p w14:paraId="530042FE" w14:textId="77777777" w:rsidR="005473C9" w:rsidRPr="00B0118C" w:rsidRDefault="005473C9" w:rsidP="005473C9">
      <w:pPr>
        <w:pStyle w:val="ListParagraph"/>
        <w:numPr>
          <w:ilvl w:val="0"/>
          <w:numId w:val="16"/>
        </w:numPr>
        <w:autoSpaceDE w:val="0"/>
        <w:autoSpaceDN w:val="0"/>
        <w:adjustRightInd w:val="0"/>
        <w:rPr>
          <w:rFonts w:cs="AGaramond-Regular"/>
          <w:szCs w:val="18"/>
        </w:rPr>
      </w:pPr>
      <w:r>
        <w:rPr>
          <w:rFonts w:cs="AGaramond-Regular"/>
          <w:szCs w:val="18"/>
        </w:rPr>
        <w:t>U</w:t>
      </w:r>
      <w:r w:rsidRPr="00B0118C">
        <w:rPr>
          <w:rFonts w:cs="AGaramond-Regular"/>
          <w:szCs w:val="18"/>
        </w:rPr>
        <w:t>se of ART, and if so, what ART regimen (and timing of initiation)</w:t>
      </w:r>
    </w:p>
    <w:p w14:paraId="4C16E4B6" w14:textId="77777777" w:rsidR="005473C9" w:rsidRPr="00B0118C" w:rsidRDefault="005473C9" w:rsidP="005473C9">
      <w:pPr>
        <w:pStyle w:val="ListParagraph"/>
        <w:numPr>
          <w:ilvl w:val="0"/>
          <w:numId w:val="16"/>
        </w:numPr>
        <w:autoSpaceDE w:val="0"/>
        <w:autoSpaceDN w:val="0"/>
        <w:adjustRightInd w:val="0"/>
        <w:rPr>
          <w:rFonts w:cs="AGaramond-Regular"/>
          <w:szCs w:val="18"/>
        </w:rPr>
      </w:pPr>
      <w:r w:rsidRPr="00B0118C">
        <w:rPr>
          <w:rFonts w:cs="AGaramond-Regular"/>
          <w:szCs w:val="18"/>
        </w:rPr>
        <w:t>Nutritional status</w:t>
      </w:r>
      <w:r>
        <w:rPr>
          <w:rFonts w:cs="AGaramond-Regular"/>
          <w:szCs w:val="18"/>
        </w:rPr>
        <w:t>:</w:t>
      </w:r>
      <w:r w:rsidRPr="00B0118C">
        <w:rPr>
          <w:rFonts w:cs="AGaramond-Regular"/>
          <w:szCs w:val="18"/>
        </w:rPr>
        <w:t xml:space="preserve"> </w:t>
      </w:r>
      <w:r w:rsidRPr="00C12818">
        <w:rPr>
          <w:rFonts w:cs="AGaramond-Regular"/>
          <w:szCs w:val="18"/>
        </w:rPr>
        <w:t>height,</w:t>
      </w:r>
      <w:r>
        <w:rPr>
          <w:rFonts w:cs="AGaramond-Regular"/>
          <w:szCs w:val="18"/>
        </w:rPr>
        <w:t xml:space="preserve"> weight, clinically diagnosed with malnutrition,</w:t>
      </w:r>
      <w:r w:rsidRPr="00B0118C">
        <w:rPr>
          <w:rFonts w:cs="AGaramond-Regular"/>
          <w:szCs w:val="18"/>
        </w:rPr>
        <w:t xml:space="preserve"> </w:t>
      </w:r>
      <w:r w:rsidRPr="00C12818">
        <w:rPr>
          <w:rFonts w:cs="AGaramond-Regular"/>
          <w:szCs w:val="18"/>
        </w:rPr>
        <w:t>mid-upper arm circumference (MUAC),</w:t>
      </w:r>
      <w:r w:rsidRPr="00B0118C">
        <w:rPr>
          <w:rFonts w:cs="AGaramond-Regular"/>
          <w:szCs w:val="18"/>
        </w:rPr>
        <w:t xml:space="preserve"> presence of nutritional </w:t>
      </w:r>
      <w:proofErr w:type="spellStart"/>
      <w:r w:rsidRPr="00B0118C">
        <w:rPr>
          <w:rFonts w:cs="AGaramond-Regular"/>
          <w:szCs w:val="18"/>
        </w:rPr>
        <w:t>oedema</w:t>
      </w:r>
      <w:proofErr w:type="spellEnd"/>
    </w:p>
    <w:p w14:paraId="2550FD2D" w14:textId="77777777" w:rsidR="005473C9" w:rsidRDefault="005473C9" w:rsidP="005473C9">
      <w:pPr>
        <w:autoSpaceDE w:val="0"/>
        <w:autoSpaceDN w:val="0"/>
        <w:adjustRightInd w:val="0"/>
        <w:rPr>
          <w:rFonts w:cs="AGaramond-Regular"/>
          <w:i/>
          <w:szCs w:val="18"/>
        </w:rPr>
      </w:pPr>
    </w:p>
    <w:p w14:paraId="2F0D5FC5" w14:textId="77777777" w:rsidR="005473C9" w:rsidRPr="00A547C1" w:rsidRDefault="005473C9" w:rsidP="005473C9">
      <w:pPr>
        <w:autoSpaceDE w:val="0"/>
        <w:autoSpaceDN w:val="0"/>
        <w:adjustRightInd w:val="0"/>
        <w:rPr>
          <w:i/>
        </w:rPr>
      </w:pPr>
      <w:r w:rsidRPr="00A547C1">
        <w:rPr>
          <w:i/>
        </w:rPr>
        <w:t xml:space="preserve">Disease site and severity factors </w:t>
      </w:r>
    </w:p>
    <w:p w14:paraId="2F1FD9CA" w14:textId="77777777" w:rsidR="005473C9" w:rsidRDefault="005473C9" w:rsidP="005473C9">
      <w:pPr>
        <w:autoSpaceDE w:val="0"/>
        <w:autoSpaceDN w:val="0"/>
        <w:adjustRightInd w:val="0"/>
        <w:rPr>
          <w:rFonts w:cs="AGaramond-Regular"/>
          <w:szCs w:val="18"/>
        </w:rPr>
      </w:pPr>
      <w:r w:rsidRPr="00D725B2">
        <w:rPr>
          <w:rFonts w:cs="AGaramond-Regular"/>
          <w:szCs w:val="18"/>
          <w:u w:val="single"/>
        </w:rPr>
        <w:t>Essential</w:t>
      </w:r>
      <w:r>
        <w:rPr>
          <w:rFonts w:cs="AGaramond-Regular"/>
          <w:szCs w:val="18"/>
        </w:rPr>
        <w:t>: all of the following:</w:t>
      </w:r>
    </w:p>
    <w:p w14:paraId="73F2F053" w14:textId="77777777" w:rsidR="005473C9" w:rsidRPr="00855DFE" w:rsidRDefault="005473C9" w:rsidP="005473C9">
      <w:pPr>
        <w:pStyle w:val="ListParagraph"/>
        <w:numPr>
          <w:ilvl w:val="0"/>
          <w:numId w:val="18"/>
        </w:numPr>
        <w:autoSpaceDE w:val="0"/>
        <w:autoSpaceDN w:val="0"/>
        <w:adjustRightInd w:val="0"/>
        <w:rPr>
          <w:rFonts w:cs="AGaramond-Regular"/>
          <w:szCs w:val="18"/>
        </w:rPr>
      </w:pPr>
      <w:r w:rsidRPr="00855DFE">
        <w:rPr>
          <w:rFonts w:cs="AGaramond-Regular"/>
          <w:szCs w:val="18"/>
        </w:rPr>
        <w:t>Site of disease</w:t>
      </w:r>
      <w:r>
        <w:rPr>
          <w:rFonts w:cs="AGaramond-Regular"/>
          <w:szCs w:val="18"/>
        </w:rPr>
        <w:t xml:space="preserve"> (especially pulmonary, </w:t>
      </w:r>
      <w:proofErr w:type="spellStart"/>
      <w:r>
        <w:rPr>
          <w:rFonts w:cs="AGaramond-Regular"/>
          <w:szCs w:val="18"/>
        </w:rPr>
        <w:t>extrapulmonary</w:t>
      </w:r>
      <w:proofErr w:type="spellEnd"/>
      <w:r>
        <w:rPr>
          <w:rFonts w:cs="AGaramond-Regular"/>
          <w:szCs w:val="18"/>
        </w:rPr>
        <w:t>, both)</w:t>
      </w:r>
    </w:p>
    <w:p w14:paraId="49FA871B" w14:textId="77777777" w:rsidR="005473C9" w:rsidRDefault="005473C9" w:rsidP="005473C9">
      <w:pPr>
        <w:pStyle w:val="ListParagraph"/>
        <w:numPr>
          <w:ilvl w:val="0"/>
          <w:numId w:val="18"/>
        </w:numPr>
        <w:autoSpaceDE w:val="0"/>
        <w:autoSpaceDN w:val="0"/>
        <w:adjustRightInd w:val="0"/>
      </w:pPr>
      <w:r>
        <w:t>AFB smear results</w:t>
      </w:r>
    </w:p>
    <w:p w14:paraId="2B1DE051" w14:textId="77777777" w:rsidR="005473C9" w:rsidRDefault="005473C9" w:rsidP="005473C9">
      <w:pPr>
        <w:pStyle w:val="ListParagraph"/>
        <w:numPr>
          <w:ilvl w:val="0"/>
          <w:numId w:val="18"/>
        </w:numPr>
        <w:autoSpaceDE w:val="0"/>
        <w:autoSpaceDN w:val="0"/>
        <w:adjustRightInd w:val="0"/>
      </w:pPr>
      <w:r>
        <w:t>Culture results</w:t>
      </w:r>
    </w:p>
    <w:p w14:paraId="34333E2C" w14:textId="77777777" w:rsidR="005473C9" w:rsidRDefault="005473C9" w:rsidP="005473C9">
      <w:pPr>
        <w:pStyle w:val="ListParagraph"/>
        <w:autoSpaceDE w:val="0"/>
        <w:autoSpaceDN w:val="0"/>
        <w:adjustRightInd w:val="0"/>
        <w:ind w:left="360"/>
      </w:pPr>
      <w:r>
        <w:t>(</w:t>
      </w:r>
      <w:proofErr w:type="gramStart"/>
      <w:r>
        <w:t>molecular</w:t>
      </w:r>
      <w:proofErr w:type="gramEnd"/>
      <w:r>
        <w:t xml:space="preserve"> tests e.g. </w:t>
      </w:r>
      <w:proofErr w:type="spellStart"/>
      <w:r>
        <w:t>Xpert</w:t>
      </w:r>
      <w:proofErr w:type="spellEnd"/>
      <w:r>
        <w:t xml:space="preserve"> MTB/Rif would also be included).</w:t>
      </w:r>
    </w:p>
    <w:p w14:paraId="2CE4E10C" w14:textId="77777777" w:rsidR="005473C9" w:rsidRPr="000C1EFE" w:rsidRDefault="005473C9" w:rsidP="005473C9">
      <w:pPr>
        <w:autoSpaceDE w:val="0"/>
        <w:autoSpaceDN w:val="0"/>
        <w:adjustRightInd w:val="0"/>
        <w:rPr>
          <w:rFonts w:cs="AGaramond-Regular"/>
          <w:i/>
          <w:szCs w:val="18"/>
        </w:rPr>
      </w:pPr>
    </w:p>
    <w:p w14:paraId="639A52A3" w14:textId="77777777" w:rsidR="005473C9" w:rsidRDefault="005473C9" w:rsidP="005473C9">
      <w:pPr>
        <w:autoSpaceDE w:val="0"/>
        <w:autoSpaceDN w:val="0"/>
        <w:adjustRightInd w:val="0"/>
        <w:rPr>
          <w:rFonts w:cs="AGaramond-Regular"/>
          <w:szCs w:val="18"/>
        </w:rPr>
      </w:pPr>
      <w:r w:rsidRPr="00D725B2">
        <w:rPr>
          <w:rFonts w:cs="AGaramond-Regular"/>
          <w:szCs w:val="18"/>
          <w:u w:val="single"/>
        </w:rPr>
        <w:t>Desirable</w:t>
      </w:r>
      <w:r>
        <w:rPr>
          <w:rFonts w:cs="AGaramond-Regular"/>
          <w:szCs w:val="18"/>
        </w:rPr>
        <w:t xml:space="preserve"> </w:t>
      </w:r>
    </w:p>
    <w:p w14:paraId="326129C8" w14:textId="77777777" w:rsidR="005473C9" w:rsidRDefault="005473C9" w:rsidP="005473C9">
      <w:pPr>
        <w:pStyle w:val="ListParagraph"/>
        <w:numPr>
          <w:ilvl w:val="0"/>
          <w:numId w:val="19"/>
        </w:numPr>
        <w:autoSpaceDE w:val="0"/>
        <w:autoSpaceDN w:val="0"/>
        <w:adjustRightInd w:val="0"/>
      </w:pPr>
      <w:r w:rsidRPr="00855DFE">
        <w:rPr>
          <w:rFonts w:cs="AGaramond-Regular"/>
          <w:szCs w:val="18"/>
        </w:rPr>
        <w:t>Chest</w:t>
      </w:r>
      <w:r>
        <w:t xml:space="preserve"> X-ray findings (e.g. presence of cavities and other features)</w:t>
      </w:r>
    </w:p>
    <w:p w14:paraId="548CAD14" w14:textId="77777777" w:rsidR="005473C9" w:rsidRDefault="005473C9" w:rsidP="005473C9">
      <w:pPr>
        <w:autoSpaceDE w:val="0"/>
        <w:autoSpaceDN w:val="0"/>
        <w:adjustRightInd w:val="0"/>
        <w:rPr>
          <w:rFonts w:cs="AGaramond-Regular"/>
          <w:i/>
          <w:szCs w:val="18"/>
        </w:rPr>
      </w:pPr>
    </w:p>
    <w:p w14:paraId="33D8C6C9" w14:textId="77777777" w:rsidR="005473C9" w:rsidRPr="00BD2901" w:rsidRDefault="005473C9" w:rsidP="005473C9">
      <w:pPr>
        <w:autoSpaceDE w:val="0"/>
        <w:autoSpaceDN w:val="0"/>
        <w:adjustRightInd w:val="0"/>
        <w:rPr>
          <w:i/>
        </w:rPr>
      </w:pPr>
      <w:r w:rsidRPr="00BD2901">
        <w:rPr>
          <w:i/>
        </w:rPr>
        <w:t xml:space="preserve">Drug </w:t>
      </w:r>
      <w:r>
        <w:rPr>
          <w:i/>
        </w:rPr>
        <w:t>Susceptibility</w:t>
      </w:r>
      <w:r w:rsidRPr="00BD2901">
        <w:rPr>
          <w:i/>
        </w:rPr>
        <w:t xml:space="preserve"> Testing (DST)</w:t>
      </w:r>
    </w:p>
    <w:p w14:paraId="1E4EE3CA" w14:textId="77777777" w:rsidR="005473C9" w:rsidRDefault="005473C9" w:rsidP="005473C9">
      <w:pPr>
        <w:autoSpaceDE w:val="0"/>
        <w:autoSpaceDN w:val="0"/>
        <w:adjustRightInd w:val="0"/>
        <w:rPr>
          <w:rFonts w:cs="AGaramond-Regular"/>
          <w:szCs w:val="18"/>
        </w:rPr>
      </w:pPr>
      <w:r w:rsidRPr="00D725B2">
        <w:rPr>
          <w:rFonts w:cs="AGaramond-Regular"/>
          <w:szCs w:val="18"/>
          <w:u w:val="single"/>
        </w:rPr>
        <w:t>Essential</w:t>
      </w:r>
      <w:r>
        <w:rPr>
          <w:rFonts w:cs="AGaramond-Regular"/>
          <w:szCs w:val="18"/>
        </w:rPr>
        <w:t xml:space="preserve"> </w:t>
      </w:r>
    </w:p>
    <w:p w14:paraId="53857CE5" w14:textId="77777777" w:rsidR="005473C9" w:rsidRDefault="005473C9" w:rsidP="005473C9">
      <w:pPr>
        <w:pStyle w:val="ListParagraph"/>
        <w:numPr>
          <w:ilvl w:val="0"/>
          <w:numId w:val="17"/>
        </w:numPr>
        <w:autoSpaceDE w:val="0"/>
        <w:autoSpaceDN w:val="0"/>
        <w:adjustRightInd w:val="0"/>
      </w:pPr>
      <w:r>
        <w:t>DST results for isoniazid and rifampicin</w:t>
      </w:r>
    </w:p>
    <w:p w14:paraId="43154617" w14:textId="77777777" w:rsidR="005473C9" w:rsidRDefault="005473C9" w:rsidP="005473C9">
      <w:pPr>
        <w:autoSpaceDE w:val="0"/>
        <w:autoSpaceDN w:val="0"/>
        <w:adjustRightInd w:val="0"/>
      </w:pPr>
    </w:p>
    <w:p w14:paraId="222EC596" w14:textId="77777777" w:rsidR="005473C9" w:rsidRDefault="005473C9" w:rsidP="005473C9">
      <w:pPr>
        <w:autoSpaceDE w:val="0"/>
        <w:autoSpaceDN w:val="0"/>
        <w:adjustRightInd w:val="0"/>
      </w:pPr>
      <w:r w:rsidRPr="00D725B2">
        <w:rPr>
          <w:rFonts w:cs="AGaramond-Regular"/>
          <w:szCs w:val="18"/>
          <w:u w:val="single"/>
        </w:rPr>
        <w:t>Desirable</w:t>
      </w:r>
      <w:r>
        <w:t xml:space="preserve"> </w:t>
      </w:r>
    </w:p>
    <w:p w14:paraId="775ECE2D" w14:textId="77777777" w:rsidR="005473C9" w:rsidRDefault="005473C9" w:rsidP="005473C9">
      <w:pPr>
        <w:pStyle w:val="ListParagraph"/>
        <w:numPr>
          <w:ilvl w:val="0"/>
          <w:numId w:val="17"/>
        </w:numPr>
        <w:autoSpaceDE w:val="0"/>
        <w:autoSpaceDN w:val="0"/>
        <w:adjustRightInd w:val="0"/>
      </w:pPr>
      <w:r>
        <w:t>DST results for other first line drugs (</w:t>
      </w:r>
      <w:proofErr w:type="spellStart"/>
      <w:r>
        <w:t>ethambutol</w:t>
      </w:r>
      <w:proofErr w:type="spellEnd"/>
      <w:r>
        <w:t>, pyrazinamide, streptomycin)</w:t>
      </w:r>
    </w:p>
    <w:p w14:paraId="0B188784" w14:textId="77777777" w:rsidR="005473C9" w:rsidRPr="00855DFE" w:rsidRDefault="005473C9" w:rsidP="005473C9">
      <w:pPr>
        <w:pStyle w:val="ListParagraph"/>
        <w:numPr>
          <w:ilvl w:val="0"/>
          <w:numId w:val="17"/>
        </w:numPr>
        <w:autoSpaceDE w:val="0"/>
        <w:autoSpaceDN w:val="0"/>
        <w:adjustRightInd w:val="0"/>
      </w:pPr>
      <w:r>
        <w:t xml:space="preserve">Second-line DST results (particularly to second line </w:t>
      </w:r>
      <w:proofErr w:type="spellStart"/>
      <w:r>
        <w:t>injectables</w:t>
      </w:r>
      <w:proofErr w:type="spellEnd"/>
      <w:r>
        <w:t xml:space="preserve"> and fluoroquinolones)</w:t>
      </w:r>
    </w:p>
    <w:p w14:paraId="47138D79" w14:textId="77777777" w:rsidR="005473C9" w:rsidRPr="00855DFE" w:rsidRDefault="005473C9" w:rsidP="005473C9">
      <w:pPr>
        <w:pStyle w:val="ListParagraph"/>
        <w:numPr>
          <w:ilvl w:val="0"/>
          <w:numId w:val="17"/>
        </w:numPr>
        <w:autoSpaceDE w:val="0"/>
        <w:autoSpaceDN w:val="0"/>
        <w:adjustRightInd w:val="0"/>
        <w:rPr>
          <w:rFonts w:cs="AGaramond-Regular"/>
          <w:szCs w:val="18"/>
        </w:rPr>
      </w:pPr>
      <w:proofErr w:type="spellStart"/>
      <w:r w:rsidRPr="00855DFE">
        <w:rPr>
          <w:rFonts w:cs="AGaramond-Regular"/>
          <w:szCs w:val="18"/>
        </w:rPr>
        <w:t>GeneXpert</w:t>
      </w:r>
      <w:proofErr w:type="spellEnd"/>
      <w:r w:rsidRPr="00855DFE">
        <w:rPr>
          <w:rFonts w:cs="AGaramond-Regular"/>
          <w:szCs w:val="18"/>
        </w:rPr>
        <w:t xml:space="preserve"> results</w:t>
      </w:r>
    </w:p>
    <w:p w14:paraId="54272F7A" w14:textId="77777777" w:rsidR="005473C9" w:rsidRPr="007638DB" w:rsidRDefault="005473C9" w:rsidP="005473C9">
      <w:pPr>
        <w:pStyle w:val="ListParagraph"/>
        <w:numPr>
          <w:ilvl w:val="0"/>
          <w:numId w:val="17"/>
        </w:numPr>
        <w:autoSpaceDE w:val="0"/>
        <w:autoSpaceDN w:val="0"/>
        <w:adjustRightInd w:val="0"/>
        <w:rPr>
          <w:i/>
        </w:rPr>
      </w:pPr>
      <w:r w:rsidRPr="00855DFE">
        <w:rPr>
          <w:rFonts w:cs="AGaramond-Regular"/>
          <w:szCs w:val="18"/>
        </w:rPr>
        <w:t>Characterization of the INH genetic mutation present</w:t>
      </w:r>
    </w:p>
    <w:p w14:paraId="7E5530F6" w14:textId="77777777" w:rsidR="005473C9" w:rsidRDefault="005473C9" w:rsidP="005473C9">
      <w:pPr>
        <w:autoSpaceDE w:val="0"/>
        <w:autoSpaceDN w:val="0"/>
        <w:adjustRightInd w:val="0"/>
        <w:rPr>
          <w:rFonts w:cs="AGaramond-Regular"/>
          <w:i/>
          <w:szCs w:val="18"/>
        </w:rPr>
      </w:pPr>
    </w:p>
    <w:p w14:paraId="25443ED0" w14:textId="77777777" w:rsidR="005473C9" w:rsidRPr="00584AC7" w:rsidRDefault="005473C9" w:rsidP="005473C9">
      <w:pPr>
        <w:autoSpaceDE w:val="0"/>
        <w:autoSpaceDN w:val="0"/>
        <w:adjustRightInd w:val="0"/>
      </w:pPr>
      <w:r w:rsidRPr="00D725B2">
        <w:rPr>
          <w:b/>
          <w:color w:val="000000"/>
        </w:rPr>
        <w:t>Treatment factors</w:t>
      </w:r>
      <w:r>
        <w:rPr>
          <w:color w:val="000000"/>
        </w:rPr>
        <w:t xml:space="preserve">: </w:t>
      </w:r>
      <w:r>
        <w:tab/>
      </w:r>
    </w:p>
    <w:p w14:paraId="462A6530" w14:textId="77777777" w:rsidR="005473C9" w:rsidRDefault="005473C9" w:rsidP="005473C9">
      <w:pPr>
        <w:autoSpaceDE w:val="0"/>
        <w:autoSpaceDN w:val="0"/>
        <w:adjustRightInd w:val="0"/>
        <w:rPr>
          <w:rFonts w:cs="AGaramond-Regular"/>
          <w:szCs w:val="18"/>
        </w:rPr>
      </w:pPr>
      <w:r w:rsidRPr="00D725B2">
        <w:rPr>
          <w:rFonts w:cs="AGaramond-Regular"/>
          <w:szCs w:val="18"/>
          <w:u w:val="single"/>
        </w:rPr>
        <w:t>Essential</w:t>
      </w:r>
      <w:r>
        <w:rPr>
          <w:rFonts w:cs="AGaramond-Regular"/>
          <w:szCs w:val="18"/>
        </w:rPr>
        <w:t>: all of the following:</w:t>
      </w:r>
    </w:p>
    <w:p w14:paraId="6378C20B" w14:textId="77777777" w:rsidR="005473C9" w:rsidRPr="00855DFE" w:rsidRDefault="005473C9" w:rsidP="005473C9">
      <w:pPr>
        <w:pStyle w:val="ListParagraph"/>
        <w:numPr>
          <w:ilvl w:val="0"/>
          <w:numId w:val="19"/>
        </w:numPr>
        <w:autoSpaceDE w:val="0"/>
        <w:autoSpaceDN w:val="0"/>
        <w:adjustRightInd w:val="0"/>
        <w:rPr>
          <w:color w:val="000000"/>
        </w:rPr>
      </w:pPr>
      <w:r w:rsidRPr="00855DFE">
        <w:rPr>
          <w:rFonts w:cs="AGaramond-Regular"/>
          <w:szCs w:val="18"/>
        </w:rPr>
        <w:t xml:space="preserve">Actual drug regimen - </w:t>
      </w:r>
      <w:r w:rsidRPr="00855DFE">
        <w:rPr>
          <w:color w:val="000000"/>
        </w:rPr>
        <w:t xml:space="preserve">specific drugs used, and their duration in intensive and continuation phases. </w:t>
      </w:r>
      <w:r>
        <w:rPr>
          <w:color w:val="000000"/>
        </w:rPr>
        <w:t xml:space="preserve">  If INH used, specify if high dose or regular dose used.</w:t>
      </w:r>
    </w:p>
    <w:p w14:paraId="2AB91782" w14:textId="77777777" w:rsidR="005473C9" w:rsidRPr="00855DFE" w:rsidRDefault="005473C9" w:rsidP="005473C9">
      <w:pPr>
        <w:pStyle w:val="ListParagraph"/>
        <w:numPr>
          <w:ilvl w:val="0"/>
          <w:numId w:val="19"/>
        </w:numPr>
        <w:autoSpaceDE w:val="0"/>
        <w:autoSpaceDN w:val="0"/>
        <w:adjustRightInd w:val="0"/>
        <w:rPr>
          <w:color w:val="000000"/>
        </w:rPr>
      </w:pPr>
      <w:r w:rsidRPr="00855DFE">
        <w:rPr>
          <w:color w:val="000000"/>
        </w:rPr>
        <w:t xml:space="preserve">Surgical resection (if any)  </w:t>
      </w:r>
    </w:p>
    <w:p w14:paraId="19C7A534" w14:textId="77777777" w:rsidR="005473C9" w:rsidRPr="00855DFE" w:rsidRDefault="005473C9" w:rsidP="005473C9">
      <w:pPr>
        <w:pStyle w:val="ListParagraph"/>
        <w:numPr>
          <w:ilvl w:val="0"/>
          <w:numId w:val="19"/>
        </w:numPr>
        <w:autoSpaceDE w:val="0"/>
        <w:autoSpaceDN w:val="0"/>
        <w:adjustRightInd w:val="0"/>
        <w:rPr>
          <w:color w:val="000000"/>
        </w:rPr>
      </w:pPr>
      <w:r w:rsidRPr="00855DFE">
        <w:rPr>
          <w:color w:val="000000"/>
        </w:rPr>
        <w:lastRenderedPageBreak/>
        <w:t xml:space="preserve">Regimen modified (or not) in response to first or second line DST results.  </w:t>
      </w:r>
    </w:p>
    <w:p w14:paraId="1B19809A" w14:textId="77777777" w:rsidR="005473C9" w:rsidRPr="00855DFE" w:rsidRDefault="005473C9" w:rsidP="005473C9">
      <w:pPr>
        <w:pStyle w:val="ListParagraph"/>
        <w:numPr>
          <w:ilvl w:val="0"/>
          <w:numId w:val="19"/>
        </w:numPr>
        <w:autoSpaceDE w:val="0"/>
        <w:autoSpaceDN w:val="0"/>
        <w:adjustRightInd w:val="0"/>
        <w:rPr>
          <w:color w:val="000000"/>
        </w:rPr>
      </w:pPr>
      <w:r w:rsidRPr="00855DFE">
        <w:rPr>
          <w:color w:val="000000"/>
        </w:rPr>
        <w:t xml:space="preserve">Use of DOT </w:t>
      </w:r>
    </w:p>
    <w:p w14:paraId="3C675D13" w14:textId="77777777" w:rsidR="005473C9" w:rsidRDefault="005473C9" w:rsidP="005473C9">
      <w:pPr>
        <w:autoSpaceDE w:val="0"/>
        <w:autoSpaceDN w:val="0"/>
        <w:adjustRightInd w:val="0"/>
        <w:rPr>
          <w:rFonts w:cs="AGaramond-Regular"/>
          <w:szCs w:val="18"/>
        </w:rPr>
      </w:pPr>
    </w:p>
    <w:p w14:paraId="646A8687" w14:textId="77777777" w:rsidR="005473C9" w:rsidRDefault="005473C9" w:rsidP="005473C9">
      <w:pPr>
        <w:autoSpaceDE w:val="0"/>
        <w:autoSpaceDN w:val="0"/>
        <w:adjustRightInd w:val="0"/>
        <w:rPr>
          <w:rFonts w:cs="AGaramond-Regular"/>
          <w:szCs w:val="18"/>
        </w:rPr>
      </w:pPr>
      <w:r w:rsidRPr="00D725B2">
        <w:rPr>
          <w:rFonts w:cs="AGaramond-Regular"/>
          <w:szCs w:val="18"/>
          <w:u w:val="single"/>
        </w:rPr>
        <w:t>Desirable</w:t>
      </w:r>
    </w:p>
    <w:p w14:paraId="65B7E712" w14:textId="77777777" w:rsidR="005473C9" w:rsidRPr="00855DFE" w:rsidRDefault="005473C9" w:rsidP="005473C9">
      <w:pPr>
        <w:pStyle w:val="ListParagraph"/>
        <w:numPr>
          <w:ilvl w:val="0"/>
          <w:numId w:val="20"/>
        </w:numPr>
        <w:autoSpaceDE w:val="0"/>
        <w:autoSpaceDN w:val="0"/>
        <w:adjustRightInd w:val="0"/>
        <w:rPr>
          <w:color w:val="000000"/>
        </w:rPr>
      </w:pPr>
      <w:r w:rsidRPr="00855DFE">
        <w:rPr>
          <w:color w:val="000000"/>
        </w:rPr>
        <w:t>Mode of supervision of therapy</w:t>
      </w:r>
    </w:p>
    <w:p w14:paraId="5B288B4F" w14:textId="77777777" w:rsidR="005473C9" w:rsidRPr="007638DB" w:rsidRDefault="005473C9" w:rsidP="005473C9">
      <w:pPr>
        <w:pStyle w:val="ListParagraph"/>
        <w:numPr>
          <w:ilvl w:val="0"/>
          <w:numId w:val="20"/>
        </w:numPr>
        <w:autoSpaceDE w:val="0"/>
        <w:autoSpaceDN w:val="0"/>
        <w:adjustRightInd w:val="0"/>
      </w:pPr>
      <w:r w:rsidRPr="00855DFE">
        <w:rPr>
          <w:color w:val="000000"/>
        </w:rPr>
        <w:t xml:space="preserve">Dose of each drug (and body weight of patients – to calculate dose in mg/kg). </w:t>
      </w:r>
    </w:p>
    <w:p w14:paraId="3D753383" w14:textId="77777777" w:rsidR="005473C9" w:rsidRPr="00DA6085" w:rsidRDefault="005473C9" w:rsidP="005473C9">
      <w:pPr>
        <w:pStyle w:val="ListParagraph"/>
        <w:numPr>
          <w:ilvl w:val="0"/>
          <w:numId w:val="20"/>
        </w:numPr>
        <w:autoSpaceDE w:val="0"/>
        <w:autoSpaceDN w:val="0"/>
        <w:adjustRightInd w:val="0"/>
      </w:pPr>
      <w:r>
        <w:rPr>
          <w:color w:val="000000"/>
        </w:rPr>
        <w:t xml:space="preserve">Hospital admission and duration </w:t>
      </w:r>
    </w:p>
    <w:p w14:paraId="5445EBF3" w14:textId="77777777" w:rsidR="005473C9" w:rsidRDefault="005473C9" w:rsidP="005473C9">
      <w:pPr>
        <w:autoSpaceDE w:val="0"/>
        <w:autoSpaceDN w:val="0"/>
        <w:adjustRightInd w:val="0"/>
        <w:rPr>
          <w:rFonts w:cs="AGaramond-Regular"/>
          <w:i/>
          <w:szCs w:val="18"/>
        </w:rPr>
      </w:pPr>
    </w:p>
    <w:p w14:paraId="1979AE6F" w14:textId="77777777" w:rsidR="005473C9" w:rsidRPr="007638DB" w:rsidRDefault="005473C9" w:rsidP="005473C9">
      <w:pPr>
        <w:autoSpaceDE w:val="0"/>
        <w:autoSpaceDN w:val="0"/>
        <w:adjustRightInd w:val="0"/>
        <w:rPr>
          <w:rFonts w:cs="AGaramond-Regular"/>
          <w:szCs w:val="18"/>
          <w:u w:val="single"/>
        </w:rPr>
      </w:pPr>
      <w:r w:rsidRPr="007638DB">
        <w:rPr>
          <w:rFonts w:cs="AGaramond-Regular"/>
          <w:i/>
          <w:szCs w:val="18"/>
        </w:rPr>
        <w:t>Treatment outcomes</w:t>
      </w:r>
    </w:p>
    <w:p w14:paraId="6C25940A" w14:textId="77777777" w:rsidR="005473C9" w:rsidRDefault="005473C9" w:rsidP="005473C9">
      <w:pPr>
        <w:autoSpaceDE w:val="0"/>
        <w:autoSpaceDN w:val="0"/>
        <w:adjustRightInd w:val="0"/>
        <w:rPr>
          <w:rFonts w:cs="AGaramond-Regular"/>
          <w:szCs w:val="18"/>
        </w:rPr>
      </w:pPr>
      <w:r w:rsidRPr="00D725B2">
        <w:rPr>
          <w:rFonts w:cs="AGaramond-Regular"/>
          <w:szCs w:val="18"/>
          <w:u w:val="single"/>
        </w:rPr>
        <w:t>Essential</w:t>
      </w:r>
      <w:r>
        <w:rPr>
          <w:rFonts w:cs="AGaramond-Regular"/>
          <w:szCs w:val="18"/>
        </w:rPr>
        <w:t xml:space="preserve">: Classified as at least one of the following: </w:t>
      </w:r>
    </w:p>
    <w:p w14:paraId="78AD3AEA" w14:textId="77777777" w:rsidR="005473C9" w:rsidRPr="00B0118C" w:rsidRDefault="005473C9" w:rsidP="005473C9">
      <w:pPr>
        <w:pStyle w:val="ListParagraph"/>
        <w:numPr>
          <w:ilvl w:val="0"/>
          <w:numId w:val="13"/>
        </w:numPr>
        <w:autoSpaceDE w:val="0"/>
        <w:autoSpaceDN w:val="0"/>
        <w:adjustRightInd w:val="0"/>
        <w:rPr>
          <w:rFonts w:cs="AGaramond-Regular"/>
          <w:szCs w:val="18"/>
        </w:rPr>
      </w:pPr>
      <w:r w:rsidRPr="00B0118C">
        <w:rPr>
          <w:rFonts w:cs="AGaramond-Regular"/>
          <w:szCs w:val="18"/>
        </w:rPr>
        <w:t>Cure</w:t>
      </w:r>
    </w:p>
    <w:p w14:paraId="28BA29CE" w14:textId="77777777" w:rsidR="005473C9" w:rsidRPr="00B0118C" w:rsidRDefault="005473C9" w:rsidP="005473C9">
      <w:pPr>
        <w:pStyle w:val="ListParagraph"/>
        <w:numPr>
          <w:ilvl w:val="0"/>
          <w:numId w:val="13"/>
        </w:numPr>
        <w:autoSpaceDE w:val="0"/>
        <w:autoSpaceDN w:val="0"/>
        <w:adjustRightInd w:val="0"/>
        <w:rPr>
          <w:rFonts w:cs="AGaramond-Regular"/>
          <w:szCs w:val="18"/>
        </w:rPr>
      </w:pPr>
      <w:r w:rsidRPr="00B0118C">
        <w:rPr>
          <w:rFonts w:cs="AGaramond-Regular"/>
          <w:szCs w:val="18"/>
        </w:rPr>
        <w:t xml:space="preserve">Treatment completion </w:t>
      </w:r>
    </w:p>
    <w:p w14:paraId="08E294FD" w14:textId="77777777" w:rsidR="005473C9" w:rsidRPr="00B0118C" w:rsidRDefault="005473C9" w:rsidP="005473C9">
      <w:pPr>
        <w:pStyle w:val="ListParagraph"/>
        <w:numPr>
          <w:ilvl w:val="0"/>
          <w:numId w:val="13"/>
        </w:numPr>
        <w:autoSpaceDE w:val="0"/>
        <w:autoSpaceDN w:val="0"/>
        <w:adjustRightInd w:val="0"/>
        <w:rPr>
          <w:rFonts w:cs="AGaramond-Regular"/>
          <w:szCs w:val="18"/>
        </w:rPr>
      </w:pPr>
      <w:r w:rsidRPr="00B0118C">
        <w:rPr>
          <w:rFonts w:cs="AGaramond-Regular"/>
          <w:szCs w:val="18"/>
        </w:rPr>
        <w:t xml:space="preserve">Treatment failure </w:t>
      </w:r>
    </w:p>
    <w:p w14:paraId="777A5685" w14:textId="77777777" w:rsidR="005473C9" w:rsidRPr="00B0118C" w:rsidRDefault="005473C9" w:rsidP="005473C9">
      <w:pPr>
        <w:pStyle w:val="ListParagraph"/>
        <w:numPr>
          <w:ilvl w:val="0"/>
          <w:numId w:val="13"/>
        </w:numPr>
        <w:autoSpaceDE w:val="0"/>
        <w:autoSpaceDN w:val="0"/>
        <w:adjustRightInd w:val="0"/>
        <w:rPr>
          <w:rFonts w:cs="AGaramond-Regular"/>
          <w:szCs w:val="18"/>
        </w:rPr>
      </w:pPr>
      <w:r w:rsidRPr="00B0118C">
        <w:rPr>
          <w:rFonts w:cs="AGaramond-Regular"/>
          <w:szCs w:val="18"/>
        </w:rPr>
        <w:t xml:space="preserve">Died </w:t>
      </w:r>
    </w:p>
    <w:p w14:paraId="2B561764" w14:textId="77777777" w:rsidR="005473C9" w:rsidRPr="00B0118C" w:rsidRDefault="005473C9" w:rsidP="005473C9">
      <w:pPr>
        <w:pStyle w:val="ListParagraph"/>
        <w:numPr>
          <w:ilvl w:val="0"/>
          <w:numId w:val="13"/>
        </w:numPr>
        <w:autoSpaceDE w:val="0"/>
        <w:autoSpaceDN w:val="0"/>
        <w:adjustRightInd w:val="0"/>
        <w:rPr>
          <w:rFonts w:cs="AGaramond-Regular"/>
          <w:szCs w:val="18"/>
        </w:rPr>
      </w:pPr>
      <w:r w:rsidRPr="00B0118C">
        <w:rPr>
          <w:rFonts w:cs="AGaramond-Regular"/>
          <w:szCs w:val="18"/>
        </w:rPr>
        <w:t>Lost to follow-up</w:t>
      </w:r>
    </w:p>
    <w:p w14:paraId="20CC2089" w14:textId="77777777" w:rsidR="005473C9" w:rsidRPr="00B0118C" w:rsidRDefault="005473C9" w:rsidP="005473C9">
      <w:pPr>
        <w:pStyle w:val="ListParagraph"/>
        <w:numPr>
          <w:ilvl w:val="0"/>
          <w:numId w:val="13"/>
        </w:numPr>
        <w:autoSpaceDE w:val="0"/>
        <w:autoSpaceDN w:val="0"/>
        <w:adjustRightInd w:val="0"/>
        <w:rPr>
          <w:rFonts w:cs="AGaramond-Regular"/>
          <w:szCs w:val="18"/>
        </w:rPr>
      </w:pPr>
      <w:r w:rsidRPr="00B0118C">
        <w:rPr>
          <w:rFonts w:cs="AGaramond-Regular"/>
          <w:szCs w:val="18"/>
        </w:rPr>
        <w:t>Not evaluated</w:t>
      </w:r>
    </w:p>
    <w:p w14:paraId="5208ED01" w14:textId="77777777" w:rsidR="005473C9" w:rsidRDefault="005473C9" w:rsidP="005473C9">
      <w:pPr>
        <w:autoSpaceDE w:val="0"/>
        <w:autoSpaceDN w:val="0"/>
        <w:adjustRightInd w:val="0"/>
        <w:rPr>
          <w:rFonts w:cs="AGaramond-Regular"/>
          <w:szCs w:val="18"/>
        </w:rPr>
      </w:pPr>
      <w:r>
        <w:rPr>
          <w:rFonts w:cs="AGaramond-Regular"/>
          <w:szCs w:val="18"/>
        </w:rPr>
        <w:t xml:space="preserve"> </w:t>
      </w:r>
    </w:p>
    <w:p w14:paraId="3B7912E9" w14:textId="77777777" w:rsidR="005473C9" w:rsidRDefault="005473C9" w:rsidP="005473C9">
      <w:pPr>
        <w:autoSpaceDE w:val="0"/>
        <w:autoSpaceDN w:val="0"/>
        <w:adjustRightInd w:val="0"/>
        <w:rPr>
          <w:rFonts w:cs="AGaramond-Regular"/>
          <w:szCs w:val="18"/>
        </w:rPr>
      </w:pPr>
      <w:r w:rsidRPr="00D725B2">
        <w:rPr>
          <w:rFonts w:cs="AGaramond-Regular"/>
          <w:szCs w:val="18"/>
          <w:u w:val="single"/>
        </w:rPr>
        <w:t>Desirable</w:t>
      </w:r>
      <w:r>
        <w:rPr>
          <w:rFonts w:cs="AGaramond-Regular"/>
          <w:szCs w:val="18"/>
        </w:rPr>
        <w:t xml:space="preserve">: </w:t>
      </w:r>
    </w:p>
    <w:p w14:paraId="2ED73C6D" w14:textId="77777777" w:rsidR="005473C9" w:rsidRDefault="005473C9" w:rsidP="005473C9">
      <w:pPr>
        <w:pStyle w:val="ListParagraph"/>
        <w:numPr>
          <w:ilvl w:val="0"/>
          <w:numId w:val="14"/>
        </w:numPr>
        <w:autoSpaceDE w:val="0"/>
        <w:autoSpaceDN w:val="0"/>
        <w:adjustRightInd w:val="0"/>
        <w:rPr>
          <w:rFonts w:cs="AGaramond-Regular"/>
          <w:szCs w:val="18"/>
        </w:rPr>
      </w:pPr>
      <w:r w:rsidRPr="00B0118C">
        <w:rPr>
          <w:rFonts w:cs="AGaramond-Regular"/>
          <w:szCs w:val="18"/>
        </w:rPr>
        <w:t>Probable cure</w:t>
      </w:r>
      <w:r>
        <w:rPr>
          <w:rFonts w:cs="AGaramond-Regular"/>
          <w:szCs w:val="18"/>
        </w:rPr>
        <w:t>,</w:t>
      </w:r>
      <w:r w:rsidRPr="00B0118C">
        <w:rPr>
          <w:rFonts w:cs="AGaramond-Regular"/>
          <w:szCs w:val="18"/>
        </w:rPr>
        <w:t xml:space="preserve"> default, primary default, primary </w:t>
      </w:r>
      <w:proofErr w:type="gramStart"/>
      <w:r w:rsidRPr="00B0118C">
        <w:rPr>
          <w:rFonts w:cs="AGaramond-Regular"/>
          <w:szCs w:val="18"/>
        </w:rPr>
        <w:t>death(</w:t>
      </w:r>
      <w:proofErr w:type="gramEnd"/>
      <w:r w:rsidRPr="00B0118C">
        <w:rPr>
          <w:rFonts w:cs="AGaramond-Regular"/>
          <w:szCs w:val="18"/>
        </w:rPr>
        <w:t>as per consensus statement definitions</w:t>
      </w:r>
      <w:r>
        <w:rPr>
          <w:rFonts w:cs="AGaramond-Regular"/>
          <w:szCs w:val="18"/>
        </w:rPr>
        <w:t xml:space="preserve"> (See </w:t>
      </w:r>
      <w:r w:rsidRPr="007638DB">
        <w:rPr>
          <w:rFonts w:cs="AGaramond-Regular"/>
          <w:i/>
          <w:szCs w:val="18"/>
        </w:rPr>
        <w:t>Definitions for Study Classification</w:t>
      </w:r>
      <w:r>
        <w:rPr>
          <w:rFonts w:cs="AGaramond-Regular"/>
          <w:szCs w:val="18"/>
        </w:rPr>
        <w:t>, Consensus Statement definitions</w:t>
      </w:r>
      <w:r w:rsidRPr="00B0118C">
        <w:rPr>
          <w:rFonts w:cs="AGaramond-Regular"/>
          <w:szCs w:val="18"/>
        </w:rPr>
        <w:t xml:space="preserve">) </w:t>
      </w:r>
    </w:p>
    <w:p w14:paraId="1235FBE4" w14:textId="77777777" w:rsidR="005473C9" w:rsidRPr="00B0118C" w:rsidRDefault="005473C9" w:rsidP="005473C9">
      <w:pPr>
        <w:pStyle w:val="ListParagraph"/>
        <w:numPr>
          <w:ilvl w:val="0"/>
          <w:numId w:val="14"/>
        </w:numPr>
        <w:autoSpaceDE w:val="0"/>
        <w:autoSpaceDN w:val="0"/>
        <w:adjustRightInd w:val="0"/>
        <w:rPr>
          <w:rFonts w:cs="AGaramond-Regular"/>
          <w:szCs w:val="18"/>
        </w:rPr>
      </w:pPr>
      <w:r>
        <w:rPr>
          <w:rFonts w:cs="AGaramond-Regular"/>
          <w:szCs w:val="18"/>
        </w:rPr>
        <w:t>Relapse</w:t>
      </w:r>
    </w:p>
    <w:p w14:paraId="3C0D0895" w14:textId="77777777" w:rsidR="005473C9" w:rsidRDefault="005473C9" w:rsidP="005473C9">
      <w:pPr>
        <w:pStyle w:val="ListParagraph"/>
        <w:numPr>
          <w:ilvl w:val="0"/>
          <w:numId w:val="14"/>
        </w:numPr>
        <w:autoSpaceDE w:val="0"/>
        <w:autoSpaceDN w:val="0"/>
        <w:adjustRightInd w:val="0"/>
        <w:rPr>
          <w:rFonts w:cs="AGaramond-Regular"/>
          <w:szCs w:val="18"/>
        </w:rPr>
      </w:pPr>
      <w:r>
        <w:rPr>
          <w:rFonts w:cs="AGaramond-Regular"/>
          <w:szCs w:val="18"/>
        </w:rPr>
        <w:t>Clinically significant adverse events</w:t>
      </w:r>
    </w:p>
    <w:p w14:paraId="5B0F2327" w14:textId="77777777" w:rsidR="005473C9" w:rsidRPr="00BD2901" w:rsidRDefault="005473C9" w:rsidP="005473C9">
      <w:pPr>
        <w:pStyle w:val="ListParagraph"/>
        <w:numPr>
          <w:ilvl w:val="1"/>
          <w:numId w:val="14"/>
        </w:numPr>
        <w:autoSpaceDE w:val="0"/>
        <w:autoSpaceDN w:val="0"/>
        <w:adjustRightInd w:val="0"/>
        <w:rPr>
          <w:rFonts w:cs="AGaramond-Regular"/>
          <w:szCs w:val="18"/>
        </w:rPr>
      </w:pPr>
      <w:proofErr w:type="gramStart"/>
      <w:r w:rsidRPr="00BD2901">
        <w:rPr>
          <w:rFonts w:cs="AGaramond-Regular"/>
          <w:szCs w:val="18"/>
        </w:rPr>
        <w:t>hearing</w:t>
      </w:r>
      <w:proofErr w:type="gramEnd"/>
      <w:r w:rsidRPr="00BD2901">
        <w:rPr>
          <w:rFonts w:cs="AGaramond-Regular"/>
          <w:szCs w:val="18"/>
        </w:rPr>
        <w:t xml:space="preserve"> loss (</w:t>
      </w:r>
      <w:r>
        <w:rPr>
          <w:rFonts w:cs="AGaramond-Regular"/>
          <w:szCs w:val="18"/>
        </w:rPr>
        <w:t>diagnosed via audiology or clinically</w:t>
      </w:r>
      <w:r w:rsidRPr="00BD2901">
        <w:rPr>
          <w:rFonts w:cs="AGaramond-Regular"/>
          <w:szCs w:val="18"/>
        </w:rPr>
        <w:t>)</w:t>
      </w:r>
    </w:p>
    <w:p w14:paraId="6EC48600" w14:textId="77777777" w:rsidR="005473C9" w:rsidRPr="00BD2901" w:rsidRDefault="005473C9" w:rsidP="005473C9">
      <w:pPr>
        <w:pStyle w:val="ListParagraph"/>
        <w:numPr>
          <w:ilvl w:val="1"/>
          <w:numId w:val="14"/>
        </w:numPr>
        <w:autoSpaceDE w:val="0"/>
        <w:autoSpaceDN w:val="0"/>
        <w:adjustRightInd w:val="0"/>
        <w:rPr>
          <w:rFonts w:cs="AGaramond-Regular"/>
          <w:szCs w:val="18"/>
        </w:rPr>
      </w:pPr>
      <w:proofErr w:type="gramStart"/>
      <w:r w:rsidRPr="00BD2901">
        <w:rPr>
          <w:rFonts w:cs="AGaramond-Regular"/>
          <w:szCs w:val="18"/>
        </w:rPr>
        <w:t>neurotoxicity</w:t>
      </w:r>
      <w:proofErr w:type="gramEnd"/>
      <w:r w:rsidRPr="00BD2901">
        <w:rPr>
          <w:rFonts w:cs="AGaramond-Regular"/>
          <w:szCs w:val="18"/>
        </w:rPr>
        <w:t xml:space="preserve"> (including peripheral neuropathy and optic neuropathy</w:t>
      </w:r>
      <w:r>
        <w:rPr>
          <w:rFonts w:cs="AGaramond-Regular"/>
          <w:szCs w:val="18"/>
        </w:rPr>
        <w:t>)</w:t>
      </w:r>
    </w:p>
    <w:p w14:paraId="0455B15A" w14:textId="77777777" w:rsidR="005473C9" w:rsidRPr="00BD2901" w:rsidRDefault="005473C9" w:rsidP="005473C9">
      <w:pPr>
        <w:pStyle w:val="ListParagraph"/>
        <w:numPr>
          <w:ilvl w:val="1"/>
          <w:numId w:val="14"/>
        </w:numPr>
        <w:autoSpaceDE w:val="0"/>
        <w:autoSpaceDN w:val="0"/>
        <w:adjustRightInd w:val="0"/>
        <w:rPr>
          <w:rFonts w:cs="AGaramond-Regular"/>
          <w:szCs w:val="18"/>
        </w:rPr>
      </w:pPr>
      <w:proofErr w:type="gramStart"/>
      <w:r w:rsidRPr="00BD2901">
        <w:rPr>
          <w:rFonts w:cs="AGaramond-Regular"/>
          <w:szCs w:val="18"/>
        </w:rPr>
        <w:t>thyroid</w:t>
      </w:r>
      <w:proofErr w:type="gramEnd"/>
      <w:r w:rsidRPr="00BD2901">
        <w:rPr>
          <w:rFonts w:cs="AGaramond-Regular"/>
          <w:szCs w:val="18"/>
        </w:rPr>
        <w:t xml:space="preserve"> dysfunction</w:t>
      </w:r>
      <w:r>
        <w:rPr>
          <w:rFonts w:cs="AGaramond-Regular"/>
          <w:szCs w:val="18"/>
        </w:rPr>
        <w:t xml:space="preserve"> (diagnosed as per treating providers decision to supplement thyroid hormone based on clinical and/or lab evaluation)</w:t>
      </w:r>
    </w:p>
    <w:p w14:paraId="66818D34" w14:textId="77777777" w:rsidR="005473C9" w:rsidRPr="00BD2901" w:rsidRDefault="005473C9" w:rsidP="005473C9">
      <w:pPr>
        <w:pStyle w:val="ListParagraph"/>
        <w:numPr>
          <w:ilvl w:val="1"/>
          <w:numId w:val="14"/>
        </w:numPr>
        <w:autoSpaceDE w:val="0"/>
        <w:autoSpaceDN w:val="0"/>
        <w:adjustRightInd w:val="0"/>
        <w:rPr>
          <w:rFonts w:cs="AGaramond-Regular"/>
          <w:szCs w:val="18"/>
        </w:rPr>
      </w:pPr>
      <w:proofErr w:type="gramStart"/>
      <w:r w:rsidRPr="00BD2901">
        <w:rPr>
          <w:rFonts w:cs="AGaramond-Regular"/>
          <w:szCs w:val="18"/>
        </w:rPr>
        <w:t>liver</w:t>
      </w:r>
      <w:proofErr w:type="gramEnd"/>
      <w:r w:rsidRPr="00BD2901">
        <w:rPr>
          <w:rFonts w:cs="AGaramond-Regular"/>
          <w:szCs w:val="18"/>
        </w:rPr>
        <w:t xml:space="preserve"> toxicity</w:t>
      </w:r>
      <w:r>
        <w:rPr>
          <w:rFonts w:cs="AGaramond-Regular"/>
          <w:szCs w:val="18"/>
        </w:rPr>
        <w:t xml:space="preserve"> (diagnosed either by abnormal liver tests or clinical diagnosis)</w:t>
      </w:r>
    </w:p>
    <w:p w14:paraId="1312F6FC" w14:textId="77777777" w:rsidR="005473C9" w:rsidRPr="00BD2901" w:rsidRDefault="005473C9" w:rsidP="005473C9">
      <w:pPr>
        <w:pStyle w:val="ListParagraph"/>
        <w:numPr>
          <w:ilvl w:val="1"/>
          <w:numId w:val="14"/>
        </w:numPr>
        <w:autoSpaceDE w:val="0"/>
        <w:autoSpaceDN w:val="0"/>
        <w:adjustRightInd w:val="0"/>
        <w:rPr>
          <w:rFonts w:cs="AGaramond-Regular"/>
          <w:szCs w:val="18"/>
        </w:rPr>
      </w:pPr>
      <w:proofErr w:type="gramStart"/>
      <w:r w:rsidRPr="00BD2901">
        <w:rPr>
          <w:rFonts w:cs="AGaramond-Regular"/>
          <w:szCs w:val="18"/>
        </w:rPr>
        <w:t>cartilage</w:t>
      </w:r>
      <w:proofErr w:type="gramEnd"/>
      <w:r w:rsidRPr="00BD2901">
        <w:rPr>
          <w:rFonts w:cs="AGaramond-Regular"/>
          <w:szCs w:val="18"/>
        </w:rPr>
        <w:t xml:space="preserve"> toxicity </w:t>
      </w:r>
      <w:r>
        <w:rPr>
          <w:rFonts w:cs="AGaramond-Regular"/>
          <w:szCs w:val="18"/>
        </w:rPr>
        <w:t>(per clinical diagnosis)</w:t>
      </w:r>
    </w:p>
    <w:p w14:paraId="5999D505" w14:textId="77777777" w:rsidR="005473C9" w:rsidRPr="00BD2901" w:rsidRDefault="005473C9" w:rsidP="005473C9">
      <w:pPr>
        <w:pStyle w:val="ListParagraph"/>
        <w:numPr>
          <w:ilvl w:val="1"/>
          <w:numId w:val="14"/>
        </w:numPr>
        <w:autoSpaceDE w:val="0"/>
        <w:autoSpaceDN w:val="0"/>
        <w:adjustRightInd w:val="0"/>
        <w:rPr>
          <w:rFonts w:cs="AGaramond-Regular"/>
          <w:szCs w:val="18"/>
        </w:rPr>
      </w:pPr>
      <w:proofErr w:type="gramStart"/>
      <w:r w:rsidRPr="00BD2901">
        <w:rPr>
          <w:rFonts w:cs="AGaramond-Regular"/>
          <w:szCs w:val="18"/>
        </w:rPr>
        <w:t>nephrotoxicity</w:t>
      </w:r>
      <w:proofErr w:type="gramEnd"/>
    </w:p>
    <w:p w14:paraId="7D8E18D9" w14:textId="77777777" w:rsidR="005473C9" w:rsidRPr="00B0118C" w:rsidRDefault="005473C9" w:rsidP="005473C9">
      <w:pPr>
        <w:pStyle w:val="ListParagraph"/>
        <w:autoSpaceDE w:val="0"/>
        <w:autoSpaceDN w:val="0"/>
        <w:adjustRightInd w:val="0"/>
        <w:ind w:left="1080"/>
        <w:rPr>
          <w:rFonts w:cs="AGaramond-Regular"/>
          <w:szCs w:val="18"/>
        </w:rPr>
      </w:pPr>
    </w:p>
    <w:p w14:paraId="4F5C3C96" w14:textId="77777777" w:rsidR="005473C9" w:rsidRPr="00BD2901" w:rsidRDefault="005473C9" w:rsidP="005473C9">
      <w:pPr>
        <w:pStyle w:val="ListParagraph"/>
        <w:numPr>
          <w:ilvl w:val="0"/>
          <w:numId w:val="14"/>
        </w:numPr>
        <w:autoSpaceDE w:val="0"/>
        <w:autoSpaceDN w:val="0"/>
        <w:adjustRightInd w:val="0"/>
        <w:rPr>
          <w:b/>
        </w:rPr>
      </w:pPr>
      <w:r w:rsidRPr="00BD2901">
        <w:rPr>
          <w:rFonts w:cs="AGaramond-Regular"/>
          <w:szCs w:val="18"/>
        </w:rPr>
        <w:t>Microbiologic conversion (tim</w:t>
      </w:r>
      <w:r>
        <w:rPr>
          <w:rFonts w:cs="AGaramond-Regular"/>
          <w:szCs w:val="18"/>
        </w:rPr>
        <w:t>e to culture or smear conversion</w:t>
      </w:r>
      <w:r w:rsidRPr="00BD2901">
        <w:rPr>
          <w:rFonts w:cs="AGaramond-Regular"/>
          <w:szCs w:val="18"/>
        </w:rPr>
        <w:t xml:space="preserve">, </w:t>
      </w:r>
      <w:r>
        <w:rPr>
          <w:rFonts w:cs="AGaramond-Regular"/>
          <w:szCs w:val="18"/>
        </w:rPr>
        <w:t xml:space="preserve">if culture is not available, </w:t>
      </w:r>
      <w:r w:rsidRPr="00BD2901">
        <w:rPr>
          <w:rFonts w:cs="AGaramond-Regular"/>
          <w:szCs w:val="18"/>
        </w:rPr>
        <w:t>or % with sputum smear and culture conversion at fixed intervals)</w:t>
      </w:r>
    </w:p>
    <w:p w14:paraId="6D969AF1" w14:textId="45C309C2" w:rsidR="005A5898" w:rsidRPr="000B1A12" w:rsidRDefault="005A5898" w:rsidP="00B63356"/>
    <w:sectPr w:rsidR="005A5898" w:rsidRPr="000B1A12" w:rsidSect="00851DA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DEA71" w14:textId="77777777" w:rsidR="003E39E8" w:rsidRDefault="003E39E8" w:rsidP="00951C67">
      <w:r>
        <w:separator/>
      </w:r>
    </w:p>
  </w:endnote>
  <w:endnote w:type="continuationSeparator" w:id="0">
    <w:p w14:paraId="2D343A4A" w14:textId="77777777" w:rsidR="003E39E8" w:rsidRDefault="003E39E8" w:rsidP="00951C67">
      <w:r>
        <w:continuationSeparator/>
      </w:r>
    </w:p>
  </w:endnote>
  <w:endnote w:type="continuationNotice" w:id="1">
    <w:p w14:paraId="52CA0AD4" w14:textId="77777777" w:rsidR="003E39E8" w:rsidRDefault="003E3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Garamond-Regular">
    <w:altName w:val="Times New Roman"/>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061CB" w14:textId="77777777" w:rsidR="00225944" w:rsidRDefault="00225944" w:rsidP="003C4B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FB0877" w14:textId="77777777" w:rsidR="00225944" w:rsidRDefault="00225944" w:rsidP="003C4B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49B2B" w14:textId="77777777" w:rsidR="00225944" w:rsidRDefault="00225944" w:rsidP="003C4B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6C42">
      <w:rPr>
        <w:rStyle w:val="PageNumber"/>
        <w:noProof/>
      </w:rPr>
      <w:t>1</w:t>
    </w:r>
    <w:r>
      <w:rPr>
        <w:rStyle w:val="PageNumber"/>
      </w:rPr>
      <w:fldChar w:fldCharType="end"/>
    </w:r>
  </w:p>
  <w:p w14:paraId="3985FBBE" w14:textId="77777777" w:rsidR="00225944" w:rsidRDefault="00225944" w:rsidP="003C4B4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5B62D" w14:textId="77777777" w:rsidR="00225944" w:rsidRDefault="00225944" w:rsidP="003C4B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FACA91" w14:textId="77777777" w:rsidR="00225944" w:rsidRDefault="00225944" w:rsidP="003C4B4C">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26AB1" w14:textId="77777777" w:rsidR="00225944" w:rsidRDefault="00225944" w:rsidP="003C4B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6C42">
      <w:rPr>
        <w:rStyle w:val="PageNumber"/>
        <w:noProof/>
      </w:rPr>
      <w:t>6</w:t>
    </w:r>
    <w:r>
      <w:rPr>
        <w:rStyle w:val="PageNumber"/>
      </w:rPr>
      <w:fldChar w:fldCharType="end"/>
    </w:r>
  </w:p>
  <w:p w14:paraId="6B53EB94" w14:textId="77777777" w:rsidR="00225944" w:rsidRDefault="00225944" w:rsidP="003C4B4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F0018" w14:textId="77777777" w:rsidR="003E39E8" w:rsidRDefault="003E39E8" w:rsidP="00951C67">
      <w:r>
        <w:separator/>
      </w:r>
    </w:p>
  </w:footnote>
  <w:footnote w:type="continuationSeparator" w:id="0">
    <w:p w14:paraId="41A3709B" w14:textId="77777777" w:rsidR="003E39E8" w:rsidRDefault="003E39E8" w:rsidP="00951C67">
      <w:r>
        <w:continuationSeparator/>
      </w:r>
    </w:p>
  </w:footnote>
  <w:footnote w:type="continuationNotice" w:id="1">
    <w:p w14:paraId="13F24572" w14:textId="77777777" w:rsidR="003E39E8" w:rsidRDefault="003E39E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C0E08" w14:textId="77777777" w:rsidR="00225944" w:rsidRDefault="0022594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E759C" w14:textId="77777777" w:rsidR="00225944" w:rsidRDefault="002259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812"/>
    <w:multiLevelType w:val="hybridMultilevel"/>
    <w:tmpl w:val="076AB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973E08"/>
    <w:multiLevelType w:val="hybridMultilevel"/>
    <w:tmpl w:val="ECA40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82A8A"/>
    <w:multiLevelType w:val="hybridMultilevel"/>
    <w:tmpl w:val="589E3294"/>
    <w:lvl w:ilvl="0" w:tplc="04090001">
      <w:start w:val="1"/>
      <w:numFmt w:val="bullet"/>
      <w:lvlText w:val=""/>
      <w:lvlJc w:val="left"/>
      <w:pPr>
        <w:ind w:left="720" w:hanging="360"/>
      </w:pPr>
      <w:rPr>
        <w:rFonts w:ascii="Symbol" w:hAnsi="Symbol" w:hint="default"/>
      </w:rPr>
    </w:lvl>
    <w:lvl w:ilvl="1" w:tplc="35986F92">
      <w:start w:val="1"/>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37F37"/>
    <w:multiLevelType w:val="multilevel"/>
    <w:tmpl w:val="53AE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E7026"/>
    <w:multiLevelType w:val="hybridMultilevel"/>
    <w:tmpl w:val="45DC8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2254B9"/>
    <w:multiLevelType w:val="hybridMultilevel"/>
    <w:tmpl w:val="18C49FD2"/>
    <w:lvl w:ilvl="0" w:tplc="04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2FA3ACA"/>
    <w:multiLevelType w:val="hybridMultilevel"/>
    <w:tmpl w:val="0DC49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A671B7"/>
    <w:multiLevelType w:val="hybridMultilevel"/>
    <w:tmpl w:val="CECA9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3860F8"/>
    <w:multiLevelType w:val="hybridMultilevel"/>
    <w:tmpl w:val="8A8ED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006591"/>
    <w:multiLevelType w:val="hybridMultilevel"/>
    <w:tmpl w:val="050CE2EE"/>
    <w:lvl w:ilvl="0" w:tplc="04090001">
      <w:start w:val="1"/>
      <w:numFmt w:val="bullet"/>
      <w:lvlText w:val=""/>
      <w:lvlJc w:val="left"/>
      <w:pPr>
        <w:ind w:left="720" w:hanging="360"/>
      </w:pPr>
      <w:rPr>
        <w:rFonts w:ascii="Symbol" w:hAnsi="Symbol" w:hint="default"/>
      </w:rPr>
    </w:lvl>
    <w:lvl w:ilvl="1" w:tplc="35986F92">
      <w:start w:val="1"/>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9165B"/>
    <w:multiLevelType w:val="hybridMultilevel"/>
    <w:tmpl w:val="477A7B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64697E"/>
    <w:multiLevelType w:val="hybridMultilevel"/>
    <w:tmpl w:val="92D214E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20383C"/>
    <w:multiLevelType w:val="hybridMultilevel"/>
    <w:tmpl w:val="CE0C20F8"/>
    <w:lvl w:ilvl="0" w:tplc="35986F92">
      <w:start w:val="1"/>
      <w:numFmt w:val="bullet"/>
      <w:lvlText w:val="-"/>
      <w:lvlJc w:val="left"/>
      <w:pPr>
        <w:ind w:left="720" w:hanging="360"/>
      </w:pPr>
      <w:rPr>
        <w:rFonts w:ascii="Calibri" w:eastAsiaTheme="minorEastAsia" w:hAnsi="Calibri" w:cs="Calibri" w:hint="default"/>
      </w:rPr>
    </w:lvl>
    <w:lvl w:ilvl="1" w:tplc="35986F92">
      <w:start w:val="1"/>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F52983"/>
    <w:multiLevelType w:val="hybridMultilevel"/>
    <w:tmpl w:val="612A2622"/>
    <w:lvl w:ilvl="0" w:tplc="04090001">
      <w:start w:val="1"/>
      <w:numFmt w:val="bullet"/>
      <w:lvlText w:val=""/>
      <w:lvlJc w:val="left"/>
      <w:pPr>
        <w:ind w:left="720" w:hanging="360"/>
      </w:pPr>
      <w:rPr>
        <w:rFonts w:ascii="Symbol" w:hAnsi="Symbol" w:hint="default"/>
      </w:rPr>
    </w:lvl>
    <w:lvl w:ilvl="1" w:tplc="35986F92">
      <w:start w:val="1"/>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A70DF1"/>
    <w:multiLevelType w:val="hybridMultilevel"/>
    <w:tmpl w:val="018471B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A20E37"/>
    <w:multiLevelType w:val="hybridMultilevel"/>
    <w:tmpl w:val="0DCC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D93E89"/>
    <w:multiLevelType w:val="hybridMultilevel"/>
    <w:tmpl w:val="8C563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DE02B60"/>
    <w:multiLevelType w:val="hybridMultilevel"/>
    <w:tmpl w:val="203AB0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DF43431"/>
    <w:multiLevelType w:val="hybridMultilevel"/>
    <w:tmpl w:val="05C00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71169C"/>
    <w:multiLevelType w:val="hybridMultilevel"/>
    <w:tmpl w:val="0ACC77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B7627D"/>
    <w:multiLevelType w:val="hybridMultilevel"/>
    <w:tmpl w:val="7548D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895A6D"/>
    <w:multiLevelType w:val="hybridMultilevel"/>
    <w:tmpl w:val="B9EE8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F11316"/>
    <w:multiLevelType w:val="hybridMultilevel"/>
    <w:tmpl w:val="B816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074E1B"/>
    <w:multiLevelType w:val="hybridMultilevel"/>
    <w:tmpl w:val="2FF66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A7574D"/>
    <w:multiLevelType w:val="hybridMultilevel"/>
    <w:tmpl w:val="537A0A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38C6AA3"/>
    <w:multiLevelType w:val="hybridMultilevel"/>
    <w:tmpl w:val="82E63E42"/>
    <w:lvl w:ilvl="0" w:tplc="04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48D6090"/>
    <w:multiLevelType w:val="hybridMultilevel"/>
    <w:tmpl w:val="A08C9CE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506E2F"/>
    <w:multiLevelType w:val="hybridMultilevel"/>
    <w:tmpl w:val="8FC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C7D7101"/>
    <w:multiLevelType w:val="multilevel"/>
    <w:tmpl w:val="F9DE6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B74EE8"/>
    <w:multiLevelType w:val="hybridMultilevel"/>
    <w:tmpl w:val="D2C2E1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37960CC"/>
    <w:multiLevelType w:val="hybridMultilevel"/>
    <w:tmpl w:val="8A7C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940287"/>
    <w:multiLevelType w:val="hybridMultilevel"/>
    <w:tmpl w:val="471422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7809B6"/>
    <w:multiLevelType w:val="hybridMultilevel"/>
    <w:tmpl w:val="9886F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04837DD"/>
    <w:multiLevelType w:val="hybridMultilevel"/>
    <w:tmpl w:val="022A5000"/>
    <w:lvl w:ilvl="0" w:tplc="04090001">
      <w:start w:val="1"/>
      <w:numFmt w:val="bullet"/>
      <w:lvlText w:val=""/>
      <w:lvlJc w:val="left"/>
      <w:pPr>
        <w:ind w:left="360" w:hanging="360"/>
      </w:pPr>
      <w:rPr>
        <w:rFonts w:ascii="Symbol" w:hAnsi="Symbol" w:hint="default"/>
      </w:rPr>
    </w:lvl>
    <w:lvl w:ilvl="1" w:tplc="35986F92">
      <w:start w:val="1"/>
      <w:numFmt w:val="bullet"/>
      <w:lvlText w:val="-"/>
      <w:lvlJc w:val="left"/>
      <w:pPr>
        <w:ind w:left="1080" w:hanging="360"/>
      </w:pPr>
      <w:rPr>
        <w:rFonts w:ascii="Calibri" w:eastAsiaTheme="minorEastAsia"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1F33CA9"/>
    <w:multiLevelType w:val="hybridMultilevel"/>
    <w:tmpl w:val="5F941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7B36F2"/>
    <w:multiLevelType w:val="hybridMultilevel"/>
    <w:tmpl w:val="79866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362646"/>
    <w:multiLevelType w:val="hybridMultilevel"/>
    <w:tmpl w:val="1298CC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7">
    <w:nsid w:val="7931167E"/>
    <w:multiLevelType w:val="hybridMultilevel"/>
    <w:tmpl w:val="E2B84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1D0FEE"/>
    <w:multiLevelType w:val="hybridMultilevel"/>
    <w:tmpl w:val="FCE20D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9438C6"/>
    <w:multiLevelType w:val="hybridMultilevel"/>
    <w:tmpl w:val="BD32999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29"/>
  </w:num>
  <w:num w:numId="3">
    <w:abstractNumId w:val="18"/>
  </w:num>
  <w:num w:numId="4">
    <w:abstractNumId w:val="24"/>
  </w:num>
  <w:num w:numId="5">
    <w:abstractNumId w:val="30"/>
  </w:num>
  <w:num w:numId="6">
    <w:abstractNumId w:val="10"/>
  </w:num>
  <w:num w:numId="7">
    <w:abstractNumId w:val="5"/>
  </w:num>
  <w:num w:numId="8">
    <w:abstractNumId w:val="25"/>
  </w:num>
  <w:num w:numId="9">
    <w:abstractNumId w:val="38"/>
  </w:num>
  <w:num w:numId="10">
    <w:abstractNumId w:val="22"/>
  </w:num>
  <w:num w:numId="11">
    <w:abstractNumId w:val="15"/>
  </w:num>
  <w:num w:numId="12">
    <w:abstractNumId w:val="9"/>
  </w:num>
  <w:num w:numId="13">
    <w:abstractNumId w:val="36"/>
  </w:num>
  <w:num w:numId="14">
    <w:abstractNumId w:val="33"/>
  </w:num>
  <w:num w:numId="15">
    <w:abstractNumId w:val="8"/>
  </w:num>
  <w:num w:numId="16">
    <w:abstractNumId w:val="32"/>
  </w:num>
  <w:num w:numId="17">
    <w:abstractNumId w:val="6"/>
  </w:num>
  <w:num w:numId="18">
    <w:abstractNumId w:val="0"/>
  </w:num>
  <w:num w:numId="19">
    <w:abstractNumId w:val="7"/>
  </w:num>
  <w:num w:numId="20">
    <w:abstractNumId w:val="16"/>
  </w:num>
  <w:num w:numId="21">
    <w:abstractNumId w:val="27"/>
  </w:num>
  <w:num w:numId="22">
    <w:abstractNumId w:val="23"/>
  </w:num>
  <w:num w:numId="23">
    <w:abstractNumId w:val="21"/>
  </w:num>
  <w:num w:numId="24">
    <w:abstractNumId w:val="13"/>
  </w:num>
  <w:num w:numId="25">
    <w:abstractNumId w:val="19"/>
  </w:num>
  <w:num w:numId="26">
    <w:abstractNumId w:val="26"/>
  </w:num>
  <w:num w:numId="27">
    <w:abstractNumId w:val="31"/>
  </w:num>
  <w:num w:numId="28">
    <w:abstractNumId w:val="2"/>
  </w:num>
  <w:num w:numId="29">
    <w:abstractNumId w:val="12"/>
  </w:num>
  <w:num w:numId="30">
    <w:abstractNumId w:val="4"/>
  </w:num>
  <w:num w:numId="31">
    <w:abstractNumId w:val="11"/>
  </w:num>
  <w:num w:numId="32">
    <w:abstractNumId w:val="35"/>
  </w:num>
  <w:num w:numId="33">
    <w:abstractNumId w:val="37"/>
  </w:num>
  <w:num w:numId="34">
    <w:abstractNumId w:val="34"/>
  </w:num>
  <w:num w:numId="35">
    <w:abstractNumId w:val="3"/>
  </w:num>
  <w:num w:numId="36">
    <w:abstractNumId w:val="28"/>
  </w:num>
  <w:num w:numId="37">
    <w:abstractNumId w:val="14"/>
  </w:num>
  <w:num w:numId="38">
    <w:abstractNumId w:val="17"/>
  </w:num>
  <w:num w:numId="39">
    <w:abstractNumId w:val="39"/>
  </w:num>
  <w:num w:numId="40">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5B"/>
    <w:rsid w:val="00007242"/>
    <w:rsid w:val="0001524B"/>
    <w:rsid w:val="00015455"/>
    <w:rsid w:val="000225AB"/>
    <w:rsid w:val="00024056"/>
    <w:rsid w:val="00031CF7"/>
    <w:rsid w:val="00053D06"/>
    <w:rsid w:val="00056CEC"/>
    <w:rsid w:val="00057E99"/>
    <w:rsid w:val="00057FEA"/>
    <w:rsid w:val="00060BC9"/>
    <w:rsid w:val="000618EE"/>
    <w:rsid w:val="000625BF"/>
    <w:rsid w:val="00064C76"/>
    <w:rsid w:val="00067B96"/>
    <w:rsid w:val="00072EBA"/>
    <w:rsid w:val="0007592C"/>
    <w:rsid w:val="00077DD3"/>
    <w:rsid w:val="00083092"/>
    <w:rsid w:val="00084BC0"/>
    <w:rsid w:val="00095687"/>
    <w:rsid w:val="000A1A96"/>
    <w:rsid w:val="000A1E04"/>
    <w:rsid w:val="000A208D"/>
    <w:rsid w:val="000A367A"/>
    <w:rsid w:val="000A691B"/>
    <w:rsid w:val="000A72C9"/>
    <w:rsid w:val="000A7F24"/>
    <w:rsid w:val="000B1A12"/>
    <w:rsid w:val="000B2F8B"/>
    <w:rsid w:val="000B7414"/>
    <w:rsid w:val="000C4282"/>
    <w:rsid w:val="000C4ED0"/>
    <w:rsid w:val="000C6EE0"/>
    <w:rsid w:val="000C7AB7"/>
    <w:rsid w:val="000D2C35"/>
    <w:rsid w:val="000D4D1F"/>
    <w:rsid w:val="000E2FDC"/>
    <w:rsid w:val="001040A9"/>
    <w:rsid w:val="001111F2"/>
    <w:rsid w:val="00125190"/>
    <w:rsid w:val="001315D1"/>
    <w:rsid w:val="001336F8"/>
    <w:rsid w:val="00136B9C"/>
    <w:rsid w:val="00146977"/>
    <w:rsid w:val="00151DE1"/>
    <w:rsid w:val="001560D5"/>
    <w:rsid w:val="00170597"/>
    <w:rsid w:val="001746D2"/>
    <w:rsid w:val="001A3D9D"/>
    <w:rsid w:val="001B30E9"/>
    <w:rsid w:val="001B7486"/>
    <w:rsid w:val="001C564B"/>
    <w:rsid w:val="001C73EE"/>
    <w:rsid w:val="001D2B43"/>
    <w:rsid w:val="00200C4E"/>
    <w:rsid w:val="00203224"/>
    <w:rsid w:val="00203E27"/>
    <w:rsid w:val="00212451"/>
    <w:rsid w:val="002248E1"/>
    <w:rsid w:val="00225944"/>
    <w:rsid w:val="00226D29"/>
    <w:rsid w:val="00234BE5"/>
    <w:rsid w:val="002377F3"/>
    <w:rsid w:val="002447BF"/>
    <w:rsid w:val="00246568"/>
    <w:rsid w:val="00265793"/>
    <w:rsid w:val="00267AE5"/>
    <w:rsid w:val="00272242"/>
    <w:rsid w:val="00285B53"/>
    <w:rsid w:val="00294566"/>
    <w:rsid w:val="002947C1"/>
    <w:rsid w:val="002955CE"/>
    <w:rsid w:val="0029582B"/>
    <w:rsid w:val="00295CCC"/>
    <w:rsid w:val="002A6D49"/>
    <w:rsid w:val="002B099F"/>
    <w:rsid w:val="002B3B8D"/>
    <w:rsid w:val="002B66E2"/>
    <w:rsid w:val="002C6632"/>
    <w:rsid w:val="002C791C"/>
    <w:rsid w:val="002E48A6"/>
    <w:rsid w:val="002E6D6C"/>
    <w:rsid w:val="002F0D9E"/>
    <w:rsid w:val="002F1211"/>
    <w:rsid w:val="002F1AD5"/>
    <w:rsid w:val="002F4E00"/>
    <w:rsid w:val="002F5667"/>
    <w:rsid w:val="00303A2A"/>
    <w:rsid w:val="00307BB1"/>
    <w:rsid w:val="00321DAD"/>
    <w:rsid w:val="00327B6E"/>
    <w:rsid w:val="00330167"/>
    <w:rsid w:val="00350FE3"/>
    <w:rsid w:val="0035257A"/>
    <w:rsid w:val="003615D0"/>
    <w:rsid w:val="003673F5"/>
    <w:rsid w:val="00370FAD"/>
    <w:rsid w:val="0038173D"/>
    <w:rsid w:val="00383236"/>
    <w:rsid w:val="00384982"/>
    <w:rsid w:val="003A1414"/>
    <w:rsid w:val="003A4183"/>
    <w:rsid w:val="003C4B4C"/>
    <w:rsid w:val="003C6C42"/>
    <w:rsid w:val="003D0EAD"/>
    <w:rsid w:val="003D13CA"/>
    <w:rsid w:val="003D7F01"/>
    <w:rsid w:val="003E1BFD"/>
    <w:rsid w:val="003E39E8"/>
    <w:rsid w:val="0040125A"/>
    <w:rsid w:val="00414130"/>
    <w:rsid w:val="004214AE"/>
    <w:rsid w:val="00426D86"/>
    <w:rsid w:val="00426E41"/>
    <w:rsid w:val="00427F14"/>
    <w:rsid w:val="004301C0"/>
    <w:rsid w:val="00441CE0"/>
    <w:rsid w:val="004421F1"/>
    <w:rsid w:val="00442DA6"/>
    <w:rsid w:val="00444DB8"/>
    <w:rsid w:val="00447DEC"/>
    <w:rsid w:val="00451BBE"/>
    <w:rsid w:val="00451F16"/>
    <w:rsid w:val="004664D3"/>
    <w:rsid w:val="004667EE"/>
    <w:rsid w:val="0047243D"/>
    <w:rsid w:val="00487E39"/>
    <w:rsid w:val="00490CA8"/>
    <w:rsid w:val="004A3F50"/>
    <w:rsid w:val="004A6D12"/>
    <w:rsid w:val="004B4BDD"/>
    <w:rsid w:val="004B5F24"/>
    <w:rsid w:val="004C44EE"/>
    <w:rsid w:val="004C7034"/>
    <w:rsid w:val="004D0188"/>
    <w:rsid w:val="004D2091"/>
    <w:rsid w:val="004E39FB"/>
    <w:rsid w:val="004E46BB"/>
    <w:rsid w:val="004E5059"/>
    <w:rsid w:val="004F198A"/>
    <w:rsid w:val="005011D2"/>
    <w:rsid w:val="00502743"/>
    <w:rsid w:val="0050394C"/>
    <w:rsid w:val="005058B4"/>
    <w:rsid w:val="005473C9"/>
    <w:rsid w:val="005476D3"/>
    <w:rsid w:val="0055283F"/>
    <w:rsid w:val="00555DD4"/>
    <w:rsid w:val="00557C04"/>
    <w:rsid w:val="00565EEF"/>
    <w:rsid w:val="00573492"/>
    <w:rsid w:val="0057614B"/>
    <w:rsid w:val="00576ED0"/>
    <w:rsid w:val="00576EE6"/>
    <w:rsid w:val="00577874"/>
    <w:rsid w:val="00577A36"/>
    <w:rsid w:val="00591442"/>
    <w:rsid w:val="005938D8"/>
    <w:rsid w:val="00597A17"/>
    <w:rsid w:val="005A1E44"/>
    <w:rsid w:val="005A5898"/>
    <w:rsid w:val="005B7A76"/>
    <w:rsid w:val="005D4140"/>
    <w:rsid w:val="005D6FF4"/>
    <w:rsid w:val="005E0C6E"/>
    <w:rsid w:val="005E31A0"/>
    <w:rsid w:val="005E6E85"/>
    <w:rsid w:val="005E6F6F"/>
    <w:rsid w:val="005F0351"/>
    <w:rsid w:val="005F280E"/>
    <w:rsid w:val="005F431B"/>
    <w:rsid w:val="00610FC7"/>
    <w:rsid w:val="006223B0"/>
    <w:rsid w:val="00636971"/>
    <w:rsid w:val="00651965"/>
    <w:rsid w:val="006564E7"/>
    <w:rsid w:val="0066330B"/>
    <w:rsid w:val="00676A7F"/>
    <w:rsid w:val="006826B1"/>
    <w:rsid w:val="00683155"/>
    <w:rsid w:val="006923BE"/>
    <w:rsid w:val="006972E2"/>
    <w:rsid w:val="006A2617"/>
    <w:rsid w:val="006A3B98"/>
    <w:rsid w:val="006B0ABE"/>
    <w:rsid w:val="006B27AE"/>
    <w:rsid w:val="006B75E7"/>
    <w:rsid w:val="006C0208"/>
    <w:rsid w:val="006D42F7"/>
    <w:rsid w:val="006D5578"/>
    <w:rsid w:val="006D73DE"/>
    <w:rsid w:val="006F0578"/>
    <w:rsid w:val="007002FE"/>
    <w:rsid w:val="0070387D"/>
    <w:rsid w:val="00706BF1"/>
    <w:rsid w:val="00706C25"/>
    <w:rsid w:val="00710A34"/>
    <w:rsid w:val="00711321"/>
    <w:rsid w:val="007173D5"/>
    <w:rsid w:val="00730412"/>
    <w:rsid w:val="00730FDF"/>
    <w:rsid w:val="007310EB"/>
    <w:rsid w:val="007318A7"/>
    <w:rsid w:val="00743DA7"/>
    <w:rsid w:val="007459B1"/>
    <w:rsid w:val="00752F77"/>
    <w:rsid w:val="00756C37"/>
    <w:rsid w:val="007638DB"/>
    <w:rsid w:val="0076506E"/>
    <w:rsid w:val="0077406E"/>
    <w:rsid w:val="007866DB"/>
    <w:rsid w:val="00786E6C"/>
    <w:rsid w:val="00795CFB"/>
    <w:rsid w:val="007A10A2"/>
    <w:rsid w:val="007A58EF"/>
    <w:rsid w:val="007C7499"/>
    <w:rsid w:val="007D45BD"/>
    <w:rsid w:val="007E1700"/>
    <w:rsid w:val="007E60F7"/>
    <w:rsid w:val="007F7614"/>
    <w:rsid w:val="00807601"/>
    <w:rsid w:val="0081775E"/>
    <w:rsid w:val="00820B15"/>
    <w:rsid w:val="00822D9E"/>
    <w:rsid w:val="00835212"/>
    <w:rsid w:val="008428C8"/>
    <w:rsid w:val="00851DA8"/>
    <w:rsid w:val="00855DFE"/>
    <w:rsid w:val="00856496"/>
    <w:rsid w:val="00860641"/>
    <w:rsid w:val="0086522B"/>
    <w:rsid w:val="0087751C"/>
    <w:rsid w:val="00882D8D"/>
    <w:rsid w:val="00887B43"/>
    <w:rsid w:val="00893CC4"/>
    <w:rsid w:val="008B1985"/>
    <w:rsid w:val="008B355B"/>
    <w:rsid w:val="008B687F"/>
    <w:rsid w:val="008B7496"/>
    <w:rsid w:val="008D013A"/>
    <w:rsid w:val="008D0478"/>
    <w:rsid w:val="008D1889"/>
    <w:rsid w:val="008D2669"/>
    <w:rsid w:val="008E293A"/>
    <w:rsid w:val="008E3125"/>
    <w:rsid w:val="008E7EEE"/>
    <w:rsid w:val="00902112"/>
    <w:rsid w:val="00904C65"/>
    <w:rsid w:val="00904CFA"/>
    <w:rsid w:val="00921245"/>
    <w:rsid w:val="009267AA"/>
    <w:rsid w:val="009302C3"/>
    <w:rsid w:val="00932BDF"/>
    <w:rsid w:val="00942768"/>
    <w:rsid w:val="00944B21"/>
    <w:rsid w:val="0094611E"/>
    <w:rsid w:val="00946748"/>
    <w:rsid w:val="009505E7"/>
    <w:rsid w:val="00951C67"/>
    <w:rsid w:val="00954444"/>
    <w:rsid w:val="00970472"/>
    <w:rsid w:val="009751C1"/>
    <w:rsid w:val="00980C30"/>
    <w:rsid w:val="009820EF"/>
    <w:rsid w:val="009A03F2"/>
    <w:rsid w:val="009A05E0"/>
    <w:rsid w:val="009A3DAB"/>
    <w:rsid w:val="009A75FF"/>
    <w:rsid w:val="009B5AB4"/>
    <w:rsid w:val="009D36B5"/>
    <w:rsid w:val="009D670C"/>
    <w:rsid w:val="009F24F8"/>
    <w:rsid w:val="009F3170"/>
    <w:rsid w:val="00A0050B"/>
    <w:rsid w:val="00A012F4"/>
    <w:rsid w:val="00A06044"/>
    <w:rsid w:val="00A13435"/>
    <w:rsid w:val="00A15C56"/>
    <w:rsid w:val="00A15C82"/>
    <w:rsid w:val="00A173A4"/>
    <w:rsid w:val="00A17A25"/>
    <w:rsid w:val="00A24E66"/>
    <w:rsid w:val="00A32491"/>
    <w:rsid w:val="00A33D2C"/>
    <w:rsid w:val="00A4030E"/>
    <w:rsid w:val="00A415DF"/>
    <w:rsid w:val="00A501D6"/>
    <w:rsid w:val="00A545B3"/>
    <w:rsid w:val="00A547C1"/>
    <w:rsid w:val="00A57E46"/>
    <w:rsid w:val="00A71A32"/>
    <w:rsid w:val="00A7245D"/>
    <w:rsid w:val="00A73188"/>
    <w:rsid w:val="00A73C1E"/>
    <w:rsid w:val="00A82609"/>
    <w:rsid w:val="00A94017"/>
    <w:rsid w:val="00A948EC"/>
    <w:rsid w:val="00A94CD7"/>
    <w:rsid w:val="00A950E5"/>
    <w:rsid w:val="00A952F0"/>
    <w:rsid w:val="00AA0D3C"/>
    <w:rsid w:val="00AA31E7"/>
    <w:rsid w:val="00AA3E0A"/>
    <w:rsid w:val="00AB54FF"/>
    <w:rsid w:val="00AB5F17"/>
    <w:rsid w:val="00AB767B"/>
    <w:rsid w:val="00AC21E2"/>
    <w:rsid w:val="00AD19F7"/>
    <w:rsid w:val="00AD2F1B"/>
    <w:rsid w:val="00AD3724"/>
    <w:rsid w:val="00AD7848"/>
    <w:rsid w:val="00AE054F"/>
    <w:rsid w:val="00AE0D03"/>
    <w:rsid w:val="00AE0DA8"/>
    <w:rsid w:val="00AE4FBF"/>
    <w:rsid w:val="00AF3A81"/>
    <w:rsid w:val="00AF6B56"/>
    <w:rsid w:val="00B0118C"/>
    <w:rsid w:val="00B05BB3"/>
    <w:rsid w:val="00B14D78"/>
    <w:rsid w:val="00B160AE"/>
    <w:rsid w:val="00B16F79"/>
    <w:rsid w:val="00B21680"/>
    <w:rsid w:val="00B2497F"/>
    <w:rsid w:val="00B270EB"/>
    <w:rsid w:val="00B32D4F"/>
    <w:rsid w:val="00B33ED0"/>
    <w:rsid w:val="00B359EA"/>
    <w:rsid w:val="00B45DCF"/>
    <w:rsid w:val="00B51014"/>
    <w:rsid w:val="00B54279"/>
    <w:rsid w:val="00B569CF"/>
    <w:rsid w:val="00B57EFB"/>
    <w:rsid w:val="00B63356"/>
    <w:rsid w:val="00B64E66"/>
    <w:rsid w:val="00B731EF"/>
    <w:rsid w:val="00B9222F"/>
    <w:rsid w:val="00BB07AE"/>
    <w:rsid w:val="00BB26A9"/>
    <w:rsid w:val="00BB2ABC"/>
    <w:rsid w:val="00BC4DD6"/>
    <w:rsid w:val="00BC5C24"/>
    <w:rsid w:val="00BD1DEE"/>
    <w:rsid w:val="00BD2901"/>
    <w:rsid w:val="00BD46D3"/>
    <w:rsid w:val="00BD7EBB"/>
    <w:rsid w:val="00BF3B90"/>
    <w:rsid w:val="00C02F00"/>
    <w:rsid w:val="00C03679"/>
    <w:rsid w:val="00C04180"/>
    <w:rsid w:val="00C06D8D"/>
    <w:rsid w:val="00C12818"/>
    <w:rsid w:val="00C21227"/>
    <w:rsid w:val="00C226A4"/>
    <w:rsid w:val="00C24D07"/>
    <w:rsid w:val="00C325A5"/>
    <w:rsid w:val="00C538EB"/>
    <w:rsid w:val="00C74948"/>
    <w:rsid w:val="00C75605"/>
    <w:rsid w:val="00C77324"/>
    <w:rsid w:val="00C818F7"/>
    <w:rsid w:val="00C81C0E"/>
    <w:rsid w:val="00C912CC"/>
    <w:rsid w:val="00C9195E"/>
    <w:rsid w:val="00CA0D49"/>
    <w:rsid w:val="00CA358A"/>
    <w:rsid w:val="00CA4E4C"/>
    <w:rsid w:val="00CA57F2"/>
    <w:rsid w:val="00CA5DA0"/>
    <w:rsid w:val="00CB3808"/>
    <w:rsid w:val="00CB64D6"/>
    <w:rsid w:val="00CC6DC0"/>
    <w:rsid w:val="00CD25A8"/>
    <w:rsid w:val="00CD307D"/>
    <w:rsid w:val="00CF0082"/>
    <w:rsid w:val="00CF7BCB"/>
    <w:rsid w:val="00D11A4F"/>
    <w:rsid w:val="00D11B8C"/>
    <w:rsid w:val="00D15451"/>
    <w:rsid w:val="00D21157"/>
    <w:rsid w:val="00D24957"/>
    <w:rsid w:val="00D25100"/>
    <w:rsid w:val="00D3011F"/>
    <w:rsid w:val="00D33DD2"/>
    <w:rsid w:val="00D42718"/>
    <w:rsid w:val="00D46410"/>
    <w:rsid w:val="00D55268"/>
    <w:rsid w:val="00D57301"/>
    <w:rsid w:val="00D64B9E"/>
    <w:rsid w:val="00D66C2B"/>
    <w:rsid w:val="00D7048E"/>
    <w:rsid w:val="00D71AB9"/>
    <w:rsid w:val="00D83F2A"/>
    <w:rsid w:val="00DA23EF"/>
    <w:rsid w:val="00DA7985"/>
    <w:rsid w:val="00DB5131"/>
    <w:rsid w:val="00DC639E"/>
    <w:rsid w:val="00DD351C"/>
    <w:rsid w:val="00DE0C90"/>
    <w:rsid w:val="00DE36FD"/>
    <w:rsid w:val="00DF1BD8"/>
    <w:rsid w:val="00DF5533"/>
    <w:rsid w:val="00E30C05"/>
    <w:rsid w:val="00E31849"/>
    <w:rsid w:val="00E360A0"/>
    <w:rsid w:val="00E402D3"/>
    <w:rsid w:val="00E417D3"/>
    <w:rsid w:val="00E425AB"/>
    <w:rsid w:val="00E462E2"/>
    <w:rsid w:val="00E508F4"/>
    <w:rsid w:val="00E551BB"/>
    <w:rsid w:val="00E62873"/>
    <w:rsid w:val="00E62B8D"/>
    <w:rsid w:val="00E62D27"/>
    <w:rsid w:val="00E676E9"/>
    <w:rsid w:val="00E70D4C"/>
    <w:rsid w:val="00E7397C"/>
    <w:rsid w:val="00E77353"/>
    <w:rsid w:val="00E82A86"/>
    <w:rsid w:val="00E8581E"/>
    <w:rsid w:val="00E85DCD"/>
    <w:rsid w:val="00E8701C"/>
    <w:rsid w:val="00E9281C"/>
    <w:rsid w:val="00E95DB4"/>
    <w:rsid w:val="00EA7D43"/>
    <w:rsid w:val="00EC677C"/>
    <w:rsid w:val="00EE01C7"/>
    <w:rsid w:val="00EF410B"/>
    <w:rsid w:val="00EF76F5"/>
    <w:rsid w:val="00F02521"/>
    <w:rsid w:val="00F25025"/>
    <w:rsid w:val="00F279E6"/>
    <w:rsid w:val="00F322DE"/>
    <w:rsid w:val="00F45DFE"/>
    <w:rsid w:val="00F505AD"/>
    <w:rsid w:val="00F51252"/>
    <w:rsid w:val="00F51AE7"/>
    <w:rsid w:val="00F625A6"/>
    <w:rsid w:val="00F668FF"/>
    <w:rsid w:val="00F866C5"/>
    <w:rsid w:val="00FA4579"/>
    <w:rsid w:val="00FB60A2"/>
    <w:rsid w:val="00FB6CFC"/>
    <w:rsid w:val="00FC40DD"/>
    <w:rsid w:val="00FC75D7"/>
    <w:rsid w:val="00FD17FD"/>
    <w:rsid w:val="00FD38F5"/>
    <w:rsid w:val="00FD4E85"/>
    <w:rsid w:val="00FD5A58"/>
    <w:rsid w:val="00FE188D"/>
    <w:rsid w:val="00FE29B3"/>
    <w:rsid w:val="00FE2AC5"/>
    <w:rsid w:val="00FE70E2"/>
    <w:rsid w:val="00FF3503"/>
    <w:rsid w:val="00FF4187"/>
    <w:rsid w:val="00FF4F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C33F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791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F6B56"/>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932B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F6B5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55B"/>
    <w:pPr>
      <w:ind w:left="720"/>
      <w:contextualSpacing/>
    </w:pPr>
  </w:style>
  <w:style w:type="character" w:customStyle="1" w:styleId="Heading2Char">
    <w:name w:val="Heading 2 Char"/>
    <w:basedOn w:val="DefaultParagraphFont"/>
    <w:link w:val="Heading2"/>
    <w:uiPriority w:val="9"/>
    <w:rsid w:val="00AF6B56"/>
    <w:rPr>
      <w:rFonts w:ascii="Times" w:hAnsi="Times"/>
      <w:b/>
      <w:bCs/>
      <w:sz w:val="36"/>
      <w:szCs w:val="36"/>
    </w:rPr>
  </w:style>
  <w:style w:type="character" w:customStyle="1" w:styleId="Heading4Char">
    <w:name w:val="Heading 4 Char"/>
    <w:basedOn w:val="DefaultParagraphFont"/>
    <w:link w:val="Heading4"/>
    <w:uiPriority w:val="9"/>
    <w:rsid w:val="00AF6B56"/>
    <w:rPr>
      <w:rFonts w:ascii="Times" w:hAnsi="Times"/>
      <w:b/>
      <w:bCs/>
    </w:rPr>
  </w:style>
  <w:style w:type="character" w:styleId="Hyperlink">
    <w:name w:val="Hyperlink"/>
    <w:basedOn w:val="DefaultParagraphFont"/>
    <w:uiPriority w:val="99"/>
    <w:unhideWhenUsed/>
    <w:rsid w:val="00AF6B56"/>
    <w:rPr>
      <w:color w:val="0000FF"/>
      <w:u w:val="single"/>
    </w:rPr>
  </w:style>
  <w:style w:type="paragraph" w:styleId="NormalWeb">
    <w:name w:val="Normal (Web)"/>
    <w:basedOn w:val="Normal"/>
    <w:uiPriority w:val="99"/>
    <w:unhideWhenUsed/>
    <w:rsid w:val="00AF6B56"/>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0A1E04"/>
    <w:rPr>
      <w:sz w:val="16"/>
      <w:szCs w:val="16"/>
    </w:rPr>
  </w:style>
  <w:style w:type="paragraph" w:styleId="CommentText">
    <w:name w:val="annotation text"/>
    <w:basedOn w:val="Normal"/>
    <w:link w:val="CommentTextChar"/>
    <w:uiPriority w:val="99"/>
    <w:semiHidden/>
    <w:unhideWhenUsed/>
    <w:rsid w:val="000A1E04"/>
    <w:rPr>
      <w:sz w:val="20"/>
      <w:szCs w:val="20"/>
    </w:rPr>
  </w:style>
  <w:style w:type="character" w:customStyle="1" w:styleId="CommentTextChar">
    <w:name w:val="Comment Text Char"/>
    <w:basedOn w:val="DefaultParagraphFont"/>
    <w:link w:val="CommentText"/>
    <w:uiPriority w:val="99"/>
    <w:semiHidden/>
    <w:rsid w:val="000A1E04"/>
    <w:rPr>
      <w:sz w:val="20"/>
      <w:szCs w:val="20"/>
    </w:rPr>
  </w:style>
  <w:style w:type="paragraph" w:styleId="CommentSubject">
    <w:name w:val="annotation subject"/>
    <w:basedOn w:val="CommentText"/>
    <w:next w:val="CommentText"/>
    <w:link w:val="CommentSubjectChar"/>
    <w:uiPriority w:val="99"/>
    <w:semiHidden/>
    <w:unhideWhenUsed/>
    <w:rsid w:val="000A1E04"/>
    <w:rPr>
      <w:b/>
      <w:bCs/>
    </w:rPr>
  </w:style>
  <w:style w:type="character" w:customStyle="1" w:styleId="CommentSubjectChar">
    <w:name w:val="Comment Subject Char"/>
    <w:basedOn w:val="CommentTextChar"/>
    <w:link w:val="CommentSubject"/>
    <w:uiPriority w:val="99"/>
    <w:semiHidden/>
    <w:rsid w:val="000A1E04"/>
    <w:rPr>
      <w:b/>
      <w:bCs/>
      <w:sz w:val="20"/>
      <w:szCs w:val="20"/>
    </w:rPr>
  </w:style>
  <w:style w:type="paragraph" w:styleId="BalloonText">
    <w:name w:val="Balloon Text"/>
    <w:basedOn w:val="Normal"/>
    <w:link w:val="BalloonTextChar"/>
    <w:uiPriority w:val="99"/>
    <w:semiHidden/>
    <w:unhideWhenUsed/>
    <w:rsid w:val="000A1E04"/>
    <w:rPr>
      <w:rFonts w:ascii="Tahoma" w:hAnsi="Tahoma" w:cs="Tahoma"/>
      <w:sz w:val="16"/>
      <w:szCs w:val="16"/>
    </w:rPr>
  </w:style>
  <w:style w:type="character" w:customStyle="1" w:styleId="BalloonTextChar">
    <w:name w:val="Balloon Text Char"/>
    <w:basedOn w:val="DefaultParagraphFont"/>
    <w:link w:val="BalloonText"/>
    <w:uiPriority w:val="99"/>
    <w:semiHidden/>
    <w:rsid w:val="000A1E04"/>
    <w:rPr>
      <w:rFonts w:ascii="Tahoma" w:hAnsi="Tahoma" w:cs="Tahoma"/>
      <w:sz w:val="16"/>
      <w:szCs w:val="16"/>
    </w:rPr>
  </w:style>
  <w:style w:type="table" w:styleId="TableGrid">
    <w:name w:val="Table Grid"/>
    <w:basedOn w:val="TableNormal"/>
    <w:uiPriority w:val="59"/>
    <w:rsid w:val="00EE01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33ED0"/>
  </w:style>
  <w:style w:type="paragraph" w:styleId="Header">
    <w:name w:val="header"/>
    <w:basedOn w:val="Normal"/>
    <w:link w:val="HeaderChar"/>
    <w:uiPriority w:val="99"/>
    <w:unhideWhenUsed/>
    <w:rsid w:val="00951C67"/>
    <w:pPr>
      <w:tabs>
        <w:tab w:val="center" w:pos="4320"/>
        <w:tab w:val="right" w:pos="8640"/>
      </w:tabs>
    </w:pPr>
  </w:style>
  <w:style w:type="character" w:customStyle="1" w:styleId="HeaderChar">
    <w:name w:val="Header Char"/>
    <w:basedOn w:val="DefaultParagraphFont"/>
    <w:link w:val="Header"/>
    <w:uiPriority w:val="99"/>
    <w:rsid w:val="00951C67"/>
  </w:style>
  <w:style w:type="paragraph" w:styleId="Footer">
    <w:name w:val="footer"/>
    <w:basedOn w:val="Normal"/>
    <w:link w:val="FooterChar"/>
    <w:uiPriority w:val="99"/>
    <w:unhideWhenUsed/>
    <w:rsid w:val="00951C67"/>
    <w:pPr>
      <w:tabs>
        <w:tab w:val="center" w:pos="4320"/>
        <w:tab w:val="right" w:pos="8640"/>
      </w:tabs>
    </w:pPr>
  </w:style>
  <w:style w:type="character" w:customStyle="1" w:styleId="FooterChar">
    <w:name w:val="Footer Char"/>
    <w:basedOn w:val="DefaultParagraphFont"/>
    <w:link w:val="Footer"/>
    <w:uiPriority w:val="99"/>
    <w:rsid w:val="00951C67"/>
  </w:style>
  <w:style w:type="paragraph" w:styleId="Title">
    <w:name w:val="Title"/>
    <w:aliases w:val="title"/>
    <w:basedOn w:val="Normal"/>
    <w:link w:val="TitleChar"/>
    <w:uiPriority w:val="10"/>
    <w:qFormat/>
    <w:rsid w:val="002C791C"/>
    <w:pPr>
      <w:spacing w:before="100" w:beforeAutospacing="1" w:after="100" w:afterAutospacing="1"/>
    </w:pPr>
    <w:rPr>
      <w:rFonts w:ascii="Times" w:hAnsi="Times"/>
      <w:sz w:val="20"/>
      <w:szCs w:val="20"/>
    </w:rPr>
  </w:style>
  <w:style w:type="character" w:customStyle="1" w:styleId="TitleChar">
    <w:name w:val="Title Char"/>
    <w:aliases w:val="title Char"/>
    <w:basedOn w:val="DefaultParagraphFont"/>
    <w:link w:val="Title"/>
    <w:uiPriority w:val="10"/>
    <w:rsid w:val="002C791C"/>
    <w:rPr>
      <w:rFonts w:ascii="Times" w:hAnsi="Times"/>
      <w:sz w:val="20"/>
      <w:szCs w:val="20"/>
    </w:rPr>
  </w:style>
  <w:style w:type="paragraph" w:customStyle="1" w:styleId="desc">
    <w:name w:val="desc"/>
    <w:basedOn w:val="Normal"/>
    <w:rsid w:val="002C791C"/>
    <w:pPr>
      <w:spacing w:before="100" w:beforeAutospacing="1" w:after="100" w:afterAutospacing="1"/>
    </w:pPr>
    <w:rPr>
      <w:rFonts w:ascii="Times" w:hAnsi="Times"/>
      <w:sz w:val="20"/>
      <w:szCs w:val="20"/>
    </w:rPr>
  </w:style>
  <w:style w:type="paragraph" w:customStyle="1" w:styleId="details">
    <w:name w:val="details"/>
    <w:basedOn w:val="Normal"/>
    <w:rsid w:val="002C791C"/>
    <w:pPr>
      <w:spacing w:before="100" w:beforeAutospacing="1" w:after="100" w:afterAutospacing="1"/>
    </w:pPr>
    <w:rPr>
      <w:rFonts w:ascii="Times" w:hAnsi="Times"/>
      <w:sz w:val="20"/>
      <w:szCs w:val="20"/>
    </w:rPr>
  </w:style>
  <w:style w:type="character" w:customStyle="1" w:styleId="jrnl">
    <w:name w:val="jrnl"/>
    <w:basedOn w:val="DefaultParagraphFont"/>
    <w:rsid w:val="002C791C"/>
  </w:style>
  <w:style w:type="character" w:customStyle="1" w:styleId="Heading1Char">
    <w:name w:val="Heading 1 Char"/>
    <w:basedOn w:val="DefaultParagraphFont"/>
    <w:link w:val="Heading1"/>
    <w:uiPriority w:val="9"/>
    <w:rsid w:val="002C791C"/>
    <w:rPr>
      <w:rFonts w:ascii="Times" w:hAnsi="Times"/>
      <w:b/>
      <w:bCs/>
      <w:kern w:val="36"/>
      <w:sz w:val="48"/>
      <w:szCs w:val="48"/>
    </w:rPr>
  </w:style>
  <w:style w:type="character" w:customStyle="1" w:styleId="highlight">
    <w:name w:val="highlight"/>
    <w:basedOn w:val="DefaultParagraphFont"/>
    <w:rsid w:val="002C791C"/>
  </w:style>
  <w:style w:type="character" w:customStyle="1" w:styleId="Heading3Char">
    <w:name w:val="Heading 3 Char"/>
    <w:basedOn w:val="DefaultParagraphFont"/>
    <w:link w:val="Heading3"/>
    <w:uiPriority w:val="9"/>
    <w:rsid w:val="00932BDF"/>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3C4B4C"/>
  </w:style>
  <w:style w:type="paragraph" w:customStyle="1" w:styleId="para">
    <w:name w:val="para"/>
    <w:basedOn w:val="Normal"/>
    <w:rsid w:val="00B160AE"/>
    <w:pPr>
      <w:spacing w:before="100" w:beforeAutospacing="1" w:after="100" w:afterAutospacing="1"/>
    </w:pPr>
    <w:rPr>
      <w:rFonts w:ascii="Times New Roman" w:eastAsia="Times New Roman" w:hAnsi="Times New Roman" w:cs="Times New Roman"/>
    </w:rPr>
  </w:style>
  <w:style w:type="character" w:customStyle="1" w:styleId="b">
    <w:name w:val="b"/>
    <w:basedOn w:val="DefaultParagraphFont"/>
    <w:rsid w:val="00B160AE"/>
  </w:style>
  <w:style w:type="character" w:customStyle="1" w:styleId="override-xref-content-element">
    <w:name w:val="override-xref-content-element"/>
    <w:basedOn w:val="DefaultParagraphFont"/>
    <w:rsid w:val="00B160AE"/>
  </w:style>
  <w:style w:type="paragraph" w:styleId="TOCHeading">
    <w:name w:val="TOC Heading"/>
    <w:basedOn w:val="Heading1"/>
    <w:next w:val="Normal"/>
    <w:uiPriority w:val="39"/>
    <w:semiHidden/>
    <w:unhideWhenUsed/>
    <w:qFormat/>
    <w:rsid w:val="00200C4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3">
    <w:name w:val="toc 3"/>
    <w:basedOn w:val="Normal"/>
    <w:next w:val="Normal"/>
    <w:autoRedefine/>
    <w:uiPriority w:val="39"/>
    <w:unhideWhenUsed/>
    <w:qFormat/>
    <w:rsid w:val="00200C4E"/>
    <w:pPr>
      <w:spacing w:after="100"/>
      <w:ind w:left="480"/>
    </w:pPr>
  </w:style>
  <w:style w:type="paragraph" w:styleId="TOC2">
    <w:name w:val="toc 2"/>
    <w:basedOn w:val="Normal"/>
    <w:next w:val="Normal"/>
    <w:autoRedefine/>
    <w:uiPriority w:val="39"/>
    <w:unhideWhenUsed/>
    <w:qFormat/>
    <w:rsid w:val="00200C4E"/>
    <w:pPr>
      <w:spacing w:after="100" w:line="276" w:lineRule="auto"/>
      <w:ind w:left="220"/>
    </w:pPr>
    <w:rPr>
      <w:sz w:val="22"/>
      <w:szCs w:val="22"/>
      <w:lang w:eastAsia="ja-JP"/>
    </w:rPr>
  </w:style>
  <w:style w:type="paragraph" w:styleId="TOC1">
    <w:name w:val="toc 1"/>
    <w:basedOn w:val="Normal"/>
    <w:next w:val="Normal"/>
    <w:autoRedefine/>
    <w:uiPriority w:val="39"/>
    <w:unhideWhenUsed/>
    <w:qFormat/>
    <w:rsid w:val="00200C4E"/>
    <w:pPr>
      <w:spacing w:after="100" w:line="276" w:lineRule="auto"/>
    </w:pPr>
    <w:rPr>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791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F6B56"/>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932B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F6B5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55B"/>
    <w:pPr>
      <w:ind w:left="720"/>
      <w:contextualSpacing/>
    </w:pPr>
  </w:style>
  <w:style w:type="character" w:customStyle="1" w:styleId="Heading2Char">
    <w:name w:val="Heading 2 Char"/>
    <w:basedOn w:val="DefaultParagraphFont"/>
    <w:link w:val="Heading2"/>
    <w:uiPriority w:val="9"/>
    <w:rsid w:val="00AF6B56"/>
    <w:rPr>
      <w:rFonts w:ascii="Times" w:hAnsi="Times"/>
      <w:b/>
      <w:bCs/>
      <w:sz w:val="36"/>
      <w:szCs w:val="36"/>
    </w:rPr>
  </w:style>
  <w:style w:type="character" w:customStyle="1" w:styleId="Heading4Char">
    <w:name w:val="Heading 4 Char"/>
    <w:basedOn w:val="DefaultParagraphFont"/>
    <w:link w:val="Heading4"/>
    <w:uiPriority w:val="9"/>
    <w:rsid w:val="00AF6B56"/>
    <w:rPr>
      <w:rFonts w:ascii="Times" w:hAnsi="Times"/>
      <w:b/>
      <w:bCs/>
    </w:rPr>
  </w:style>
  <w:style w:type="character" w:styleId="Hyperlink">
    <w:name w:val="Hyperlink"/>
    <w:basedOn w:val="DefaultParagraphFont"/>
    <w:uiPriority w:val="99"/>
    <w:unhideWhenUsed/>
    <w:rsid w:val="00AF6B56"/>
    <w:rPr>
      <w:color w:val="0000FF"/>
      <w:u w:val="single"/>
    </w:rPr>
  </w:style>
  <w:style w:type="paragraph" w:styleId="NormalWeb">
    <w:name w:val="Normal (Web)"/>
    <w:basedOn w:val="Normal"/>
    <w:uiPriority w:val="99"/>
    <w:unhideWhenUsed/>
    <w:rsid w:val="00AF6B56"/>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0A1E04"/>
    <w:rPr>
      <w:sz w:val="16"/>
      <w:szCs w:val="16"/>
    </w:rPr>
  </w:style>
  <w:style w:type="paragraph" w:styleId="CommentText">
    <w:name w:val="annotation text"/>
    <w:basedOn w:val="Normal"/>
    <w:link w:val="CommentTextChar"/>
    <w:uiPriority w:val="99"/>
    <w:semiHidden/>
    <w:unhideWhenUsed/>
    <w:rsid w:val="000A1E04"/>
    <w:rPr>
      <w:sz w:val="20"/>
      <w:szCs w:val="20"/>
    </w:rPr>
  </w:style>
  <w:style w:type="character" w:customStyle="1" w:styleId="CommentTextChar">
    <w:name w:val="Comment Text Char"/>
    <w:basedOn w:val="DefaultParagraphFont"/>
    <w:link w:val="CommentText"/>
    <w:uiPriority w:val="99"/>
    <w:semiHidden/>
    <w:rsid w:val="000A1E04"/>
    <w:rPr>
      <w:sz w:val="20"/>
      <w:szCs w:val="20"/>
    </w:rPr>
  </w:style>
  <w:style w:type="paragraph" w:styleId="CommentSubject">
    <w:name w:val="annotation subject"/>
    <w:basedOn w:val="CommentText"/>
    <w:next w:val="CommentText"/>
    <w:link w:val="CommentSubjectChar"/>
    <w:uiPriority w:val="99"/>
    <w:semiHidden/>
    <w:unhideWhenUsed/>
    <w:rsid w:val="000A1E04"/>
    <w:rPr>
      <w:b/>
      <w:bCs/>
    </w:rPr>
  </w:style>
  <w:style w:type="character" w:customStyle="1" w:styleId="CommentSubjectChar">
    <w:name w:val="Comment Subject Char"/>
    <w:basedOn w:val="CommentTextChar"/>
    <w:link w:val="CommentSubject"/>
    <w:uiPriority w:val="99"/>
    <w:semiHidden/>
    <w:rsid w:val="000A1E04"/>
    <w:rPr>
      <w:b/>
      <w:bCs/>
      <w:sz w:val="20"/>
      <w:szCs w:val="20"/>
    </w:rPr>
  </w:style>
  <w:style w:type="paragraph" w:styleId="BalloonText">
    <w:name w:val="Balloon Text"/>
    <w:basedOn w:val="Normal"/>
    <w:link w:val="BalloonTextChar"/>
    <w:uiPriority w:val="99"/>
    <w:semiHidden/>
    <w:unhideWhenUsed/>
    <w:rsid w:val="000A1E04"/>
    <w:rPr>
      <w:rFonts w:ascii="Tahoma" w:hAnsi="Tahoma" w:cs="Tahoma"/>
      <w:sz w:val="16"/>
      <w:szCs w:val="16"/>
    </w:rPr>
  </w:style>
  <w:style w:type="character" w:customStyle="1" w:styleId="BalloonTextChar">
    <w:name w:val="Balloon Text Char"/>
    <w:basedOn w:val="DefaultParagraphFont"/>
    <w:link w:val="BalloonText"/>
    <w:uiPriority w:val="99"/>
    <w:semiHidden/>
    <w:rsid w:val="000A1E04"/>
    <w:rPr>
      <w:rFonts w:ascii="Tahoma" w:hAnsi="Tahoma" w:cs="Tahoma"/>
      <w:sz w:val="16"/>
      <w:szCs w:val="16"/>
    </w:rPr>
  </w:style>
  <w:style w:type="table" w:styleId="TableGrid">
    <w:name w:val="Table Grid"/>
    <w:basedOn w:val="TableNormal"/>
    <w:uiPriority w:val="59"/>
    <w:rsid w:val="00EE01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33ED0"/>
  </w:style>
  <w:style w:type="paragraph" w:styleId="Header">
    <w:name w:val="header"/>
    <w:basedOn w:val="Normal"/>
    <w:link w:val="HeaderChar"/>
    <w:uiPriority w:val="99"/>
    <w:unhideWhenUsed/>
    <w:rsid w:val="00951C67"/>
    <w:pPr>
      <w:tabs>
        <w:tab w:val="center" w:pos="4320"/>
        <w:tab w:val="right" w:pos="8640"/>
      </w:tabs>
    </w:pPr>
  </w:style>
  <w:style w:type="character" w:customStyle="1" w:styleId="HeaderChar">
    <w:name w:val="Header Char"/>
    <w:basedOn w:val="DefaultParagraphFont"/>
    <w:link w:val="Header"/>
    <w:uiPriority w:val="99"/>
    <w:rsid w:val="00951C67"/>
  </w:style>
  <w:style w:type="paragraph" w:styleId="Footer">
    <w:name w:val="footer"/>
    <w:basedOn w:val="Normal"/>
    <w:link w:val="FooterChar"/>
    <w:uiPriority w:val="99"/>
    <w:unhideWhenUsed/>
    <w:rsid w:val="00951C67"/>
    <w:pPr>
      <w:tabs>
        <w:tab w:val="center" w:pos="4320"/>
        <w:tab w:val="right" w:pos="8640"/>
      </w:tabs>
    </w:pPr>
  </w:style>
  <w:style w:type="character" w:customStyle="1" w:styleId="FooterChar">
    <w:name w:val="Footer Char"/>
    <w:basedOn w:val="DefaultParagraphFont"/>
    <w:link w:val="Footer"/>
    <w:uiPriority w:val="99"/>
    <w:rsid w:val="00951C67"/>
  </w:style>
  <w:style w:type="paragraph" w:styleId="Title">
    <w:name w:val="Title"/>
    <w:aliases w:val="title"/>
    <w:basedOn w:val="Normal"/>
    <w:link w:val="TitleChar"/>
    <w:uiPriority w:val="10"/>
    <w:qFormat/>
    <w:rsid w:val="002C791C"/>
    <w:pPr>
      <w:spacing w:before="100" w:beforeAutospacing="1" w:after="100" w:afterAutospacing="1"/>
    </w:pPr>
    <w:rPr>
      <w:rFonts w:ascii="Times" w:hAnsi="Times"/>
      <w:sz w:val="20"/>
      <w:szCs w:val="20"/>
    </w:rPr>
  </w:style>
  <w:style w:type="character" w:customStyle="1" w:styleId="TitleChar">
    <w:name w:val="Title Char"/>
    <w:aliases w:val="title Char"/>
    <w:basedOn w:val="DefaultParagraphFont"/>
    <w:link w:val="Title"/>
    <w:uiPriority w:val="10"/>
    <w:rsid w:val="002C791C"/>
    <w:rPr>
      <w:rFonts w:ascii="Times" w:hAnsi="Times"/>
      <w:sz w:val="20"/>
      <w:szCs w:val="20"/>
    </w:rPr>
  </w:style>
  <w:style w:type="paragraph" w:customStyle="1" w:styleId="desc">
    <w:name w:val="desc"/>
    <w:basedOn w:val="Normal"/>
    <w:rsid w:val="002C791C"/>
    <w:pPr>
      <w:spacing w:before="100" w:beforeAutospacing="1" w:after="100" w:afterAutospacing="1"/>
    </w:pPr>
    <w:rPr>
      <w:rFonts w:ascii="Times" w:hAnsi="Times"/>
      <w:sz w:val="20"/>
      <w:szCs w:val="20"/>
    </w:rPr>
  </w:style>
  <w:style w:type="paragraph" w:customStyle="1" w:styleId="details">
    <w:name w:val="details"/>
    <w:basedOn w:val="Normal"/>
    <w:rsid w:val="002C791C"/>
    <w:pPr>
      <w:spacing w:before="100" w:beforeAutospacing="1" w:after="100" w:afterAutospacing="1"/>
    </w:pPr>
    <w:rPr>
      <w:rFonts w:ascii="Times" w:hAnsi="Times"/>
      <w:sz w:val="20"/>
      <w:szCs w:val="20"/>
    </w:rPr>
  </w:style>
  <w:style w:type="character" w:customStyle="1" w:styleId="jrnl">
    <w:name w:val="jrnl"/>
    <w:basedOn w:val="DefaultParagraphFont"/>
    <w:rsid w:val="002C791C"/>
  </w:style>
  <w:style w:type="character" w:customStyle="1" w:styleId="Heading1Char">
    <w:name w:val="Heading 1 Char"/>
    <w:basedOn w:val="DefaultParagraphFont"/>
    <w:link w:val="Heading1"/>
    <w:uiPriority w:val="9"/>
    <w:rsid w:val="002C791C"/>
    <w:rPr>
      <w:rFonts w:ascii="Times" w:hAnsi="Times"/>
      <w:b/>
      <w:bCs/>
      <w:kern w:val="36"/>
      <w:sz w:val="48"/>
      <w:szCs w:val="48"/>
    </w:rPr>
  </w:style>
  <w:style w:type="character" w:customStyle="1" w:styleId="highlight">
    <w:name w:val="highlight"/>
    <w:basedOn w:val="DefaultParagraphFont"/>
    <w:rsid w:val="002C791C"/>
  </w:style>
  <w:style w:type="character" w:customStyle="1" w:styleId="Heading3Char">
    <w:name w:val="Heading 3 Char"/>
    <w:basedOn w:val="DefaultParagraphFont"/>
    <w:link w:val="Heading3"/>
    <w:uiPriority w:val="9"/>
    <w:rsid w:val="00932BDF"/>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3C4B4C"/>
  </w:style>
  <w:style w:type="paragraph" w:customStyle="1" w:styleId="para">
    <w:name w:val="para"/>
    <w:basedOn w:val="Normal"/>
    <w:rsid w:val="00B160AE"/>
    <w:pPr>
      <w:spacing w:before="100" w:beforeAutospacing="1" w:after="100" w:afterAutospacing="1"/>
    </w:pPr>
    <w:rPr>
      <w:rFonts w:ascii="Times New Roman" w:eastAsia="Times New Roman" w:hAnsi="Times New Roman" w:cs="Times New Roman"/>
    </w:rPr>
  </w:style>
  <w:style w:type="character" w:customStyle="1" w:styleId="b">
    <w:name w:val="b"/>
    <w:basedOn w:val="DefaultParagraphFont"/>
    <w:rsid w:val="00B160AE"/>
  </w:style>
  <w:style w:type="character" w:customStyle="1" w:styleId="override-xref-content-element">
    <w:name w:val="override-xref-content-element"/>
    <w:basedOn w:val="DefaultParagraphFont"/>
    <w:rsid w:val="00B160AE"/>
  </w:style>
  <w:style w:type="paragraph" w:styleId="TOCHeading">
    <w:name w:val="TOC Heading"/>
    <w:basedOn w:val="Heading1"/>
    <w:next w:val="Normal"/>
    <w:uiPriority w:val="39"/>
    <w:semiHidden/>
    <w:unhideWhenUsed/>
    <w:qFormat/>
    <w:rsid w:val="00200C4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3">
    <w:name w:val="toc 3"/>
    <w:basedOn w:val="Normal"/>
    <w:next w:val="Normal"/>
    <w:autoRedefine/>
    <w:uiPriority w:val="39"/>
    <w:unhideWhenUsed/>
    <w:qFormat/>
    <w:rsid w:val="00200C4E"/>
    <w:pPr>
      <w:spacing w:after="100"/>
      <w:ind w:left="480"/>
    </w:pPr>
  </w:style>
  <w:style w:type="paragraph" w:styleId="TOC2">
    <w:name w:val="toc 2"/>
    <w:basedOn w:val="Normal"/>
    <w:next w:val="Normal"/>
    <w:autoRedefine/>
    <w:uiPriority w:val="39"/>
    <w:unhideWhenUsed/>
    <w:qFormat/>
    <w:rsid w:val="00200C4E"/>
    <w:pPr>
      <w:spacing w:after="100" w:line="276" w:lineRule="auto"/>
      <w:ind w:left="220"/>
    </w:pPr>
    <w:rPr>
      <w:sz w:val="22"/>
      <w:szCs w:val="22"/>
      <w:lang w:eastAsia="ja-JP"/>
    </w:rPr>
  </w:style>
  <w:style w:type="paragraph" w:styleId="TOC1">
    <w:name w:val="toc 1"/>
    <w:basedOn w:val="Normal"/>
    <w:next w:val="Normal"/>
    <w:autoRedefine/>
    <w:uiPriority w:val="39"/>
    <w:unhideWhenUsed/>
    <w:qFormat/>
    <w:rsid w:val="00200C4E"/>
    <w:pPr>
      <w:spacing w:after="100" w:line="276" w:lineRule="auto"/>
    </w:pPr>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6059">
      <w:bodyDiv w:val="1"/>
      <w:marLeft w:val="0"/>
      <w:marRight w:val="0"/>
      <w:marTop w:val="0"/>
      <w:marBottom w:val="0"/>
      <w:divBdr>
        <w:top w:val="none" w:sz="0" w:space="0" w:color="auto"/>
        <w:left w:val="none" w:sz="0" w:space="0" w:color="auto"/>
        <w:bottom w:val="none" w:sz="0" w:space="0" w:color="auto"/>
        <w:right w:val="none" w:sz="0" w:space="0" w:color="auto"/>
      </w:divBdr>
    </w:div>
    <w:div w:id="100103780">
      <w:bodyDiv w:val="1"/>
      <w:marLeft w:val="0"/>
      <w:marRight w:val="0"/>
      <w:marTop w:val="0"/>
      <w:marBottom w:val="0"/>
      <w:divBdr>
        <w:top w:val="none" w:sz="0" w:space="0" w:color="auto"/>
        <w:left w:val="none" w:sz="0" w:space="0" w:color="auto"/>
        <w:bottom w:val="none" w:sz="0" w:space="0" w:color="auto"/>
        <w:right w:val="none" w:sz="0" w:space="0" w:color="auto"/>
      </w:divBdr>
      <w:divsChild>
        <w:div w:id="1742559533">
          <w:marLeft w:val="0"/>
          <w:marRight w:val="0"/>
          <w:marTop w:val="0"/>
          <w:marBottom w:val="0"/>
          <w:divBdr>
            <w:top w:val="none" w:sz="0" w:space="0" w:color="auto"/>
            <w:left w:val="none" w:sz="0" w:space="0" w:color="auto"/>
            <w:bottom w:val="none" w:sz="0" w:space="0" w:color="auto"/>
            <w:right w:val="none" w:sz="0" w:space="0" w:color="auto"/>
          </w:divBdr>
        </w:div>
        <w:div w:id="2049990763">
          <w:marLeft w:val="0"/>
          <w:marRight w:val="0"/>
          <w:marTop w:val="0"/>
          <w:marBottom w:val="0"/>
          <w:divBdr>
            <w:top w:val="none" w:sz="0" w:space="0" w:color="auto"/>
            <w:left w:val="none" w:sz="0" w:space="0" w:color="auto"/>
            <w:bottom w:val="none" w:sz="0" w:space="0" w:color="auto"/>
            <w:right w:val="none" w:sz="0" w:space="0" w:color="auto"/>
          </w:divBdr>
          <w:divsChild>
            <w:div w:id="10083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45672">
      <w:bodyDiv w:val="1"/>
      <w:marLeft w:val="0"/>
      <w:marRight w:val="0"/>
      <w:marTop w:val="0"/>
      <w:marBottom w:val="0"/>
      <w:divBdr>
        <w:top w:val="none" w:sz="0" w:space="0" w:color="auto"/>
        <w:left w:val="none" w:sz="0" w:space="0" w:color="auto"/>
        <w:bottom w:val="none" w:sz="0" w:space="0" w:color="auto"/>
        <w:right w:val="none" w:sz="0" w:space="0" w:color="auto"/>
      </w:divBdr>
      <w:divsChild>
        <w:div w:id="170141409">
          <w:marLeft w:val="0"/>
          <w:marRight w:val="0"/>
          <w:marTop w:val="0"/>
          <w:marBottom w:val="0"/>
          <w:divBdr>
            <w:top w:val="none" w:sz="0" w:space="0" w:color="auto"/>
            <w:left w:val="none" w:sz="0" w:space="0" w:color="auto"/>
            <w:bottom w:val="none" w:sz="0" w:space="0" w:color="auto"/>
            <w:right w:val="none" w:sz="0" w:space="0" w:color="auto"/>
          </w:divBdr>
          <w:divsChild>
            <w:div w:id="2069304305">
              <w:marLeft w:val="0"/>
              <w:marRight w:val="0"/>
              <w:marTop w:val="0"/>
              <w:marBottom w:val="0"/>
              <w:divBdr>
                <w:top w:val="none" w:sz="0" w:space="0" w:color="auto"/>
                <w:left w:val="none" w:sz="0" w:space="0" w:color="auto"/>
                <w:bottom w:val="none" w:sz="0" w:space="0" w:color="auto"/>
                <w:right w:val="none" w:sz="0" w:space="0" w:color="auto"/>
              </w:divBdr>
              <w:divsChild>
                <w:div w:id="1624143727">
                  <w:marLeft w:val="0"/>
                  <w:marRight w:val="0"/>
                  <w:marTop w:val="0"/>
                  <w:marBottom w:val="0"/>
                  <w:divBdr>
                    <w:top w:val="none" w:sz="0" w:space="0" w:color="auto"/>
                    <w:left w:val="none" w:sz="0" w:space="0" w:color="auto"/>
                    <w:bottom w:val="none" w:sz="0" w:space="0" w:color="auto"/>
                    <w:right w:val="none" w:sz="0" w:space="0" w:color="auto"/>
                  </w:divBdr>
                  <w:divsChild>
                    <w:div w:id="2086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443664">
      <w:bodyDiv w:val="1"/>
      <w:marLeft w:val="0"/>
      <w:marRight w:val="0"/>
      <w:marTop w:val="0"/>
      <w:marBottom w:val="0"/>
      <w:divBdr>
        <w:top w:val="none" w:sz="0" w:space="0" w:color="auto"/>
        <w:left w:val="none" w:sz="0" w:space="0" w:color="auto"/>
        <w:bottom w:val="none" w:sz="0" w:space="0" w:color="auto"/>
        <w:right w:val="none" w:sz="0" w:space="0" w:color="auto"/>
      </w:divBdr>
      <w:divsChild>
        <w:div w:id="1638099783">
          <w:marLeft w:val="0"/>
          <w:marRight w:val="0"/>
          <w:marTop w:val="0"/>
          <w:marBottom w:val="0"/>
          <w:divBdr>
            <w:top w:val="none" w:sz="0" w:space="0" w:color="auto"/>
            <w:left w:val="none" w:sz="0" w:space="0" w:color="auto"/>
            <w:bottom w:val="none" w:sz="0" w:space="0" w:color="auto"/>
            <w:right w:val="none" w:sz="0" w:space="0" w:color="auto"/>
          </w:divBdr>
          <w:divsChild>
            <w:div w:id="1836069193">
              <w:marLeft w:val="0"/>
              <w:marRight w:val="0"/>
              <w:marTop w:val="0"/>
              <w:marBottom w:val="0"/>
              <w:divBdr>
                <w:top w:val="none" w:sz="0" w:space="0" w:color="auto"/>
                <w:left w:val="none" w:sz="0" w:space="0" w:color="auto"/>
                <w:bottom w:val="none" w:sz="0" w:space="0" w:color="auto"/>
                <w:right w:val="none" w:sz="0" w:space="0" w:color="auto"/>
              </w:divBdr>
              <w:divsChild>
                <w:div w:id="778063270">
                  <w:marLeft w:val="0"/>
                  <w:marRight w:val="0"/>
                  <w:marTop w:val="0"/>
                  <w:marBottom w:val="0"/>
                  <w:divBdr>
                    <w:top w:val="none" w:sz="0" w:space="0" w:color="auto"/>
                    <w:left w:val="none" w:sz="0" w:space="0" w:color="auto"/>
                    <w:bottom w:val="none" w:sz="0" w:space="0" w:color="auto"/>
                    <w:right w:val="none" w:sz="0" w:space="0" w:color="auto"/>
                  </w:divBdr>
                  <w:divsChild>
                    <w:div w:id="390202686">
                      <w:marLeft w:val="0"/>
                      <w:marRight w:val="0"/>
                      <w:marTop w:val="0"/>
                      <w:marBottom w:val="0"/>
                      <w:divBdr>
                        <w:top w:val="none" w:sz="0" w:space="0" w:color="auto"/>
                        <w:left w:val="none" w:sz="0" w:space="0" w:color="auto"/>
                        <w:bottom w:val="none" w:sz="0" w:space="0" w:color="auto"/>
                        <w:right w:val="none" w:sz="0" w:space="0" w:color="auto"/>
                      </w:divBdr>
                      <w:divsChild>
                        <w:div w:id="1875577260">
                          <w:marLeft w:val="0"/>
                          <w:marRight w:val="0"/>
                          <w:marTop w:val="0"/>
                          <w:marBottom w:val="0"/>
                          <w:divBdr>
                            <w:top w:val="none" w:sz="0" w:space="0" w:color="auto"/>
                            <w:left w:val="none" w:sz="0" w:space="0" w:color="auto"/>
                            <w:bottom w:val="none" w:sz="0" w:space="0" w:color="auto"/>
                            <w:right w:val="none" w:sz="0" w:space="0" w:color="auto"/>
                          </w:divBdr>
                          <w:divsChild>
                            <w:div w:id="19757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9219">
      <w:bodyDiv w:val="1"/>
      <w:marLeft w:val="0"/>
      <w:marRight w:val="0"/>
      <w:marTop w:val="0"/>
      <w:marBottom w:val="0"/>
      <w:divBdr>
        <w:top w:val="none" w:sz="0" w:space="0" w:color="auto"/>
        <w:left w:val="none" w:sz="0" w:space="0" w:color="auto"/>
        <w:bottom w:val="none" w:sz="0" w:space="0" w:color="auto"/>
        <w:right w:val="none" w:sz="0" w:space="0" w:color="auto"/>
      </w:divBdr>
      <w:divsChild>
        <w:div w:id="1857764951">
          <w:marLeft w:val="0"/>
          <w:marRight w:val="0"/>
          <w:marTop w:val="0"/>
          <w:marBottom w:val="0"/>
          <w:divBdr>
            <w:top w:val="none" w:sz="0" w:space="0" w:color="auto"/>
            <w:left w:val="none" w:sz="0" w:space="0" w:color="auto"/>
            <w:bottom w:val="none" w:sz="0" w:space="0" w:color="auto"/>
            <w:right w:val="none" w:sz="0" w:space="0" w:color="auto"/>
          </w:divBdr>
          <w:divsChild>
            <w:div w:id="408771940">
              <w:marLeft w:val="0"/>
              <w:marRight w:val="0"/>
              <w:marTop w:val="0"/>
              <w:marBottom w:val="0"/>
              <w:divBdr>
                <w:top w:val="none" w:sz="0" w:space="0" w:color="auto"/>
                <w:left w:val="none" w:sz="0" w:space="0" w:color="auto"/>
                <w:bottom w:val="none" w:sz="0" w:space="0" w:color="auto"/>
                <w:right w:val="none" w:sz="0" w:space="0" w:color="auto"/>
              </w:divBdr>
              <w:divsChild>
                <w:div w:id="1899391117">
                  <w:marLeft w:val="0"/>
                  <w:marRight w:val="0"/>
                  <w:marTop w:val="0"/>
                  <w:marBottom w:val="0"/>
                  <w:divBdr>
                    <w:top w:val="none" w:sz="0" w:space="0" w:color="auto"/>
                    <w:left w:val="none" w:sz="0" w:space="0" w:color="auto"/>
                    <w:bottom w:val="none" w:sz="0" w:space="0" w:color="auto"/>
                    <w:right w:val="none" w:sz="0" w:space="0" w:color="auto"/>
                  </w:divBdr>
                  <w:divsChild>
                    <w:div w:id="584077537">
                      <w:marLeft w:val="0"/>
                      <w:marRight w:val="0"/>
                      <w:marTop w:val="0"/>
                      <w:marBottom w:val="0"/>
                      <w:divBdr>
                        <w:top w:val="none" w:sz="0" w:space="0" w:color="auto"/>
                        <w:left w:val="none" w:sz="0" w:space="0" w:color="auto"/>
                        <w:bottom w:val="none" w:sz="0" w:space="0" w:color="auto"/>
                        <w:right w:val="none" w:sz="0" w:space="0" w:color="auto"/>
                      </w:divBdr>
                      <w:divsChild>
                        <w:div w:id="1447919596">
                          <w:marLeft w:val="0"/>
                          <w:marRight w:val="0"/>
                          <w:marTop w:val="0"/>
                          <w:marBottom w:val="0"/>
                          <w:divBdr>
                            <w:top w:val="none" w:sz="0" w:space="0" w:color="auto"/>
                            <w:left w:val="none" w:sz="0" w:space="0" w:color="auto"/>
                            <w:bottom w:val="none" w:sz="0" w:space="0" w:color="auto"/>
                            <w:right w:val="none" w:sz="0" w:space="0" w:color="auto"/>
                          </w:divBdr>
                          <w:divsChild>
                            <w:div w:id="100913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455">
      <w:bodyDiv w:val="1"/>
      <w:marLeft w:val="0"/>
      <w:marRight w:val="0"/>
      <w:marTop w:val="0"/>
      <w:marBottom w:val="0"/>
      <w:divBdr>
        <w:top w:val="none" w:sz="0" w:space="0" w:color="auto"/>
        <w:left w:val="none" w:sz="0" w:space="0" w:color="auto"/>
        <w:bottom w:val="none" w:sz="0" w:space="0" w:color="auto"/>
        <w:right w:val="none" w:sz="0" w:space="0" w:color="auto"/>
      </w:divBdr>
      <w:divsChild>
        <w:div w:id="481581297">
          <w:marLeft w:val="0"/>
          <w:marRight w:val="0"/>
          <w:marTop w:val="0"/>
          <w:marBottom w:val="0"/>
          <w:divBdr>
            <w:top w:val="none" w:sz="0" w:space="0" w:color="auto"/>
            <w:left w:val="none" w:sz="0" w:space="0" w:color="auto"/>
            <w:bottom w:val="none" w:sz="0" w:space="0" w:color="auto"/>
            <w:right w:val="none" w:sz="0" w:space="0" w:color="auto"/>
          </w:divBdr>
          <w:divsChild>
            <w:div w:id="33046336">
              <w:marLeft w:val="0"/>
              <w:marRight w:val="0"/>
              <w:marTop w:val="0"/>
              <w:marBottom w:val="0"/>
              <w:divBdr>
                <w:top w:val="none" w:sz="0" w:space="0" w:color="auto"/>
                <w:left w:val="none" w:sz="0" w:space="0" w:color="auto"/>
                <w:bottom w:val="none" w:sz="0" w:space="0" w:color="auto"/>
                <w:right w:val="none" w:sz="0" w:space="0" w:color="auto"/>
              </w:divBdr>
              <w:divsChild>
                <w:div w:id="1649437800">
                  <w:marLeft w:val="0"/>
                  <w:marRight w:val="0"/>
                  <w:marTop w:val="0"/>
                  <w:marBottom w:val="0"/>
                  <w:divBdr>
                    <w:top w:val="none" w:sz="0" w:space="0" w:color="auto"/>
                    <w:left w:val="none" w:sz="0" w:space="0" w:color="auto"/>
                    <w:bottom w:val="none" w:sz="0" w:space="0" w:color="auto"/>
                    <w:right w:val="none" w:sz="0" w:space="0" w:color="auto"/>
                  </w:divBdr>
                  <w:divsChild>
                    <w:div w:id="1048653186">
                      <w:marLeft w:val="0"/>
                      <w:marRight w:val="0"/>
                      <w:marTop w:val="0"/>
                      <w:marBottom w:val="0"/>
                      <w:divBdr>
                        <w:top w:val="none" w:sz="0" w:space="0" w:color="auto"/>
                        <w:left w:val="none" w:sz="0" w:space="0" w:color="auto"/>
                        <w:bottom w:val="none" w:sz="0" w:space="0" w:color="auto"/>
                        <w:right w:val="none" w:sz="0" w:space="0" w:color="auto"/>
                      </w:divBdr>
                    </w:div>
                    <w:div w:id="14956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79973">
      <w:bodyDiv w:val="1"/>
      <w:marLeft w:val="0"/>
      <w:marRight w:val="0"/>
      <w:marTop w:val="0"/>
      <w:marBottom w:val="0"/>
      <w:divBdr>
        <w:top w:val="none" w:sz="0" w:space="0" w:color="auto"/>
        <w:left w:val="none" w:sz="0" w:space="0" w:color="auto"/>
        <w:bottom w:val="none" w:sz="0" w:space="0" w:color="auto"/>
        <w:right w:val="none" w:sz="0" w:space="0" w:color="auto"/>
      </w:divBdr>
      <w:divsChild>
        <w:div w:id="503469894">
          <w:marLeft w:val="0"/>
          <w:marRight w:val="0"/>
          <w:marTop w:val="0"/>
          <w:marBottom w:val="0"/>
          <w:divBdr>
            <w:top w:val="none" w:sz="0" w:space="0" w:color="auto"/>
            <w:left w:val="none" w:sz="0" w:space="0" w:color="auto"/>
            <w:bottom w:val="none" w:sz="0" w:space="0" w:color="auto"/>
            <w:right w:val="none" w:sz="0" w:space="0" w:color="auto"/>
          </w:divBdr>
          <w:divsChild>
            <w:div w:id="1968201599">
              <w:marLeft w:val="0"/>
              <w:marRight w:val="0"/>
              <w:marTop w:val="0"/>
              <w:marBottom w:val="0"/>
              <w:divBdr>
                <w:top w:val="none" w:sz="0" w:space="0" w:color="auto"/>
                <w:left w:val="none" w:sz="0" w:space="0" w:color="auto"/>
                <w:bottom w:val="none" w:sz="0" w:space="0" w:color="auto"/>
                <w:right w:val="none" w:sz="0" w:space="0" w:color="auto"/>
              </w:divBdr>
              <w:divsChild>
                <w:div w:id="204953412">
                  <w:marLeft w:val="0"/>
                  <w:marRight w:val="0"/>
                  <w:marTop w:val="0"/>
                  <w:marBottom w:val="0"/>
                  <w:divBdr>
                    <w:top w:val="none" w:sz="0" w:space="0" w:color="auto"/>
                    <w:left w:val="none" w:sz="0" w:space="0" w:color="auto"/>
                    <w:bottom w:val="none" w:sz="0" w:space="0" w:color="auto"/>
                    <w:right w:val="none" w:sz="0" w:space="0" w:color="auto"/>
                  </w:divBdr>
                  <w:divsChild>
                    <w:div w:id="740715681">
                      <w:marLeft w:val="0"/>
                      <w:marRight w:val="0"/>
                      <w:marTop w:val="0"/>
                      <w:marBottom w:val="0"/>
                      <w:divBdr>
                        <w:top w:val="none" w:sz="0" w:space="0" w:color="auto"/>
                        <w:left w:val="none" w:sz="0" w:space="0" w:color="auto"/>
                        <w:bottom w:val="none" w:sz="0" w:space="0" w:color="auto"/>
                        <w:right w:val="none" w:sz="0" w:space="0" w:color="auto"/>
                      </w:divBdr>
                      <w:divsChild>
                        <w:div w:id="118959455">
                          <w:marLeft w:val="0"/>
                          <w:marRight w:val="0"/>
                          <w:marTop w:val="0"/>
                          <w:marBottom w:val="0"/>
                          <w:divBdr>
                            <w:top w:val="none" w:sz="0" w:space="0" w:color="auto"/>
                            <w:left w:val="none" w:sz="0" w:space="0" w:color="auto"/>
                            <w:bottom w:val="none" w:sz="0" w:space="0" w:color="auto"/>
                            <w:right w:val="none" w:sz="0" w:space="0" w:color="auto"/>
                          </w:divBdr>
                          <w:divsChild>
                            <w:div w:id="799299046">
                              <w:marLeft w:val="0"/>
                              <w:marRight w:val="0"/>
                              <w:marTop w:val="0"/>
                              <w:marBottom w:val="0"/>
                              <w:divBdr>
                                <w:top w:val="none" w:sz="0" w:space="0" w:color="auto"/>
                                <w:left w:val="none" w:sz="0" w:space="0" w:color="auto"/>
                                <w:bottom w:val="none" w:sz="0" w:space="0" w:color="auto"/>
                                <w:right w:val="none" w:sz="0" w:space="0" w:color="auto"/>
                              </w:divBdr>
                            </w:div>
                          </w:divsChild>
                        </w:div>
                        <w:div w:id="240674396">
                          <w:marLeft w:val="0"/>
                          <w:marRight w:val="0"/>
                          <w:marTop w:val="0"/>
                          <w:marBottom w:val="0"/>
                          <w:divBdr>
                            <w:top w:val="none" w:sz="0" w:space="0" w:color="auto"/>
                            <w:left w:val="none" w:sz="0" w:space="0" w:color="auto"/>
                            <w:bottom w:val="none" w:sz="0" w:space="0" w:color="auto"/>
                            <w:right w:val="none" w:sz="0" w:space="0" w:color="auto"/>
                          </w:divBdr>
                          <w:divsChild>
                            <w:div w:id="831946681">
                              <w:marLeft w:val="0"/>
                              <w:marRight w:val="0"/>
                              <w:marTop w:val="0"/>
                              <w:marBottom w:val="0"/>
                              <w:divBdr>
                                <w:top w:val="none" w:sz="0" w:space="0" w:color="auto"/>
                                <w:left w:val="none" w:sz="0" w:space="0" w:color="auto"/>
                                <w:bottom w:val="none" w:sz="0" w:space="0" w:color="auto"/>
                                <w:right w:val="none" w:sz="0" w:space="0" w:color="auto"/>
                              </w:divBdr>
                            </w:div>
                          </w:divsChild>
                        </w:div>
                        <w:div w:id="262686659">
                          <w:marLeft w:val="0"/>
                          <w:marRight w:val="0"/>
                          <w:marTop w:val="0"/>
                          <w:marBottom w:val="0"/>
                          <w:divBdr>
                            <w:top w:val="none" w:sz="0" w:space="0" w:color="auto"/>
                            <w:left w:val="none" w:sz="0" w:space="0" w:color="auto"/>
                            <w:bottom w:val="none" w:sz="0" w:space="0" w:color="auto"/>
                            <w:right w:val="none" w:sz="0" w:space="0" w:color="auto"/>
                          </w:divBdr>
                          <w:divsChild>
                            <w:div w:id="716050026">
                              <w:marLeft w:val="0"/>
                              <w:marRight w:val="0"/>
                              <w:marTop w:val="0"/>
                              <w:marBottom w:val="0"/>
                              <w:divBdr>
                                <w:top w:val="none" w:sz="0" w:space="0" w:color="auto"/>
                                <w:left w:val="none" w:sz="0" w:space="0" w:color="auto"/>
                                <w:bottom w:val="none" w:sz="0" w:space="0" w:color="auto"/>
                                <w:right w:val="none" w:sz="0" w:space="0" w:color="auto"/>
                              </w:divBdr>
                            </w:div>
                          </w:divsChild>
                        </w:div>
                        <w:div w:id="339358191">
                          <w:marLeft w:val="0"/>
                          <w:marRight w:val="0"/>
                          <w:marTop w:val="0"/>
                          <w:marBottom w:val="0"/>
                          <w:divBdr>
                            <w:top w:val="none" w:sz="0" w:space="0" w:color="auto"/>
                            <w:left w:val="none" w:sz="0" w:space="0" w:color="auto"/>
                            <w:bottom w:val="none" w:sz="0" w:space="0" w:color="auto"/>
                            <w:right w:val="none" w:sz="0" w:space="0" w:color="auto"/>
                          </w:divBdr>
                          <w:divsChild>
                            <w:div w:id="547913687">
                              <w:marLeft w:val="0"/>
                              <w:marRight w:val="0"/>
                              <w:marTop w:val="0"/>
                              <w:marBottom w:val="0"/>
                              <w:divBdr>
                                <w:top w:val="none" w:sz="0" w:space="0" w:color="auto"/>
                                <w:left w:val="none" w:sz="0" w:space="0" w:color="auto"/>
                                <w:bottom w:val="none" w:sz="0" w:space="0" w:color="auto"/>
                                <w:right w:val="none" w:sz="0" w:space="0" w:color="auto"/>
                              </w:divBdr>
                            </w:div>
                          </w:divsChild>
                        </w:div>
                        <w:div w:id="397828207">
                          <w:marLeft w:val="0"/>
                          <w:marRight w:val="0"/>
                          <w:marTop w:val="0"/>
                          <w:marBottom w:val="0"/>
                          <w:divBdr>
                            <w:top w:val="none" w:sz="0" w:space="0" w:color="auto"/>
                            <w:left w:val="none" w:sz="0" w:space="0" w:color="auto"/>
                            <w:bottom w:val="none" w:sz="0" w:space="0" w:color="auto"/>
                            <w:right w:val="none" w:sz="0" w:space="0" w:color="auto"/>
                          </w:divBdr>
                          <w:divsChild>
                            <w:div w:id="2141074866">
                              <w:marLeft w:val="0"/>
                              <w:marRight w:val="0"/>
                              <w:marTop w:val="0"/>
                              <w:marBottom w:val="0"/>
                              <w:divBdr>
                                <w:top w:val="none" w:sz="0" w:space="0" w:color="auto"/>
                                <w:left w:val="none" w:sz="0" w:space="0" w:color="auto"/>
                                <w:bottom w:val="none" w:sz="0" w:space="0" w:color="auto"/>
                                <w:right w:val="none" w:sz="0" w:space="0" w:color="auto"/>
                              </w:divBdr>
                            </w:div>
                          </w:divsChild>
                        </w:div>
                        <w:div w:id="1593003590">
                          <w:marLeft w:val="0"/>
                          <w:marRight w:val="0"/>
                          <w:marTop w:val="0"/>
                          <w:marBottom w:val="0"/>
                          <w:divBdr>
                            <w:top w:val="none" w:sz="0" w:space="0" w:color="auto"/>
                            <w:left w:val="none" w:sz="0" w:space="0" w:color="auto"/>
                            <w:bottom w:val="none" w:sz="0" w:space="0" w:color="auto"/>
                            <w:right w:val="none" w:sz="0" w:space="0" w:color="auto"/>
                          </w:divBdr>
                          <w:divsChild>
                            <w:div w:id="613755222">
                              <w:marLeft w:val="0"/>
                              <w:marRight w:val="0"/>
                              <w:marTop w:val="0"/>
                              <w:marBottom w:val="0"/>
                              <w:divBdr>
                                <w:top w:val="none" w:sz="0" w:space="0" w:color="auto"/>
                                <w:left w:val="none" w:sz="0" w:space="0" w:color="auto"/>
                                <w:bottom w:val="none" w:sz="0" w:space="0" w:color="auto"/>
                                <w:right w:val="none" w:sz="0" w:space="0" w:color="auto"/>
                              </w:divBdr>
                            </w:div>
                          </w:divsChild>
                        </w:div>
                        <w:div w:id="724643147">
                          <w:marLeft w:val="0"/>
                          <w:marRight w:val="0"/>
                          <w:marTop w:val="0"/>
                          <w:marBottom w:val="0"/>
                          <w:divBdr>
                            <w:top w:val="none" w:sz="0" w:space="0" w:color="auto"/>
                            <w:left w:val="none" w:sz="0" w:space="0" w:color="auto"/>
                            <w:bottom w:val="none" w:sz="0" w:space="0" w:color="auto"/>
                            <w:right w:val="none" w:sz="0" w:space="0" w:color="auto"/>
                          </w:divBdr>
                          <w:divsChild>
                            <w:div w:id="1994677399">
                              <w:marLeft w:val="0"/>
                              <w:marRight w:val="0"/>
                              <w:marTop w:val="0"/>
                              <w:marBottom w:val="0"/>
                              <w:divBdr>
                                <w:top w:val="none" w:sz="0" w:space="0" w:color="auto"/>
                                <w:left w:val="none" w:sz="0" w:space="0" w:color="auto"/>
                                <w:bottom w:val="none" w:sz="0" w:space="0" w:color="auto"/>
                                <w:right w:val="none" w:sz="0" w:space="0" w:color="auto"/>
                              </w:divBdr>
                            </w:div>
                          </w:divsChild>
                        </w:div>
                        <w:div w:id="1293099874">
                          <w:marLeft w:val="0"/>
                          <w:marRight w:val="0"/>
                          <w:marTop w:val="0"/>
                          <w:marBottom w:val="0"/>
                          <w:divBdr>
                            <w:top w:val="none" w:sz="0" w:space="0" w:color="auto"/>
                            <w:left w:val="none" w:sz="0" w:space="0" w:color="auto"/>
                            <w:bottom w:val="none" w:sz="0" w:space="0" w:color="auto"/>
                            <w:right w:val="none" w:sz="0" w:space="0" w:color="auto"/>
                          </w:divBdr>
                          <w:divsChild>
                            <w:div w:id="834031737">
                              <w:marLeft w:val="0"/>
                              <w:marRight w:val="0"/>
                              <w:marTop w:val="0"/>
                              <w:marBottom w:val="0"/>
                              <w:divBdr>
                                <w:top w:val="none" w:sz="0" w:space="0" w:color="auto"/>
                                <w:left w:val="none" w:sz="0" w:space="0" w:color="auto"/>
                                <w:bottom w:val="none" w:sz="0" w:space="0" w:color="auto"/>
                                <w:right w:val="none" w:sz="0" w:space="0" w:color="auto"/>
                              </w:divBdr>
                            </w:div>
                          </w:divsChild>
                        </w:div>
                        <w:div w:id="1258638959">
                          <w:marLeft w:val="0"/>
                          <w:marRight w:val="0"/>
                          <w:marTop w:val="0"/>
                          <w:marBottom w:val="0"/>
                          <w:divBdr>
                            <w:top w:val="none" w:sz="0" w:space="0" w:color="auto"/>
                            <w:left w:val="none" w:sz="0" w:space="0" w:color="auto"/>
                            <w:bottom w:val="none" w:sz="0" w:space="0" w:color="auto"/>
                            <w:right w:val="none" w:sz="0" w:space="0" w:color="auto"/>
                          </w:divBdr>
                        </w:div>
                        <w:div w:id="1470780201">
                          <w:marLeft w:val="0"/>
                          <w:marRight w:val="0"/>
                          <w:marTop w:val="0"/>
                          <w:marBottom w:val="0"/>
                          <w:divBdr>
                            <w:top w:val="none" w:sz="0" w:space="0" w:color="auto"/>
                            <w:left w:val="none" w:sz="0" w:space="0" w:color="auto"/>
                            <w:bottom w:val="none" w:sz="0" w:space="0" w:color="auto"/>
                            <w:right w:val="none" w:sz="0" w:space="0" w:color="auto"/>
                          </w:divBdr>
                          <w:divsChild>
                            <w:div w:id="18561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11640">
                      <w:marLeft w:val="0"/>
                      <w:marRight w:val="0"/>
                      <w:marTop w:val="0"/>
                      <w:marBottom w:val="0"/>
                      <w:divBdr>
                        <w:top w:val="none" w:sz="0" w:space="0" w:color="auto"/>
                        <w:left w:val="none" w:sz="0" w:space="0" w:color="auto"/>
                        <w:bottom w:val="none" w:sz="0" w:space="0" w:color="auto"/>
                        <w:right w:val="none" w:sz="0" w:space="0" w:color="auto"/>
                      </w:divBdr>
                      <w:divsChild>
                        <w:div w:id="1380086791">
                          <w:marLeft w:val="0"/>
                          <w:marRight w:val="0"/>
                          <w:marTop w:val="0"/>
                          <w:marBottom w:val="0"/>
                          <w:divBdr>
                            <w:top w:val="none" w:sz="0" w:space="0" w:color="auto"/>
                            <w:left w:val="none" w:sz="0" w:space="0" w:color="auto"/>
                            <w:bottom w:val="none" w:sz="0" w:space="0" w:color="auto"/>
                            <w:right w:val="none" w:sz="0" w:space="0" w:color="auto"/>
                          </w:divBdr>
                          <w:divsChild>
                            <w:div w:id="1377463298">
                              <w:marLeft w:val="0"/>
                              <w:marRight w:val="0"/>
                              <w:marTop w:val="0"/>
                              <w:marBottom w:val="0"/>
                              <w:divBdr>
                                <w:top w:val="none" w:sz="0" w:space="0" w:color="auto"/>
                                <w:left w:val="none" w:sz="0" w:space="0" w:color="auto"/>
                                <w:bottom w:val="none" w:sz="0" w:space="0" w:color="auto"/>
                                <w:right w:val="none" w:sz="0" w:space="0" w:color="auto"/>
                              </w:divBdr>
                              <w:divsChild>
                                <w:div w:id="353960428">
                                  <w:marLeft w:val="0"/>
                                  <w:marRight w:val="0"/>
                                  <w:marTop w:val="0"/>
                                  <w:marBottom w:val="0"/>
                                  <w:divBdr>
                                    <w:top w:val="none" w:sz="0" w:space="0" w:color="auto"/>
                                    <w:left w:val="none" w:sz="0" w:space="0" w:color="auto"/>
                                    <w:bottom w:val="none" w:sz="0" w:space="0" w:color="auto"/>
                                    <w:right w:val="none" w:sz="0" w:space="0" w:color="auto"/>
                                  </w:divBdr>
                                </w:div>
                              </w:divsChild>
                            </w:div>
                            <w:div w:id="1823496954">
                              <w:marLeft w:val="0"/>
                              <w:marRight w:val="0"/>
                              <w:marTop w:val="0"/>
                              <w:marBottom w:val="0"/>
                              <w:divBdr>
                                <w:top w:val="none" w:sz="0" w:space="0" w:color="auto"/>
                                <w:left w:val="none" w:sz="0" w:space="0" w:color="auto"/>
                                <w:bottom w:val="none" w:sz="0" w:space="0" w:color="auto"/>
                                <w:right w:val="none" w:sz="0" w:space="0" w:color="auto"/>
                              </w:divBdr>
                              <w:divsChild>
                                <w:div w:id="11117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5117">
                          <w:marLeft w:val="0"/>
                          <w:marRight w:val="0"/>
                          <w:marTop w:val="0"/>
                          <w:marBottom w:val="0"/>
                          <w:divBdr>
                            <w:top w:val="none" w:sz="0" w:space="0" w:color="auto"/>
                            <w:left w:val="none" w:sz="0" w:space="0" w:color="auto"/>
                            <w:bottom w:val="none" w:sz="0" w:space="0" w:color="auto"/>
                            <w:right w:val="none" w:sz="0" w:space="0" w:color="auto"/>
                          </w:divBdr>
                          <w:divsChild>
                            <w:div w:id="959259332">
                              <w:marLeft w:val="0"/>
                              <w:marRight w:val="0"/>
                              <w:marTop w:val="0"/>
                              <w:marBottom w:val="0"/>
                              <w:divBdr>
                                <w:top w:val="none" w:sz="0" w:space="0" w:color="auto"/>
                                <w:left w:val="none" w:sz="0" w:space="0" w:color="auto"/>
                                <w:bottom w:val="none" w:sz="0" w:space="0" w:color="auto"/>
                                <w:right w:val="none" w:sz="0" w:space="0" w:color="auto"/>
                              </w:divBdr>
                            </w:div>
                          </w:divsChild>
                        </w:div>
                        <w:div w:id="2138453850">
                          <w:marLeft w:val="0"/>
                          <w:marRight w:val="0"/>
                          <w:marTop w:val="0"/>
                          <w:marBottom w:val="0"/>
                          <w:divBdr>
                            <w:top w:val="none" w:sz="0" w:space="0" w:color="auto"/>
                            <w:left w:val="none" w:sz="0" w:space="0" w:color="auto"/>
                            <w:bottom w:val="none" w:sz="0" w:space="0" w:color="auto"/>
                            <w:right w:val="none" w:sz="0" w:space="0" w:color="auto"/>
                          </w:divBdr>
                          <w:divsChild>
                            <w:div w:id="1186745579">
                              <w:marLeft w:val="0"/>
                              <w:marRight w:val="0"/>
                              <w:marTop w:val="0"/>
                              <w:marBottom w:val="0"/>
                              <w:divBdr>
                                <w:top w:val="none" w:sz="0" w:space="0" w:color="auto"/>
                                <w:left w:val="none" w:sz="0" w:space="0" w:color="auto"/>
                                <w:bottom w:val="none" w:sz="0" w:space="0" w:color="auto"/>
                                <w:right w:val="none" w:sz="0" w:space="0" w:color="auto"/>
                              </w:divBdr>
                            </w:div>
                          </w:divsChild>
                        </w:div>
                        <w:div w:id="1482621328">
                          <w:marLeft w:val="0"/>
                          <w:marRight w:val="0"/>
                          <w:marTop w:val="0"/>
                          <w:marBottom w:val="0"/>
                          <w:divBdr>
                            <w:top w:val="none" w:sz="0" w:space="0" w:color="auto"/>
                            <w:left w:val="none" w:sz="0" w:space="0" w:color="auto"/>
                            <w:bottom w:val="none" w:sz="0" w:space="0" w:color="auto"/>
                            <w:right w:val="none" w:sz="0" w:space="0" w:color="auto"/>
                          </w:divBdr>
                          <w:divsChild>
                            <w:div w:id="17530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68807">
                      <w:marLeft w:val="0"/>
                      <w:marRight w:val="0"/>
                      <w:marTop w:val="0"/>
                      <w:marBottom w:val="0"/>
                      <w:divBdr>
                        <w:top w:val="none" w:sz="0" w:space="0" w:color="auto"/>
                        <w:left w:val="none" w:sz="0" w:space="0" w:color="auto"/>
                        <w:bottom w:val="none" w:sz="0" w:space="0" w:color="auto"/>
                        <w:right w:val="none" w:sz="0" w:space="0" w:color="auto"/>
                      </w:divBdr>
                      <w:divsChild>
                        <w:div w:id="490024270">
                          <w:marLeft w:val="0"/>
                          <w:marRight w:val="0"/>
                          <w:marTop w:val="0"/>
                          <w:marBottom w:val="0"/>
                          <w:divBdr>
                            <w:top w:val="none" w:sz="0" w:space="0" w:color="auto"/>
                            <w:left w:val="none" w:sz="0" w:space="0" w:color="auto"/>
                            <w:bottom w:val="none" w:sz="0" w:space="0" w:color="auto"/>
                            <w:right w:val="none" w:sz="0" w:space="0" w:color="auto"/>
                          </w:divBdr>
                          <w:divsChild>
                            <w:div w:id="383605070">
                              <w:marLeft w:val="0"/>
                              <w:marRight w:val="0"/>
                              <w:marTop w:val="0"/>
                              <w:marBottom w:val="0"/>
                              <w:divBdr>
                                <w:top w:val="none" w:sz="0" w:space="0" w:color="auto"/>
                                <w:left w:val="none" w:sz="0" w:space="0" w:color="auto"/>
                                <w:bottom w:val="none" w:sz="0" w:space="0" w:color="auto"/>
                                <w:right w:val="none" w:sz="0" w:space="0" w:color="auto"/>
                              </w:divBdr>
                            </w:div>
                          </w:divsChild>
                        </w:div>
                        <w:div w:id="1359089247">
                          <w:marLeft w:val="0"/>
                          <w:marRight w:val="0"/>
                          <w:marTop w:val="0"/>
                          <w:marBottom w:val="0"/>
                          <w:divBdr>
                            <w:top w:val="none" w:sz="0" w:space="0" w:color="auto"/>
                            <w:left w:val="none" w:sz="0" w:space="0" w:color="auto"/>
                            <w:bottom w:val="none" w:sz="0" w:space="0" w:color="auto"/>
                            <w:right w:val="none" w:sz="0" w:space="0" w:color="auto"/>
                          </w:divBdr>
                          <w:divsChild>
                            <w:div w:id="445270817">
                              <w:marLeft w:val="0"/>
                              <w:marRight w:val="0"/>
                              <w:marTop w:val="0"/>
                              <w:marBottom w:val="0"/>
                              <w:divBdr>
                                <w:top w:val="none" w:sz="0" w:space="0" w:color="auto"/>
                                <w:left w:val="none" w:sz="0" w:space="0" w:color="auto"/>
                                <w:bottom w:val="none" w:sz="0" w:space="0" w:color="auto"/>
                                <w:right w:val="none" w:sz="0" w:space="0" w:color="auto"/>
                              </w:divBdr>
                            </w:div>
                          </w:divsChild>
                        </w:div>
                        <w:div w:id="1854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791467">
      <w:bodyDiv w:val="1"/>
      <w:marLeft w:val="0"/>
      <w:marRight w:val="0"/>
      <w:marTop w:val="0"/>
      <w:marBottom w:val="0"/>
      <w:divBdr>
        <w:top w:val="none" w:sz="0" w:space="0" w:color="auto"/>
        <w:left w:val="none" w:sz="0" w:space="0" w:color="auto"/>
        <w:bottom w:val="none" w:sz="0" w:space="0" w:color="auto"/>
        <w:right w:val="none" w:sz="0" w:space="0" w:color="auto"/>
      </w:divBdr>
      <w:divsChild>
        <w:div w:id="859465515">
          <w:marLeft w:val="0"/>
          <w:marRight w:val="0"/>
          <w:marTop w:val="0"/>
          <w:marBottom w:val="0"/>
          <w:divBdr>
            <w:top w:val="none" w:sz="0" w:space="0" w:color="auto"/>
            <w:left w:val="none" w:sz="0" w:space="0" w:color="auto"/>
            <w:bottom w:val="none" w:sz="0" w:space="0" w:color="auto"/>
            <w:right w:val="none" w:sz="0" w:space="0" w:color="auto"/>
          </w:divBdr>
        </w:div>
        <w:div w:id="688873587">
          <w:marLeft w:val="0"/>
          <w:marRight w:val="0"/>
          <w:marTop w:val="0"/>
          <w:marBottom w:val="0"/>
          <w:divBdr>
            <w:top w:val="none" w:sz="0" w:space="0" w:color="auto"/>
            <w:left w:val="none" w:sz="0" w:space="0" w:color="auto"/>
            <w:bottom w:val="none" w:sz="0" w:space="0" w:color="auto"/>
            <w:right w:val="none" w:sz="0" w:space="0" w:color="auto"/>
          </w:divBdr>
          <w:divsChild>
            <w:div w:id="3720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6281">
      <w:bodyDiv w:val="1"/>
      <w:marLeft w:val="0"/>
      <w:marRight w:val="0"/>
      <w:marTop w:val="0"/>
      <w:marBottom w:val="0"/>
      <w:divBdr>
        <w:top w:val="none" w:sz="0" w:space="0" w:color="auto"/>
        <w:left w:val="none" w:sz="0" w:space="0" w:color="auto"/>
        <w:bottom w:val="none" w:sz="0" w:space="0" w:color="auto"/>
        <w:right w:val="none" w:sz="0" w:space="0" w:color="auto"/>
      </w:divBdr>
      <w:divsChild>
        <w:div w:id="1184438086">
          <w:marLeft w:val="0"/>
          <w:marRight w:val="0"/>
          <w:marTop w:val="0"/>
          <w:marBottom w:val="0"/>
          <w:divBdr>
            <w:top w:val="none" w:sz="0" w:space="0" w:color="auto"/>
            <w:left w:val="none" w:sz="0" w:space="0" w:color="auto"/>
            <w:bottom w:val="none" w:sz="0" w:space="0" w:color="auto"/>
            <w:right w:val="none" w:sz="0" w:space="0" w:color="auto"/>
          </w:divBdr>
          <w:divsChild>
            <w:div w:id="1699429112">
              <w:marLeft w:val="0"/>
              <w:marRight w:val="0"/>
              <w:marTop w:val="0"/>
              <w:marBottom w:val="0"/>
              <w:divBdr>
                <w:top w:val="none" w:sz="0" w:space="0" w:color="auto"/>
                <w:left w:val="none" w:sz="0" w:space="0" w:color="auto"/>
                <w:bottom w:val="none" w:sz="0" w:space="0" w:color="auto"/>
                <w:right w:val="none" w:sz="0" w:space="0" w:color="auto"/>
              </w:divBdr>
              <w:divsChild>
                <w:div w:id="604506655">
                  <w:marLeft w:val="0"/>
                  <w:marRight w:val="0"/>
                  <w:marTop w:val="0"/>
                  <w:marBottom w:val="0"/>
                  <w:divBdr>
                    <w:top w:val="none" w:sz="0" w:space="0" w:color="auto"/>
                    <w:left w:val="none" w:sz="0" w:space="0" w:color="auto"/>
                    <w:bottom w:val="none" w:sz="0" w:space="0" w:color="auto"/>
                    <w:right w:val="none" w:sz="0" w:space="0" w:color="auto"/>
                  </w:divBdr>
                  <w:divsChild>
                    <w:div w:id="1244220455">
                      <w:marLeft w:val="0"/>
                      <w:marRight w:val="0"/>
                      <w:marTop w:val="0"/>
                      <w:marBottom w:val="0"/>
                      <w:divBdr>
                        <w:top w:val="none" w:sz="0" w:space="0" w:color="auto"/>
                        <w:left w:val="none" w:sz="0" w:space="0" w:color="auto"/>
                        <w:bottom w:val="none" w:sz="0" w:space="0" w:color="auto"/>
                        <w:right w:val="none" w:sz="0" w:space="0" w:color="auto"/>
                      </w:divBdr>
                      <w:divsChild>
                        <w:div w:id="320813679">
                          <w:marLeft w:val="0"/>
                          <w:marRight w:val="0"/>
                          <w:marTop w:val="0"/>
                          <w:marBottom w:val="0"/>
                          <w:divBdr>
                            <w:top w:val="none" w:sz="0" w:space="0" w:color="auto"/>
                            <w:left w:val="none" w:sz="0" w:space="0" w:color="auto"/>
                            <w:bottom w:val="none" w:sz="0" w:space="0" w:color="auto"/>
                            <w:right w:val="none" w:sz="0" w:space="0" w:color="auto"/>
                          </w:divBdr>
                          <w:divsChild>
                            <w:div w:id="9741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2751">
      <w:bodyDiv w:val="1"/>
      <w:marLeft w:val="0"/>
      <w:marRight w:val="0"/>
      <w:marTop w:val="0"/>
      <w:marBottom w:val="0"/>
      <w:divBdr>
        <w:top w:val="none" w:sz="0" w:space="0" w:color="auto"/>
        <w:left w:val="none" w:sz="0" w:space="0" w:color="auto"/>
        <w:bottom w:val="none" w:sz="0" w:space="0" w:color="auto"/>
        <w:right w:val="none" w:sz="0" w:space="0" w:color="auto"/>
      </w:divBdr>
      <w:divsChild>
        <w:div w:id="1209368314">
          <w:marLeft w:val="0"/>
          <w:marRight w:val="0"/>
          <w:marTop w:val="0"/>
          <w:marBottom w:val="0"/>
          <w:divBdr>
            <w:top w:val="none" w:sz="0" w:space="0" w:color="auto"/>
            <w:left w:val="none" w:sz="0" w:space="0" w:color="auto"/>
            <w:bottom w:val="none" w:sz="0" w:space="0" w:color="auto"/>
            <w:right w:val="none" w:sz="0" w:space="0" w:color="auto"/>
          </w:divBdr>
          <w:divsChild>
            <w:div w:id="158621838">
              <w:marLeft w:val="0"/>
              <w:marRight w:val="0"/>
              <w:marTop w:val="0"/>
              <w:marBottom w:val="0"/>
              <w:divBdr>
                <w:top w:val="none" w:sz="0" w:space="0" w:color="auto"/>
                <w:left w:val="none" w:sz="0" w:space="0" w:color="auto"/>
                <w:bottom w:val="none" w:sz="0" w:space="0" w:color="auto"/>
                <w:right w:val="none" w:sz="0" w:space="0" w:color="auto"/>
              </w:divBdr>
              <w:divsChild>
                <w:div w:id="101540187">
                  <w:marLeft w:val="0"/>
                  <w:marRight w:val="0"/>
                  <w:marTop w:val="0"/>
                  <w:marBottom w:val="0"/>
                  <w:divBdr>
                    <w:top w:val="none" w:sz="0" w:space="0" w:color="auto"/>
                    <w:left w:val="none" w:sz="0" w:space="0" w:color="auto"/>
                    <w:bottom w:val="none" w:sz="0" w:space="0" w:color="auto"/>
                    <w:right w:val="none" w:sz="0" w:space="0" w:color="auto"/>
                  </w:divBdr>
                  <w:divsChild>
                    <w:div w:id="1928344476">
                      <w:marLeft w:val="0"/>
                      <w:marRight w:val="0"/>
                      <w:marTop w:val="0"/>
                      <w:marBottom w:val="0"/>
                      <w:divBdr>
                        <w:top w:val="none" w:sz="0" w:space="0" w:color="auto"/>
                        <w:left w:val="none" w:sz="0" w:space="0" w:color="auto"/>
                        <w:bottom w:val="none" w:sz="0" w:space="0" w:color="auto"/>
                        <w:right w:val="none" w:sz="0" w:space="0" w:color="auto"/>
                      </w:divBdr>
                      <w:divsChild>
                        <w:div w:id="1721510414">
                          <w:marLeft w:val="0"/>
                          <w:marRight w:val="0"/>
                          <w:marTop w:val="0"/>
                          <w:marBottom w:val="0"/>
                          <w:divBdr>
                            <w:top w:val="none" w:sz="0" w:space="0" w:color="auto"/>
                            <w:left w:val="none" w:sz="0" w:space="0" w:color="auto"/>
                            <w:bottom w:val="none" w:sz="0" w:space="0" w:color="auto"/>
                            <w:right w:val="none" w:sz="0" w:space="0" w:color="auto"/>
                          </w:divBdr>
                          <w:divsChild>
                            <w:div w:id="10129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16636">
      <w:bodyDiv w:val="1"/>
      <w:marLeft w:val="0"/>
      <w:marRight w:val="0"/>
      <w:marTop w:val="0"/>
      <w:marBottom w:val="0"/>
      <w:divBdr>
        <w:top w:val="none" w:sz="0" w:space="0" w:color="auto"/>
        <w:left w:val="none" w:sz="0" w:space="0" w:color="auto"/>
        <w:bottom w:val="none" w:sz="0" w:space="0" w:color="auto"/>
        <w:right w:val="none" w:sz="0" w:space="0" w:color="auto"/>
      </w:divBdr>
      <w:divsChild>
        <w:div w:id="187839902">
          <w:marLeft w:val="0"/>
          <w:marRight w:val="0"/>
          <w:marTop w:val="0"/>
          <w:marBottom w:val="0"/>
          <w:divBdr>
            <w:top w:val="none" w:sz="0" w:space="0" w:color="auto"/>
            <w:left w:val="none" w:sz="0" w:space="0" w:color="auto"/>
            <w:bottom w:val="none" w:sz="0" w:space="0" w:color="auto"/>
            <w:right w:val="none" w:sz="0" w:space="0" w:color="auto"/>
          </w:divBdr>
        </w:div>
        <w:div w:id="1163662430">
          <w:marLeft w:val="0"/>
          <w:marRight w:val="0"/>
          <w:marTop w:val="0"/>
          <w:marBottom w:val="0"/>
          <w:divBdr>
            <w:top w:val="none" w:sz="0" w:space="0" w:color="auto"/>
            <w:left w:val="none" w:sz="0" w:space="0" w:color="auto"/>
            <w:bottom w:val="none" w:sz="0" w:space="0" w:color="auto"/>
            <w:right w:val="none" w:sz="0" w:space="0" w:color="auto"/>
          </w:divBdr>
        </w:div>
      </w:divsChild>
    </w:div>
    <w:div w:id="1835143426">
      <w:bodyDiv w:val="1"/>
      <w:marLeft w:val="0"/>
      <w:marRight w:val="0"/>
      <w:marTop w:val="0"/>
      <w:marBottom w:val="0"/>
      <w:divBdr>
        <w:top w:val="none" w:sz="0" w:space="0" w:color="auto"/>
        <w:left w:val="none" w:sz="0" w:space="0" w:color="auto"/>
        <w:bottom w:val="none" w:sz="0" w:space="0" w:color="auto"/>
        <w:right w:val="none" w:sz="0" w:space="0" w:color="auto"/>
      </w:divBdr>
      <w:divsChild>
        <w:div w:id="687869749">
          <w:marLeft w:val="0"/>
          <w:marRight w:val="0"/>
          <w:marTop w:val="0"/>
          <w:marBottom w:val="0"/>
          <w:divBdr>
            <w:top w:val="none" w:sz="0" w:space="0" w:color="auto"/>
            <w:left w:val="none" w:sz="0" w:space="0" w:color="auto"/>
            <w:bottom w:val="none" w:sz="0" w:space="0" w:color="auto"/>
            <w:right w:val="none" w:sz="0" w:space="0" w:color="auto"/>
          </w:divBdr>
          <w:divsChild>
            <w:div w:id="1094403742">
              <w:marLeft w:val="0"/>
              <w:marRight w:val="0"/>
              <w:marTop w:val="0"/>
              <w:marBottom w:val="0"/>
              <w:divBdr>
                <w:top w:val="none" w:sz="0" w:space="0" w:color="auto"/>
                <w:left w:val="none" w:sz="0" w:space="0" w:color="auto"/>
                <w:bottom w:val="none" w:sz="0" w:space="0" w:color="auto"/>
                <w:right w:val="none" w:sz="0" w:space="0" w:color="auto"/>
              </w:divBdr>
              <w:divsChild>
                <w:div w:id="1744717881">
                  <w:marLeft w:val="0"/>
                  <w:marRight w:val="0"/>
                  <w:marTop w:val="0"/>
                  <w:marBottom w:val="0"/>
                  <w:divBdr>
                    <w:top w:val="none" w:sz="0" w:space="0" w:color="auto"/>
                    <w:left w:val="none" w:sz="0" w:space="0" w:color="auto"/>
                    <w:bottom w:val="none" w:sz="0" w:space="0" w:color="auto"/>
                    <w:right w:val="none" w:sz="0" w:space="0" w:color="auto"/>
                  </w:divBdr>
                  <w:divsChild>
                    <w:div w:id="1458716068">
                      <w:marLeft w:val="0"/>
                      <w:marRight w:val="0"/>
                      <w:marTop w:val="0"/>
                      <w:marBottom w:val="0"/>
                      <w:divBdr>
                        <w:top w:val="none" w:sz="0" w:space="0" w:color="auto"/>
                        <w:left w:val="none" w:sz="0" w:space="0" w:color="auto"/>
                        <w:bottom w:val="none" w:sz="0" w:space="0" w:color="auto"/>
                        <w:right w:val="none" w:sz="0" w:space="0" w:color="auto"/>
                      </w:divBdr>
                      <w:divsChild>
                        <w:div w:id="55394638">
                          <w:marLeft w:val="0"/>
                          <w:marRight w:val="0"/>
                          <w:marTop w:val="0"/>
                          <w:marBottom w:val="0"/>
                          <w:divBdr>
                            <w:top w:val="none" w:sz="0" w:space="0" w:color="auto"/>
                            <w:left w:val="none" w:sz="0" w:space="0" w:color="auto"/>
                            <w:bottom w:val="none" w:sz="0" w:space="0" w:color="auto"/>
                            <w:right w:val="none" w:sz="0" w:space="0" w:color="auto"/>
                          </w:divBdr>
                          <w:divsChild>
                            <w:div w:id="17225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178890">
      <w:bodyDiv w:val="1"/>
      <w:marLeft w:val="0"/>
      <w:marRight w:val="0"/>
      <w:marTop w:val="0"/>
      <w:marBottom w:val="0"/>
      <w:divBdr>
        <w:top w:val="none" w:sz="0" w:space="0" w:color="auto"/>
        <w:left w:val="none" w:sz="0" w:space="0" w:color="auto"/>
        <w:bottom w:val="none" w:sz="0" w:space="0" w:color="auto"/>
        <w:right w:val="none" w:sz="0" w:space="0" w:color="auto"/>
      </w:divBdr>
      <w:divsChild>
        <w:div w:id="1808161880">
          <w:marLeft w:val="0"/>
          <w:marRight w:val="0"/>
          <w:marTop w:val="0"/>
          <w:marBottom w:val="0"/>
          <w:divBdr>
            <w:top w:val="none" w:sz="0" w:space="0" w:color="auto"/>
            <w:left w:val="none" w:sz="0" w:space="0" w:color="auto"/>
            <w:bottom w:val="none" w:sz="0" w:space="0" w:color="auto"/>
            <w:right w:val="none" w:sz="0" w:space="0" w:color="auto"/>
          </w:divBdr>
        </w:div>
        <w:div w:id="926187452">
          <w:marLeft w:val="0"/>
          <w:marRight w:val="0"/>
          <w:marTop w:val="0"/>
          <w:marBottom w:val="0"/>
          <w:divBdr>
            <w:top w:val="none" w:sz="0" w:space="0" w:color="auto"/>
            <w:left w:val="none" w:sz="0" w:space="0" w:color="auto"/>
            <w:bottom w:val="none" w:sz="0" w:space="0" w:color="auto"/>
            <w:right w:val="none" w:sz="0" w:space="0" w:color="auto"/>
          </w:divBdr>
        </w:div>
      </w:divsChild>
    </w:div>
    <w:div w:id="2116636942">
      <w:bodyDiv w:val="1"/>
      <w:marLeft w:val="0"/>
      <w:marRight w:val="0"/>
      <w:marTop w:val="0"/>
      <w:marBottom w:val="0"/>
      <w:divBdr>
        <w:top w:val="none" w:sz="0" w:space="0" w:color="auto"/>
        <w:left w:val="none" w:sz="0" w:space="0" w:color="auto"/>
        <w:bottom w:val="none" w:sz="0" w:space="0" w:color="auto"/>
        <w:right w:val="none" w:sz="0" w:space="0" w:color="auto"/>
      </w:divBdr>
      <w:divsChild>
        <w:div w:id="796676458">
          <w:marLeft w:val="0"/>
          <w:marRight w:val="0"/>
          <w:marTop w:val="0"/>
          <w:marBottom w:val="0"/>
          <w:divBdr>
            <w:top w:val="none" w:sz="0" w:space="0" w:color="auto"/>
            <w:left w:val="none" w:sz="0" w:space="0" w:color="auto"/>
            <w:bottom w:val="none" w:sz="0" w:space="0" w:color="auto"/>
            <w:right w:val="none" w:sz="0" w:space="0" w:color="auto"/>
          </w:divBdr>
          <w:divsChild>
            <w:div w:id="1413816183">
              <w:marLeft w:val="0"/>
              <w:marRight w:val="0"/>
              <w:marTop w:val="0"/>
              <w:marBottom w:val="0"/>
              <w:divBdr>
                <w:top w:val="none" w:sz="0" w:space="0" w:color="auto"/>
                <w:left w:val="none" w:sz="0" w:space="0" w:color="auto"/>
                <w:bottom w:val="none" w:sz="0" w:space="0" w:color="auto"/>
                <w:right w:val="none" w:sz="0" w:space="0" w:color="auto"/>
              </w:divBdr>
              <w:divsChild>
                <w:div w:id="696977154">
                  <w:marLeft w:val="0"/>
                  <w:marRight w:val="0"/>
                  <w:marTop w:val="0"/>
                  <w:marBottom w:val="0"/>
                  <w:divBdr>
                    <w:top w:val="none" w:sz="0" w:space="0" w:color="auto"/>
                    <w:left w:val="none" w:sz="0" w:space="0" w:color="auto"/>
                    <w:bottom w:val="none" w:sz="0" w:space="0" w:color="auto"/>
                    <w:right w:val="none" w:sz="0" w:space="0" w:color="auto"/>
                  </w:divBdr>
                  <w:divsChild>
                    <w:div w:id="867985226">
                      <w:marLeft w:val="0"/>
                      <w:marRight w:val="0"/>
                      <w:marTop w:val="0"/>
                      <w:marBottom w:val="0"/>
                      <w:divBdr>
                        <w:top w:val="none" w:sz="0" w:space="0" w:color="auto"/>
                        <w:left w:val="none" w:sz="0" w:space="0" w:color="auto"/>
                        <w:bottom w:val="none" w:sz="0" w:space="0" w:color="auto"/>
                        <w:right w:val="none" w:sz="0" w:space="0" w:color="auto"/>
                      </w:divBdr>
                      <w:divsChild>
                        <w:div w:id="1549761049">
                          <w:marLeft w:val="0"/>
                          <w:marRight w:val="0"/>
                          <w:marTop w:val="0"/>
                          <w:marBottom w:val="0"/>
                          <w:divBdr>
                            <w:top w:val="none" w:sz="0" w:space="0" w:color="auto"/>
                            <w:left w:val="none" w:sz="0" w:space="0" w:color="auto"/>
                            <w:bottom w:val="none" w:sz="0" w:space="0" w:color="auto"/>
                            <w:right w:val="none" w:sz="0" w:space="0" w:color="auto"/>
                          </w:divBdr>
                          <w:divsChild>
                            <w:div w:id="46042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www.ncbi.nlm.nih.gov/pubmed/22952439" TargetMode="External"/><Relationship Id="rId21" Type="http://schemas.openxmlformats.org/officeDocument/2006/relationships/hyperlink" Target="http://www.ncbi.nlm.nih.gov/pubmed/23717785" TargetMode="External"/><Relationship Id="rId22" Type="http://schemas.openxmlformats.org/officeDocument/2006/relationships/hyperlink" Target="http://www.who.int/tb/publications/childtb_guidelines/en/"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file:///C:\Users\tkredo\Desktop\GRADEpro%202008" TargetMode="External"/><Relationship Id="rId13" Type="http://schemas.openxmlformats.org/officeDocument/2006/relationships/hyperlink" Target="file:///C:\Users\tkredo\Desktop\Deeks%202008" TargetMode="External"/><Relationship Id="rId14" Type="http://schemas.openxmlformats.org/officeDocument/2006/relationships/hyperlink" Target="file:///C:\Users\tkredo\Desktop\Newcastle-Ottawa%20Scale" TargetMode="External"/><Relationship Id="rId15" Type="http://schemas.openxmlformats.org/officeDocument/2006/relationships/hyperlink" Target="file:///C:\Users\tkredo\Desktop\Guyatt%202011" TargetMode="External"/><Relationship Id="rId16" Type="http://schemas.openxmlformats.org/officeDocument/2006/relationships/hyperlink" Target="file:///C:\Users\tkredo\Desktop\Higgins%202008" TargetMode="External"/><Relationship Id="rId17" Type="http://schemas.openxmlformats.org/officeDocument/2006/relationships/header" Target="header2.xml"/><Relationship Id="rId18" Type="http://schemas.openxmlformats.org/officeDocument/2006/relationships/footer" Target="footer3.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DE046-D117-0C43-BC8B-253224658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5462</Words>
  <Characters>31139</Characters>
  <Application>Microsoft Macintosh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36528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Anneke Hesseling</dc:creator>
  <cp:lastModifiedBy>EHARAUSZ</cp:lastModifiedBy>
  <cp:revision>2</cp:revision>
  <cp:lastPrinted>2014-08-07T11:37:00Z</cp:lastPrinted>
  <dcterms:created xsi:type="dcterms:W3CDTF">2018-04-02T21:21:00Z</dcterms:created>
  <dcterms:modified xsi:type="dcterms:W3CDTF">2018-04-02T21:21:00Z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