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5300" w14:textId="77777777" w:rsidR="005C7FAF" w:rsidRPr="009A25E1" w:rsidRDefault="005C7FAF" w:rsidP="005C7FAF">
      <w:pPr>
        <w:pStyle w:val="Caption"/>
        <w:keepNext/>
        <w:spacing w:line="480" w:lineRule="auto"/>
        <w:rPr>
          <w:rFonts w:ascii="Times" w:hAnsi="Times"/>
          <w:color w:val="000000" w:themeColor="text1"/>
          <w:sz w:val="24"/>
          <w:szCs w:val="24"/>
        </w:rPr>
      </w:pPr>
      <w:r w:rsidRPr="002D7917">
        <w:rPr>
          <w:rFonts w:ascii="Times" w:hAnsi="Times"/>
          <w:color w:val="000000" w:themeColor="text1"/>
          <w:sz w:val="24"/>
          <w:szCs w:val="24"/>
        </w:rPr>
        <w:t>S</w:t>
      </w:r>
      <w:r>
        <w:rPr>
          <w:rFonts w:ascii="Times" w:hAnsi="Times"/>
          <w:color w:val="000000" w:themeColor="text1"/>
          <w:sz w:val="24"/>
          <w:szCs w:val="24"/>
        </w:rPr>
        <w:t xml:space="preserve">5 Table. </w:t>
      </w:r>
      <w:r w:rsidRPr="009A25E1">
        <w:rPr>
          <w:rFonts w:ascii="Times" w:hAnsi="Times"/>
          <w:color w:val="000000" w:themeColor="text1"/>
          <w:sz w:val="24"/>
          <w:szCs w:val="24"/>
        </w:rPr>
        <w:t>Summary of association of use of individual drugs with treatment success in children treated for confirmed multidrug-resistant tuberculosis in South African study sites (</w:t>
      </w:r>
      <w:r w:rsidRPr="002B1093">
        <w:rPr>
          <w:rFonts w:ascii="Times" w:hAnsi="Times"/>
          <w:b w:val="0"/>
          <w:color w:val="000000" w:themeColor="text1"/>
          <w:sz w:val="24"/>
          <w:szCs w:val="24"/>
        </w:rPr>
        <w:t>MDR-</w:t>
      </w:r>
      <w:r w:rsidRPr="009A25E1">
        <w:rPr>
          <w:rFonts w:ascii="Times" w:hAnsi="Times"/>
          <w:b w:val="0"/>
          <w:color w:val="000000" w:themeColor="text1"/>
          <w:sz w:val="24"/>
          <w:szCs w:val="24"/>
        </w:rPr>
        <w:t>TB; n=461)</w:t>
      </w:r>
      <w:r w:rsidRPr="009A25E1">
        <w:rPr>
          <w:rFonts w:ascii="Times" w:hAnsi="Times" w:cs="Calibri"/>
          <w:b w:val="0"/>
          <w:color w:val="000000" w:themeColor="text1"/>
          <w:sz w:val="24"/>
          <w:szCs w:val="24"/>
          <w:vertAlign w:val="superscript"/>
        </w:rPr>
        <w:t xml:space="preserve"> a,b,c,d</w:t>
      </w:r>
    </w:p>
    <w:p w14:paraId="5032DA8D" w14:textId="77777777" w:rsidR="005C7FAF" w:rsidRPr="007A4CEF" w:rsidRDefault="005C7FAF" w:rsidP="005C7FAF">
      <w:pPr>
        <w:rPr>
          <w:rFonts w:ascii="Times" w:hAnsi="Times" w:cs="Calibri"/>
          <w:b/>
          <w:color w:val="000000" w:themeColor="text1"/>
        </w:rPr>
      </w:pPr>
    </w:p>
    <w:tbl>
      <w:tblPr>
        <w:tblW w:w="3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542"/>
        <w:gridCol w:w="2185"/>
        <w:gridCol w:w="3207"/>
      </w:tblGrid>
      <w:tr w:rsidR="005C7FAF" w:rsidRPr="007A4CEF" w14:paraId="363412DB" w14:textId="77777777" w:rsidTr="002B1093">
        <w:tc>
          <w:tcPr>
            <w:tcW w:w="1547" w:type="pct"/>
            <w:shd w:val="clear" w:color="auto" w:fill="auto"/>
          </w:tcPr>
          <w:p w14:paraId="49F72BDD" w14:textId="77777777" w:rsidR="005C7FAF" w:rsidRPr="007A4CEF" w:rsidRDefault="005C7FAF" w:rsidP="002B1093">
            <w:pPr>
              <w:keepNext/>
              <w:keepLines/>
              <w:spacing w:before="200"/>
              <w:outlineLvl w:val="8"/>
              <w:rPr>
                <w:rFonts w:ascii="Times" w:hAnsi="Times" w:cs="Calibri"/>
                <w:color w:val="000000" w:themeColor="text1"/>
                <w:u w:val="single"/>
              </w:rPr>
            </w:pPr>
            <w:r w:rsidRPr="007A4CEF">
              <w:rPr>
                <w:rFonts w:ascii="Times" w:hAnsi="Times" w:cs="Calibri"/>
                <w:color w:val="000000" w:themeColor="text1"/>
                <w:u w:val="single"/>
              </w:rPr>
              <w:t>Drug Used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</w:tcPr>
          <w:p w14:paraId="2A5A928E" w14:textId="77777777" w:rsidR="005C7FAF" w:rsidRPr="007A4CEF" w:rsidRDefault="005C7FAF" w:rsidP="002B1093">
            <w:pPr>
              <w:keepNext/>
              <w:keepLines/>
              <w:spacing w:before="200"/>
              <w:outlineLvl w:val="8"/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N (%)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</w:tcPr>
          <w:p w14:paraId="6FB5202F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aOR</w:t>
            </w:r>
            <w:r w:rsidRPr="007A4CEF">
              <w:rPr>
                <w:rFonts w:ascii="Times" w:hAnsi="Times" w:cs="Calibri"/>
                <w:color w:val="000000" w:themeColor="text1"/>
                <w:vertAlign w:val="superscript"/>
              </w:rPr>
              <w:t>e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auto"/>
          </w:tcPr>
          <w:p w14:paraId="12A099AC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95% CI</w:t>
            </w:r>
          </w:p>
        </w:tc>
      </w:tr>
      <w:tr w:rsidR="005C7FAF" w:rsidRPr="007A4CEF" w14:paraId="1C840DE2" w14:textId="77777777" w:rsidTr="002B1093">
        <w:trPr>
          <w:trHeight w:val="241"/>
        </w:trPr>
        <w:tc>
          <w:tcPr>
            <w:tcW w:w="1547" w:type="pct"/>
            <w:shd w:val="clear" w:color="auto" w:fill="auto"/>
          </w:tcPr>
          <w:p w14:paraId="06C43E51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Pyrazinamide</w:t>
            </w:r>
          </w:p>
        </w:tc>
        <w:tc>
          <w:tcPr>
            <w:tcW w:w="768" w:type="pct"/>
            <w:shd w:val="clear" w:color="auto" w:fill="auto"/>
          </w:tcPr>
          <w:p w14:paraId="31976C57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449 (97)</w:t>
            </w:r>
          </w:p>
        </w:tc>
        <w:tc>
          <w:tcPr>
            <w:tcW w:w="1088" w:type="pct"/>
            <w:shd w:val="clear" w:color="auto" w:fill="auto"/>
          </w:tcPr>
          <w:p w14:paraId="192400F4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3.5</w:t>
            </w:r>
            <w:r w:rsidRPr="007A4CEF">
              <w:rPr>
                <w:rFonts w:ascii="Times" w:hAnsi="Times" w:cs="Calibri"/>
                <w:color w:val="000000" w:themeColor="text1"/>
                <w:vertAlign w:val="superscript"/>
              </w:rPr>
              <w:t>g</w:t>
            </w:r>
          </w:p>
        </w:tc>
        <w:tc>
          <w:tcPr>
            <w:tcW w:w="1597" w:type="pct"/>
            <w:shd w:val="clear" w:color="auto" w:fill="auto"/>
          </w:tcPr>
          <w:p w14:paraId="15453EB9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(0.3 -39.1)</w:t>
            </w:r>
          </w:p>
        </w:tc>
      </w:tr>
      <w:tr w:rsidR="005C7FAF" w:rsidRPr="007A4CEF" w14:paraId="34B1E3ED" w14:textId="77777777" w:rsidTr="002B1093">
        <w:tc>
          <w:tcPr>
            <w:tcW w:w="1547" w:type="pct"/>
            <w:shd w:val="clear" w:color="auto" w:fill="auto"/>
          </w:tcPr>
          <w:p w14:paraId="1115664E" w14:textId="77777777" w:rsidR="005C7FAF" w:rsidRPr="007A4CEF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7A4CEF">
              <w:rPr>
                <w:rFonts w:ascii="Times" w:hAnsi="Times" w:cs="Calibri"/>
                <w:b/>
                <w:color w:val="000000" w:themeColor="text1"/>
              </w:rPr>
              <w:t>Second-line Injectable Agents</w:t>
            </w:r>
            <w:r w:rsidRPr="007A4CEF">
              <w:rPr>
                <w:rFonts w:ascii="Times" w:hAnsi="Times" w:cs="Calibri"/>
                <w:b/>
                <w:color w:val="000000" w:themeColor="text1"/>
                <w:vertAlign w:val="superscript"/>
              </w:rPr>
              <w:t>f</w:t>
            </w:r>
          </w:p>
        </w:tc>
        <w:tc>
          <w:tcPr>
            <w:tcW w:w="768" w:type="pct"/>
            <w:shd w:val="clear" w:color="auto" w:fill="auto"/>
          </w:tcPr>
          <w:p w14:paraId="7D027195" w14:textId="77777777" w:rsidR="005C7FAF" w:rsidRPr="007A4CEF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7A4CEF">
              <w:rPr>
                <w:rFonts w:ascii="Times" w:hAnsi="Times" w:cs="Calibri"/>
                <w:b/>
                <w:color w:val="000000" w:themeColor="text1"/>
              </w:rPr>
              <w:t>430 (93)</w:t>
            </w:r>
          </w:p>
        </w:tc>
        <w:tc>
          <w:tcPr>
            <w:tcW w:w="1088" w:type="pct"/>
            <w:shd w:val="clear" w:color="auto" w:fill="auto"/>
          </w:tcPr>
          <w:p w14:paraId="61CC6A9F" w14:textId="77777777" w:rsidR="005C7FAF" w:rsidRPr="007A4CEF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7A4CEF">
              <w:rPr>
                <w:rFonts w:ascii="Times" w:hAnsi="Times" w:cs="Calibri"/>
                <w:b/>
                <w:color w:val="000000" w:themeColor="text1"/>
              </w:rPr>
              <w:t>8.09</w:t>
            </w:r>
            <w:r w:rsidRPr="007A4CEF">
              <w:rPr>
                <w:rFonts w:ascii="Times" w:hAnsi="Times" w:cs="Calibri"/>
                <w:color w:val="000000" w:themeColor="text1"/>
                <w:vertAlign w:val="superscript"/>
              </w:rPr>
              <w:t>g</w:t>
            </w:r>
          </w:p>
        </w:tc>
        <w:tc>
          <w:tcPr>
            <w:tcW w:w="1597" w:type="pct"/>
            <w:shd w:val="clear" w:color="auto" w:fill="auto"/>
          </w:tcPr>
          <w:p w14:paraId="7A233B96" w14:textId="77777777" w:rsidR="005C7FAF" w:rsidRPr="007A4CEF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7A4CEF">
              <w:rPr>
                <w:rFonts w:ascii="Times" w:hAnsi="Times" w:cs="Calibri"/>
                <w:b/>
                <w:color w:val="000000" w:themeColor="text1"/>
              </w:rPr>
              <w:t>(1.7-38.7)</w:t>
            </w:r>
          </w:p>
        </w:tc>
      </w:tr>
      <w:tr w:rsidR="005C7FAF" w:rsidRPr="007A4CEF" w14:paraId="1D2B95BD" w14:textId="77777777" w:rsidTr="002B1093">
        <w:tc>
          <w:tcPr>
            <w:tcW w:w="1547" w:type="pct"/>
            <w:shd w:val="clear" w:color="auto" w:fill="auto"/>
          </w:tcPr>
          <w:p w14:paraId="2781CD72" w14:textId="77777777" w:rsidR="005C7FAF" w:rsidRPr="007A4CEF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7A4CEF">
              <w:rPr>
                <w:rFonts w:ascii="Times" w:hAnsi="Times" w:cs="Calibri"/>
                <w:b/>
                <w:color w:val="000000" w:themeColor="text1"/>
              </w:rPr>
              <w:t>Ethionamide/ prothionamide</w:t>
            </w:r>
          </w:p>
        </w:tc>
        <w:tc>
          <w:tcPr>
            <w:tcW w:w="768" w:type="pct"/>
            <w:shd w:val="clear" w:color="auto" w:fill="auto"/>
          </w:tcPr>
          <w:p w14:paraId="39B359CB" w14:textId="77777777" w:rsidR="005C7FAF" w:rsidRPr="007A4CEF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7A4CEF">
              <w:rPr>
                <w:rFonts w:ascii="Times" w:hAnsi="Times" w:cs="Calibri"/>
                <w:b/>
                <w:color w:val="000000" w:themeColor="text1"/>
              </w:rPr>
              <w:t>448 (97)</w:t>
            </w:r>
          </w:p>
        </w:tc>
        <w:tc>
          <w:tcPr>
            <w:tcW w:w="1088" w:type="pct"/>
            <w:shd w:val="clear" w:color="auto" w:fill="auto"/>
          </w:tcPr>
          <w:p w14:paraId="3088903F" w14:textId="77777777" w:rsidR="005C7FAF" w:rsidRPr="007A4CEF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7A4CEF">
              <w:rPr>
                <w:rFonts w:ascii="Times" w:hAnsi="Times" w:cs="Calibri"/>
                <w:b/>
                <w:color w:val="000000" w:themeColor="text1"/>
              </w:rPr>
              <w:t>11.7</w:t>
            </w:r>
            <w:r w:rsidRPr="007A4CEF">
              <w:rPr>
                <w:rFonts w:ascii="Times" w:hAnsi="Times" w:cs="Calibri"/>
                <w:b/>
                <w:color w:val="000000" w:themeColor="text1"/>
                <w:vertAlign w:val="superscript"/>
              </w:rPr>
              <w:t xml:space="preserve"> g</w:t>
            </w:r>
          </w:p>
        </w:tc>
        <w:tc>
          <w:tcPr>
            <w:tcW w:w="1597" w:type="pct"/>
            <w:shd w:val="clear" w:color="auto" w:fill="auto"/>
          </w:tcPr>
          <w:p w14:paraId="02129004" w14:textId="77777777" w:rsidR="005C7FAF" w:rsidRPr="007A4CEF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7A4CEF">
              <w:rPr>
                <w:rFonts w:ascii="Times" w:hAnsi="Times" w:cs="Calibri"/>
                <w:b/>
                <w:color w:val="000000" w:themeColor="text1"/>
              </w:rPr>
              <w:t>(1.5-89.1)</w:t>
            </w:r>
          </w:p>
        </w:tc>
      </w:tr>
      <w:tr w:rsidR="005C7FAF" w:rsidRPr="007A4CEF" w14:paraId="4BEA1C92" w14:textId="77777777" w:rsidTr="002B1093">
        <w:tc>
          <w:tcPr>
            <w:tcW w:w="1547" w:type="pct"/>
            <w:shd w:val="clear" w:color="auto" w:fill="auto"/>
          </w:tcPr>
          <w:p w14:paraId="2C1C348D" w14:textId="77777777" w:rsidR="005C7FAF" w:rsidRPr="00D80C5C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D80C5C">
              <w:rPr>
                <w:rFonts w:ascii="Times" w:hAnsi="Times" w:cs="Calibri"/>
                <w:b/>
                <w:color w:val="000000" w:themeColor="text1"/>
              </w:rPr>
              <w:t>Cycloserine/ terizidone</w:t>
            </w:r>
          </w:p>
        </w:tc>
        <w:tc>
          <w:tcPr>
            <w:tcW w:w="768" w:type="pct"/>
            <w:shd w:val="clear" w:color="auto" w:fill="auto"/>
          </w:tcPr>
          <w:p w14:paraId="5118DB3D" w14:textId="77777777" w:rsidR="005C7FAF" w:rsidRPr="00D80C5C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D80C5C">
              <w:rPr>
                <w:rFonts w:ascii="Times" w:hAnsi="Times" w:cs="Calibri"/>
                <w:b/>
                <w:color w:val="000000" w:themeColor="text1"/>
              </w:rPr>
              <w:t>212 (46)</w:t>
            </w:r>
          </w:p>
        </w:tc>
        <w:tc>
          <w:tcPr>
            <w:tcW w:w="1088" w:type="pct"/>
            <w:shd w:val="clear" w:color="auto" w:fill="auto"/>
          </w:tcPr>
          <w:p w14:paraId="419FA115" w14:textId="77777777" w:rsidR="005C7FAF" w:rsidRPr="00D80C5C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D80C5C">
              <w:rPr>
                <w:rFonts w:ascii="Times" w:hAnsi="Times" w:cs="Calibri"/>
                <w:b/>
                <w:color w:val="000000" w:themeColor="text1"/>
              </w:rPr>
              <w:t>3.0</w:t>
            </w:r>
            <w:r w:rsidRPr="00D80C5C">
              <w:rPr>
                <w:rFonts w:ascii="Times" w:hAnsi="Times" w:cs="Calibri"/>
                <w:b/>
                <w:color w:val="000000" w:themeColor="text1"/>
                <w:vertAlign w:val="superscript"/>
              </w:rPr>
              <w:t>g</w:t>
            </w:r>
          </w:p>
        </w:tc>
        <w:tc>
          <w:tcPr>
            <w:tcW w:w="1597" w:type="pct"/>
            <w:shd w:val="clear" w:color="auto" w:fill="auto"/>
          </w:tcPr>
          <w:p w14:paraId="23F36804" w14:textId="77777777" w:rsidR="005C7FAF" w:rsidRPr="007A4CEF" w:rsidRDefault="005C7FAF" w:rsidP="002B1093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D80C5C">
              <w:rPr>
                <w:rFonts w:ascii="Times" w:hAnsi="Times" w:cs="Calibri"/>
                <w:b/>
                <w:color w:val="000000" w:themeColor="text1"/>
              </w:rPr>
              <w:t>(1.4-6.1)</w:t>
            </w:r>
          </w:p>
        </w:tc>
      </w:tr>
      <w:tr w:rsidR="005C7FAF" w:rsidRPr="007A4CEF" w14:paraId="7B3C0F8E" w14:textId="77777777" w:rsidTr="002B1093">
        <w:tc>
          <w:tcPr>
            <w:tcW w:w="1547" w:type="pct"/>
            <w:shd w:val="clear" w:color="auto" w:fill="auto"/>
          </w:tcPr>
          <w:p w14:paraId="6F56F2F0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Clofazimine</w:t>
            </w:r>
          </w:p>
        </w:tc>
        <w:tc>
          <w:tcPr>
            <w:tcW w:w="768" w:type="pct"/>
            <w:shd w:val="clear" w:color="auto" w:fill="auto"/>
          </w:tcPr>
          <w:p w14:paraId="75B2E296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7 (2)</w:t>
            </w:r>
          </w:p>
        </w:tc>
        <w:tc>
          <w:tcPr>
            <w:tcW w:w="1088" w:type="pct"/>
            <w:shd w:val="clear" w:color="auto" w:fill="auto"/>
          </w:tcPr>
          <w:p w14:paraId="6AAB8901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0.3</w:t>
            </w:r>
            <w:r w:rsidRPr="007A4CEF">
              <w:rPr>
                <w:rFonts w:ascii="Times" w:hAnsi="Times" w:cs="Calibri"/>
                <w:color w:val="000000" w:themeColor="text1"/>
                <w:vertAlign w:val="superscript"/>
              </w:rPr>
              <w:t xml:space="preserve"> g</w:t>
            </w:r>
          </w:p>
        </w:tc>
        <w:tc>
          <w:tcPr>
            <w:tcW w:w="1597" w:type="pct"/>
            <w:shd w:val="clear" w:color="auto" w:fill="auto"/>
          </w:tcPr>
          <w:p w14:paraId="51B3D696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(0.02-3.4)</w:t>
            </w:r>
          </w:p>
        </w:tc>
      </w:tr>
      <w:tr w:rsidR="005C7FAF" w:rsidRPr="007A4CEF" w14:paraId="28B9FE5D" w14:textId="77777777" w:rsidTr="002B1093">
        <w:tc>
          <w:tcPr>
            <w:tcW w:w="1547" w:type="pct"/>
            <w:shd w:val="clear" w:color="auto" w:fill="auto"/>
          </w:tcPr>
          <w:p w14:paraId="4A2DBD56" w14:textId="77777777" w:rsidR="005C7FAF" w:rsidRPr="007A4CEF" w:rsidRDefault="005C7FAF" w:rsidP="002B1093">
            <w:pPr>
              <w:keepNext/>
              <w:keepLines/>
              <w:spacing w:before="200"/>
              <w:outlineLvl w:val="8"/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High-dose isoniazid</w:t>
            </w:r>
          </w:p>
        </w:tc>
        <w:tc>
          <w:tcPr>
            <w:tcW w:w="768" w:type="pct"/>
            <w:shd w:val="clear" w:color="auto" w:fill="auto"/>
          </w:tcPr>
          <w:p w14:paraId="57C564BB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130 (28)</w:t>
            </w:r>
          </w:p>
        </w:tc>
        <w:tc>
          <w:tcPr>
            <w:tcW w:w="1088" w:type="pct"/>
            <w:shd w:val="clear" w:color="auto" w:fill="auto"/>
          </w:tcPr>
          <w:p w14:paraId="4AB647A1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5.9</w:t>
            </w:r>
            <w:r w:rsidRPr="007A4CEF">
              <w:rPr>
                <w:rFonts w:ascii="Times" w:hAnsi="Times" w:cs="Calibri"/>
                <w:color w:val="000000" w:themeColor="text1"/>
                <w:vertAlign w:val="superscript"/>
              </w:rPr>
              <w:t xml:space="preserve"> g</w:t>
            </w:r>
          </w:p>
        </w:tc>
        <w:tc>
          <w:tcPr>
            <w:tcW w:w="1597" w:type="pct"/>
            <w:shd w:val="clear" w:color="auto" w:fill="auto"/>
          </w:tcPr>
          <w:p w14:paraId="4DE6C254" w14:textId="77777777" w:rsidR="005C7FAF" w:rsidRPr="007A4CEF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7A4CEF">
              <w:rPr>
                <w:rFonts w:ascii="Times" w:hAnsi="Times" w:cs="Calibri"/>
                <w:color w:val="000000" w:themeColor="text1"/>
              </w:rPr>
              <w:t>(0.9-20.6)</w:t>
            </w:r>
          </w:p>
        </w:tc>
      </w:tr>
      <w:tr w:rsidR="005C7FAF" w:rsidRPr="00D80C5C" w14:paraId="0488FF92" w14:textId="77777777" w:rsidTr="002B1093">
        <w:tc>
          <w:tcPr>
            <w:tcW w:w="1547" w:type="pct"/>
            <w:shd w:val="clear" w:color="auto" w:fill="auto"/>
          </w:tcPr>
          <w:p w14:paraId="025FF434" w14:textId="77777777" w:rsidR="005C7FAF" w:rsidRPr="00D80C5C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Para-aminosalicylic acid</w:t>
            </w:r>
          </w:p>
        </w:tc>
        <w:tc>
          <w:tcPr>
            <w:tcW w:w="768" w:type="pct"/>
            <w:shd w:val="clear" w:color="auto" w:fill="auto"/>
          </w:tcPr>
          <w:p w14:paraId="36282E22" w14:textId="77777777" w:rsidR="005C7FAF" w:rsidRPr="00D80C5C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48 (10)</w:t>
            </w:r>
          </w:p>
        </w:tc>
        <w:tc>
          <w:tcPr>
            <w:tcW w:w="1088" w:type="pct"/>
            <w:shd w:val="clear" w:color="auto" w:fill="auto"/>
          </w:tcPr>
          <w:p w14:paraId="3E7E8D85" w14:textId="77777777" w:rsidR="005C7FAF" w:rsidRPr="00D80C5C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0.8</w:t>
            </w:r>
            <w:r w:rsidRPr="00D80C5C">
              <w:rPr>
                <w:rFonts w:ascii="Times" w:hAnsi="Times" w:cs="Calibri"/>
                <w:color w:val="000000" w:themeColor="text1"/>
                <w:vertAlign w:val="superscript"/>
              </w:rPr>
              <w:t>g</w:t>
            </w:r>
          </w:p>
        </w:tc>
        <w:tc>
          <w:tcPr>
            <w:tcW w:w="1597" w:type="pct"/>
            <w:shd w:val="clear" w:color="auto" w:fill="auto"/>
          </w:tcPr>
          <w:p w14:paraId="1807F685" w14:textId="77777777" w:rsidR="005C7FAF" w:rsidRPr="00D80C5C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(0.1-5.5)</w:t>
            </w:r>
          </w:p>
        </w:tc>
      </w:tr>
      <w:tr w:rsidR="005C7FAF" w:rsidRPr="00D80C5C" w14:paraId="39D10F38" w14:textId="77777777" w:rsidTr="002B1093">
        <w:tc>
          <w:tcPr>
            <w:tcW w:w="1547" w:type="pct"/>
            <w:shd w:val="clear" w:color="auto" w:fill="auto"/>
          </w:tcPr>
          <w:p w14:paraId="16C140CF" w14:textId="77777777" w:rsidR="005C7FAF" w:rsidRPr="00D80C5C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Clarithromycin</w:t>
            </w:r>
          </w:p>
        </w:tc>
        <w:tc>
          <w:tcPr>
            <w:tcW w:w="768" w:type="pct"/>
            <w:shd w:val="clear" w:color="auto" w:fill="auto"/>
          </w:tcPr>
          <w:p w14:paraId="0EE00498" w14:textId="77777777" w:rsidR="005C7FAF" w:rsidRPr="00D80C5C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23 (5)</w:t>
            </w:r>
          </w:p>
        </w:tc>
        <w:tc>
          <w:tcPr>
            <w:tcW w:w="1088" w:type="pct"/>
            <w:shd w:val="clear" w:color="auto" w:fill="auto"/>
          </w:tcPr>
          <w:p w14:paraId="431CE1F5" w14:textId="77777777" w:rsidR="005C7FAF" w:rsidRPr="00D80C5C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0.5</w:t>
            </w:r>
            <w:r w:rsidRPr="00D80C5C">
              <w:rPr>
                <w:rFonts w:ascii="Times" w:hAnsi="Times" w:cs="Calibri"/>
                <w:color w:val="000000" w:themeColor="text1"/>
                <w:vertAlign w:val="superscript"/>
              </w:rPr>
              <w:t>g</w:t>
            </w:r>
          </w:p>
        </w:tc>
        <w:tc>
          <w:tcPr>
            <w:tcW w:w="1597" w:type="pct"/>
            <w:shd w:val="clear" w:color="auto" w:fill="auto"/>
          </w:tcPr>
          <w:p w14:paraId="46154A52" w14:textId="77777777" w:rsidR="005C7FAF" w:rsidRPr="00D80C5C" w:rsidRDefault="005C7FAF" w:rsidP="002B1093">
            <w:pPr>
              <w:keepNext/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(0.1-2.5)</w:t>
            </w:r>
          </w:p>
        </w:tc>
      </w:tr>
      <w:tr w:rsidR="005C7FAF" w:rsidRPr="00D80C5C" w14:paraId="4B8FDB14" w14:textId="77777777" w:rsidTr="002B1093">
        <w:tc>
          <w:tcPr>
            <w:tcW w:w="1547" w:type="pct"/>
            <w:shd w:val="clear" w:color="auto" w:fill="auto"/>
          </w:tcPr>
          <w:p w14:paraId="2441B29C" w14:textId="77777777" w:rsidR="005C7FAF" w:rsidRPr="00D80C5C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Late-FQ</w:t>
            </w:r>
          </w:p>
        </w:tc>
        <w:tc>
          <w:tcPr>
            <w:tcW w:w="768" w:type="pct"/>
            <w:shd w:val="clear" w:color="auto" w:fill="auto"/>
          </w:tcPr>
          <w:p w14:paraId="076DC74B" w14:textId="77777777" w:rsidR="005C7FAF" w:rsidRPr="00D80C5C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088" w:type="pct"/>
            <w:shd w:val="clear" w:color="auto" w:fill="auto"/>
          </w:tcPr>
          <w:p w14:paraId="198339B4" w14:textId="77777777" w:rsidR="005C7FAF" w:rsidRPr="00D80C5C" w:rsidRDefault="005C7FAF" w:rsidP="002B1093">
            <w:pPr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0.3</w:t>
            </w:r>
            <w:r w:rsidRPr="00D80C5C">
              <w:rPr>
                <w:rFonts w:ascii="Times" w:hAnsi="Times" w:cs="Calibri"/>
                <w:color w:val="000000" w:themeColor="text1"/>
                <w:vertAlign w:val="superscript"/>
              </w:rPr>
              <w:t>g</w:t>
            </w:r>
          </w:p>
        </w:tc>
        <w:tc>
          <w:tcPr>
            <w:tcW w:w="1597" w:type="pct"/>
            <w:shd w:val="clear" w:color="auto" w:fill="auto"/>
          </w:tcPr>
          <w:p w14:paraId="5A495D5F" w14:textId="77777777" w:rsidR="005C7FAF" w:rsidRPr="00D80C5C" w:rsidRDefault="005C7FAF" w:rsidP="002B1093">
            <w:pPr>
              <w:keepNext/>
              <w:rPr>
                <w:rFonts w:ascii="Times" w:hAnsi="Times" w:cs="Calibri"/>
                <w:color w:val="000000" w:themeColor="text1"/>
              </w:rPr>
            </w:pPr>
            <w:r w:rsidRPr="00D80C5C">
              <w:rPr>
                <w:rFonts w:ascii="Times" w:hAnsi="Times" w:cs="Calibri"/>
                <w:color w:val="000000" w:themeColor="text1"/>
              </w:rPr>
              <w:t>(0.06-1.5)</w:t>
            </w:r>
          </w:p>
        </w:tc>
      </w:tr>
    </w:tbl>
    <w:p w14:paraId="68D478BD" w14:textId="77777777" w:rsidR="005C7FAF" w:rsidRPr="007A4CEF" w:rsidRDefault="005C7FAF" w:rsidP="005C7FAF">
      <w:pPr>
        <w:pStyle w:val="Caption"/>
        <w:spacing w:line="480" w:lineRule="auto"/>
        <w:rPr>
          <w:rFonts w:ascii="Times" w:hAnsi="Times" w:cs="Calibri"/>
          <w:b w:val="0"/>
          <w:color w:val="000000" w:themeColor="text1"/>
          <w:sz w:val="24"/>
          <w:szCs w:val="24"/>
        </w:rPr>
      </w:pPr>
      <w:r w:rsidRPr="007A4CEF">
        <w:rPr>
          <w:rFonts w:ascii="Times" w:hAnsi="Times"/>
          <w:color w:val="000000" w:themeColor="text1"/>
          <w:sz w:val="24"/>
          <w:szCs w:val="24"/>
        </w:rPr>
        <w:t xml:space="preserve">  </w:t>
      </w:r>
      <w:r w:rsidRPr="007A4CEF">
        <w:rPr>
          <w:rFonts w:ascii="Times" w:hAnsi="Times" w:cs="Calibri"/>
          <w:b w:val="0"/>
          <w:color w:val="000000" w:themeColor="text1"/>
          <w:sz w:val="24"/>
          <w:szCs w:val="24"/>
        </w:rPr>
        <w:t>Treatment success was compared to  Failure/Death by drug use</w:t>
      </w:r>
    </w:p>
    <w:p w14:paraId="3A28C8C5" w14:textId="77777777" w:rsidR="005C7FAF" w:rsidRPr="007A4CEF" w:rsidRDefault="005C7FAF" w:rsidP="005C7FAF">
      <w:pPr>
        <w:rPr>
          <w:rFonts w:ascii="Times" w:hAnsi="Times"/>
          <w:color w:val="000000" w:themeColor="text1"/>
        </w:rPr>
      </w:pPr>
      <w:r w:rsidRPr="007A4CEF">
        <w:rPr>
          <w:rFonts w:ascii="Times" w:hAnsi="Times"/>
          <w:color w:val="000000" w:themeColor="text1"/>
          <w:vertAlign w:val="superscript"/>
        </w:rPr>
        <w:t>a</w:t>
      </w:r>
      <w:r w:rsidRPr="007A4CEF">
        <w:rPr>
          <w:rFonts w:ascii="Times" w:hAnsi="Times"/>
          <w:color w:val="000000" w:themeColor="text1"/>
        </w:rPr>
        <w:t>The adjusted estimates for the clinically diagnosed children were not possible due to very low rates of failure</w:t>
      </w:r>
    </w:p>
    <w:p w14:paraId="49AB0CCD" w14:textId="77777777" w:rsidR="005C7FAF" w:rsidRPr="007A4CEF" w:rsidRDefault="005C7FAF" w:rsidP="005C7FAF">
      <w:pPr>
        <w:rPr>
          <w:rFonts w:ascii="Times" w:hAnsi="Times"/>
          <w:color w:val="000000" w:themeColor="text1"/>
        </w:rPr>
      </w:pPr>
      <w:r w:rsidRPr="007A4CEF">
        <w:rPr>
          <w:rFonts w:ascii="Times" w:hAnsi="Times"/>
          <w:color w:val="000000" w:themeColor="text1"/>
          <w:vertAlign w:val="superscript"/>
        </w:rPr>
        <w:t>b</w:t>
      </w:r>
      <w:r w:rsidRPr="007A4CEF">
        <w:rPr>
          <w:rFonts w:ascii="Times" w:hAnsi="Times"/>
          <w:color w:val="000000" w:themeColor="text1"/>
        </w:rPr>
        <w:t>Lost to follow-up was excluded from analysis</w:t>
      </w:r>
    </w:p>
    <w:p w14:paraId="4216E924" w14:textId="77777777" w:rsidR="005C7FAF" w:rsidRPr="007A4CEF" w:rsidRDefault="005C7FAF" w:rsidP="005C7FAF">
      <w:pPr>
        <w:pStyle w:val="Caption"/>
        <w:spacing w:after="0"/>
        <w:rPr>
          <w:rFonts w:ascii="Times" w:hAnsi="Times"/>
          <w:b w:val="0"/>
          <w:color w:val="000000" w:themeColor="text1"/>
          <w:sz w:val="24"/>
          <w:szCs w:val="24"/>
        </w:rPr>
      </w:pPr>
      <w:r w:rsidRPr="007A4CEF">
        <w:rPr>
          <w:rFonts w:ascii="Times" w:hAnsi="Times"/>
          <w:b w:val="0"/>
          <w:color w:val="000000" w:themeColor="text1"/>
          <w:sz w:val="24"/>
          <w:szCs w:val="24"/>
          <w:vertAlign w:val="superscript"/>
        </w:rPr>
        <w:t>c</w:t>
      </w:r>
      <w:r w:rsidRPr="007A4CEF">
        <w:rPr>
          <w:rFonts w:ascii="Times" w:hAnsi="Times" w:cs="Lucida Grande"/>
          <w:b w:val="0"/>
          <w:color w:val="000000" w:themeColor="text1"/>
          <w:sz w:val="24"/>
          <w:szCs w:val="24"/>
        </w:rPr>
        <w:t>All random effects (random intercept and random slope) models used maximum likelihood estimation with quadrature approximation, and were specified with an unstructured variance-covariance matrix parameterized through its Cholesky root unless otherwise stated</w:t>
      </w:r>
      <w:r w:rsidRPr="007A4CEF">
        <w:rPr>
          <w:rFonts w:ascii="Times" w:hAnsi="Times"/>
          <w:b w:val="0"/>
          <w:color w:val="000000" w:themeColor="text1"/>
          <w:sz w:val="24"/>
          <w:szCs w:val="24"/>
        </w:rPr>
        <w:t xml:space="preserve">. </w:t>
      </w:r>
    </w:p>
    <w:p w14:paraId="03FAEDA9" w14:textId="77777777" w:rsidR="005C7FAF" w:rsidRPr="007A4CEF" w:rsidRDefault="005C7FAF" w:rsidP="005C7FAF">
      <w:pPr>
        <w:rPr>
          <w:rFonts w:ascii="Times" w:hAnsi="Times"/>
          <w:color w:val="000000" w:themeColor="text1"/>
        </w:rPr>
      </w:pPr>
      <w:r w:rsidRPr="007A4CEF">
        <w:rPr>
          <w:rFonts w:ascii="Times" w:hAnsi="Times"/>
          <w:color w:val="000000" w:themeColor="text1"/>
          <w:vertAlign w:val="superscript"/>
        </w:rPr>
        <w:t>d</w:t>
      </w:r>
      <w:r w:rsidRPr="007A4CEF">
        <w:rPr>
          <w:rFonts w:ascii="Times" w:hAnsi="Times"/>
          <w:color w:val="000000" w:themeColor="text1"/>
        </w:rPr>
        <w:t>Too few children were treated with late generation fluoroquinolones, carbapenems and linezolid to be analysed.  No children in these cohorts were treated with bedaquiline or delamanid.</w:t>
      </w:r>
    </w:p>
    <w:p w14:paraId="4C7C2F3B" w14:textId="77777777" w:rsidR="005C7FAF" w:rsidRPr="007A4CEF" w:rsidRDefault="005C7FAF" w:rsidP="005C7FAF">
      <w:pPr>
        <w:pStyle w:val="Caption"/>
        <w:spacing w:after="0"/>
        <w:rPr>
          <w:rFonts w:ascii="Times" w:hAnsi="Times"/>
          <w:b w:val="0"/>
          <w:color w:val="000000" w:themeColor="text1"/>
          <w:sz w:val="24"/>
          <w:szCs w:val="24"/>
        </w:rPr>
      </w:pPr>
      <w:r w:rsidRPr="007A4CEF">
        <w:rPr>
          <w:rFonts w:ascii="Times" w:hAnsi="Times"/>
          <w:b w:val="0"/>
          <w:color w:val="000000" w:themeColor="text1"/>
          <w:sz w:val="24"/>
          <w:szCs w:val="24"/>
          <w:vertAlign w:val="superscript"/>
        </w:rPr>
        <w:t>e</w:t>
      </w:r>
      <w:r w:rsidRPr="007A4CEF">
        <w:rPr>
          <w:rFonts w:ascii="Times" w:hAnsi="Times"/>
          <w:b w:val="0"/>
          <w:color w:val="000000" w:themeColor="text1"/>
          <w:sz w:val="24"/>
          <w:szCs w:val="24"/>
        </w:rPr>
        <w:t xml:space="preserve">aOR, for use of drug, with non-use as reference category.  Adjusted for age, sex, HIV infection, malnutrition, severity of disease on chest radiograph and severity of extrapulmonary disease </w:t>
      </w:r>
    </w:p>
    <w:p w14:paraId="532CC52C" w14:textId="77777777" w:rsidR="005C7FAF" w:rsidRPr="007A4CEF" w:rsidRDefault="005C7FAF" w:rsidP="005C7FAF">
      <w:pPr>
        <w:pStyle w:val="Caption"/>
        <w:spacing w:after="0"/>
        <w:rPr>
          <w:rFonts w:ascii="Times" w:hAnsi="Times"/>
          <w:b w:val="0"/>
          <w:color w:val="000000" w:themeColor="text1"/>
          <w:sz w:val="24"/>
          <w:szCs w:val="24"/>
        </w:rPr>
      </w:pPr>
      <w:r w:rsidRPr="007A4CEF">
        <w:rPr>
          <w:rFonts w:ascii="Times" w:hAnsi="Times"/>
          <w:b w:val="0"/>
          <w:color w:val="000000" w:themeColor="text1"/>
          <w:sz w:val="24"/>
          <w:szCs w:val="24"/>
          <w:vertAlign w:val="superscript"/>
        </w:rPr>
        <w:lastRenderedPageBreak/>
        <w:t>f</w:t>
      </w:r>
      <w:r w:rsidRPr="007A4CEF">
        <w:rPr>
          <w:rFonts w:ascii="Times" w:hAnsi="Times"/>
          <w:b w:val="0"/>
          <w:color w:val="000000" w:themeColor="text1"/>
          <w:sz w:val="24"/>
          <w:szCs w:val="24"/>
        </w:rPr>
        <w:t xml:space="preserve">Second-line injectable agents are amikacin, kanamycin and capreomycin </w:t>
      </w:r>
    </w:p>
    <w:p w14:paraId="7795018C" w14:textId="77777777" w:rsidR="005C7FAF" w:rsidRDefault="005C7FAF" w:rsidP="005C7FAF">
      <w:pPr>
        <w:pStyle w:val="Caption"/>
        <w:spacing w:after="0"/>
        <w:rPr>
          <w:rFonts w:ascii="Times" w:hAnsi="Times"/>
          <w:b w:val="0"/>
          <w:color w:val="000000" w:themeColor="text1"/>
          <w:sz w:val="24"/>
          <w:szCs w:val="24"/>
        </w:rPr>
      </w:pPr>
      <w:r w:rsidRPr="007A4CEF">
        <w:rPr>
          <w:rFonts w:ascii="Times" w:hAnsi="Times"/>
          <w:b w:val="0"/>
          <w:color w:val="000000" w:themeColor="text1"/>
          <w:sz w:val="24"/>
          <w:szCs w:val="24"/>
          <w:vertAlign w:val="superscript"/>
        </w:rPr>
        <w:t>g</w:t>
      </w:r>
      <w:r w:rsidRPr="007A4CEF">
        <w:rPr>
          <w:rFonts w:ascii="Times" w:hAnsi="Times"/>
          <w:b w:val="0"/>
          <w:color w:val="000000" w:themeColor="text1"/>
          <w:sz w:val="24"/>
          <w:szCs w:val="24"/>
        </w:rPr>
        <w:t xml:space="preserve">Random-slope only model without random intercept, specified with standard variance components </w:t>
      </w:r>
    </w:p>
    <w:p w14:paraId="2A694C86" w14:textId="77777777" w:rsidR="00CF301B" w:rsidRDefault="00CF301B">
      <w:bookmarkStart w:id="0" w:name="_GoBack"/>
      <w:bookmarkEnd w:id="0"/>
    </w:p>
    <w:sectPr w:rsidR="00CF301B" w:rsidSect="005C7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AF"/>
    <w:rsid w:val="005C7FAF"/>
    <w:rsid w:val="00882298"/>
    <w:rsid w:val="00BF36AD"/>
    <w:rsid w:val="00C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5A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AF"/>
    <w:rPr>
      <w:rFonts w:ascii="Calibri" w:eastAsia="MS Mincho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C7FAF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AF"/>
    <w:rPr>
      <w:rFonts w:ascii="Calibri" w:eastAsia="MS Mincho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C7FAF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EHARAUSZ</dc:creator>
  <cp:keywords/>
  <dc:description/>
  <cp:lastModifiedBy>EHARAUSZ</cp:lastModifiedBy>
  <cp:revision>2</cp:revision>
  <dcterms:created xsi:type="dcterms:W3CDTF">2018-03-20T16:18:00Z</dcterms:created>
  <dcterms:modified xsi:type="dcterms:W3CDTF">2018-03-20T16:21:00Z</dcterms:modified>
</cp:coreProperties>
</file>