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F6744" w14:textId="2AEE075D" w:rsidR="00BC2893" w:rsidRDefault="008519C8" w:rsidP="008519C8">
      <w:pPr>
        <w:rPr>
          <w:b/>
        </w:rPr>
      </w:pPr>
      <w:r>
        <w:rPr>
          <w:b/>
        </w:rPr>
        <w:t xml:space="preserve">Supplemental materials for: </w:t>
      </w:r>
      <w:r w:rsidRPr="008519C8">
        <w:t>Fleming-Dutra et al.</w:t>
      </w:r>
      <w:r w:rsidR="005D3B1E" w:rsidRPr="007A64CA">
        <w:rPr>
          <w:b/>
        </w:rPr>
        <w:t xml:space="preserve"> </w:t>
      </w:r>
      <w:r w:rsidR="00932E63" w:rsidRPr="007A64CA">
        <w:t>C</w:t>
      </w:r>
      <w:r w:rsidR="005D3B1E" w:rsidRPr="007A64CA">
        <w:t xml:space="preserve">haracteristics </w:t>
      </w:r>
      <w:r w:rsidR="00932E63" w:rsidRPr="007A64CA">
        <w:t xml:space="preserve">of primary care physicians </w:t>
      </w:r>
      <w:r w:rsidR="005D3B1E" w:rsidRPr="007A64CA">
        <w:t>associated with high outpatient antibiotic prescribing</w:t>
      </w:r>
      <w:r w:rsidR="00EB739C">
        <w:t xml:space="preserve"> </w:t>
      </w:r>
      <w:r w:rsidR="00B878A3">
        <w:t>volume</w:t>
      </w:r>
    </w:p>
    <w:p w14:paraId="0A2C321D" w14:textId="5BABCD78" w:rsidR="00AE696D" w:rsidRPr="008519C8" w:rsidRDefault="00AE696D" w:rsidP="00AE696D">
      <w:pPr>
        <w:rPr>
          <w:b/>
        </w:rPr>
      </w:pPr>
      <w:r w:rsidRPr="00434645">
        <w:rPr>
          <w:u w:val="single"/>
        </w:rPr>
        <w:t>Modeling methods:</w:t>
      </w:r>
    </w:p>
    <w:p w14:paraId="5C8B27C6" w14:textId="19BB5B09" w:rsidR="00AE696D" w:rsidRDefault="00AE696D" w:rsidP="00AE696D">
      <w:pPr>
        <w:spacing w:line="240" w:lineRule="auto"/>
      </w:pPr>
      <w:r w:rsidRPr="007A64CA">
        <w:t>We consider</w:t>
      </w:r>
      <w:r>
        <w:t>ed</w:t>
      </w:r>
      <w:r w:rsidRPr="007A64CA">
        <w:t xml:space="preserve"> each factor as</w:t>
      </w:r>
      <w:r>
        <w:t xml:space="preserve"> a</w:t>
      </w:r>
      <w:r w:rsidRPr="007A64CA">
        <w:t xml:space="preserve"> primary exposure and perform</w:t>
      </w:r>
      <w:r>
        <w:t>ed</w:t>
      </w:r>
      <w:r w:rsidRPr="007A64CA">
        <w:t xml:space="preserve"> univariate and multivariate regression analyses.  In multivariate analyses, when a factor </w:t>
      </w:r>
      <w:r>
        <w:t>wa</w:t>
      </w:r>
      <w:r w:rsidRPr="007A64CA">
        <w:t xml:space="preserve">s the primary exposure, the other factors </w:t>
      </w:r>
      <w:r>
        <w:t>were</w:t>
      </w:r>
      <w:r w:rsidRPr="007A64CA">
        <w:t xml:space="preserve"> considered as potential confounders.  For each primary exposure, first, we </w:t>
      </w:r>
      <w:r>
        <w:t>c</w:t>
      </w:r>
      <w:r w:rsidRPr="007A64CA">
        <w:t>reate</w:t>
      </w:r>
      <w:r>
        <w:t>d</w:t>
      </w:r>
      <w:r w:rsidRPr="007A64CA">
        <w:t xml:space="preserve"> a full model using all potential confounders (i.e. the other four factors). Then, we compare</w:t>
      </w:r>
      <w:r>
        <w:t>d</w:t>
      </w:r>
      <w:r w:rsidRPr="007A64CA">
        <w:t xml:space="preserve"> this full model to all other possible subsets of potential confounders.  Initially, we chose models with PRs of primary exposure (adjusted prevalence ratios) that </w:t>
      </w:r>
      <w:r>
        <w:t>were</w:t>
      </w:r>
      <w:r w:rsidRPr="007A64CA">
        <w:t xml:space="preserve"> within 10% change from the full model.  We </w:t>
      </w:r>
      <w:r>
        <w:t>then</w:t>
      </w:r>
      <w:r w:rsidRPr="007A64CA">
        <w:t xml:space="preserve"> chose the best model with adjusted prevalence ratio that is closest to the estimate from the full model and confidence interval that </w:t>
      </w:r>
      <w:r>
        <w:t>wa</w:t>
      </w:r>
      <w:r w:rsidRPr="007A64CA">
        <w:t>s more precise. However, when adjusted estimates from the other subset models are similar but do not result to substantial increase in precision compared to the full model, we consider</w:t>
      </w:r>
      <w:r>
        <w:t>ed</w:t>
      </w:r>
      <w:r w:rsidRPr="007A64CA">
        <w:t xml:space="preserve"> the full model as the best model.  We compute</w:t>
      </w:r>
      <w:r>
        <w:t>d</w:t>
      </w:r>
      <w:r w:rsidRPr="007A64CA">
        <w:t xml:space="preserve"> adjusted PR</w:t>
      </w:r>
      <w:r>
        <w:t>s</w:t>
      </w:r>
      <w:r w:rsidRPr="007A64CA">
        <w:t xml:space="preserve"> and 95% confidence interval</w:t>
      </w:r>
      <w:r>
        <w:t>s (CIs)</w:t>
      </w:r>
      <w:r w:rsidRPr="007A64CA">
        <w:t xml:space="preserve"> for these associations</w:t>
      </w:r>
      <w:r>
        <w:t xml:space="preserve">. </w:t>
      </w:r>
    </w:p>
    <w:p w14:paraId="6181BB55" w14:textId="77777777" w:rsidR="00AE696D" w:rsidRDefault="00AE696D" w:rsidP="00AE696D">
      <w:pPr>
        <w:rPr>
          <w:b/>
        </w:rPr>
      </w:pPr>
    </w:p>
    <w:p w14:paraId="48FC9501" w14:textId="77777777" w:rsidR="00AE696D" w:rsidRPr="00DD496A" w:rsidRDefault="00AE696D" w:rsidP="00AE696D">
      <w:r>
        <w:rPr>
          <w:b/>
        </w:rPr>
        <w:t xml:space="preserve">Supplemental </w:t>
      </w:r>
      <w:r w:rsidRPr="00DD496A">
        <w:rPr>
          <w:b/>
        </w:rPr>
        <w:t xml:space="preserve">Table </w:t>
      </w:r>
      <w:r>
        <w:rPr>
          <w:b/>
        </w:rPr>
        <w:t>1</w:t>
      </w:r>
      <w:r w:rsidRPr="00DD496A">
        <w:rPr>
          <w:b/>
        </w:rPr>
        <w:t>.</w:t>
      </w:r>
      <w:r w:rsidRPr="00DD496A">
        <w:t xml:space="preserve">  Number of physicians, by specialty, meeting exclusion and inclusion criteria</w:t>
      </w:r>
      <w:r w:rsidRPr="00EF7856">
        <w:rPr>
          <w:rFonts w:cs="Arial"/>
        </w:rPr>
        <w:t xml:space="preserve"> </w:t>
      </w:r>
      <w:r w:rsidRPr="00DD496A">
        <w:rPr>
          <w:rFonts w:cs="Arial"/>
        </w:rPr>
        <w:t>by specialty</w:t>
      </w:r>
      <w:r>
        <w:rPr>
          <w:rFonts w:cs="Arial"/>
        </w:rPr>
        <w:t>—</w:t>
      </w:r>
      <w:proofErr w:type="spellStart"/>
      <w:r>
        <w:rPr>
          <w:rFonts w:cs="Arial"/>
        </w:rPr>
        <w:t>QuintilesIMS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Xponent</w:t>
      </w:r>
      <w:proofErr w:type="spellEnd"/>
      <w:r>
        <w:rPr>
          <w:rFonts w:cs="Arial"/>
        </w:rPr>
        <w:t xml:space="preserve"> and A</w:t>
      </w:r>
      <w:r>
        <w:t xml:space="preserve">MA </w:t>
      </w:r>
      <w:r>
        <w:rPr>
          <w:rFonts w:cs="Arial"/>
        </w:rPr>
        <w:t>Physician Professional Data, 2011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965"/>
        <w:gridCol w:w="1462"/>
        <w:gridCol w:w="1462"/>
        <w:gridCol w:w="1462"/>
      </w:tblGrid>
      <w:tr w:rsidR="00AE696D" w:rsidRPr="00DD496A" w14:paraId="030B8190" w14:textId="77777777" w:rsidTr="00EB739C">
        <w:trPr>
          <w:trHeight w:val="300"/>
        </w:trPr>
        <w:tc>
          <w:tcPr>
            <w:tcW w:w="4965" w:type="dxa"/>
            <w:noWrap/>
            <w:vAlign w:val="bottom"/>
          </w:tcPr>
          <w:p w14:paraId="1CED1B23" w14:textId="77777777" w:rsidR="00AE696D" w:rsidRPr="00DD496A" w:rsidRDefault="00AE696D" w:rsidP="00EB739C">
            <w:pPr>
              <w:rPr>
                <w:b/>
              </w:rPr>
            </w:pPr>
            <w:r w:rsidRPr="00DD496A">
              <w:rPr>
                <w:b/>
              </w:rPr>
              <w:t>Criteria</w:t>
            </w:r>
          </w:p>
        </w:tc>
        <w:tc>
          <w:tcPr>
            <w:tcW w:w="4386" w:type="dxa"/>
            <w:gridSpan w:val="3"/>
            <w:noWrap/>
            <w:vAlign w:val="bottom"/>
          </w:tcPr>
          <w:p w14:paraId="4F36C40A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Number of Physicians by Specialty</w:t>
            </w:r>
          </w:p>
        </w:tc>
      </w:tr>
      <w:tr w:rsidR="00AE696D" w:rsidRPr="00DD496A" w14:paraId="4164A239" w14:textId="77777777" w:rsidTr="00EB739C">
        <w:trPr>
          <w:trHeight w:val="300"/>
        </w:trPr>
        <w:tc>
          <w:tcPr>
            <w:tcW w:w="4965" w:type="dxa"/>
            <w:noWrap/>
            <w:vAlign w:val="bottom"/>
          </w:tcPr>
          <w:p w14:paraId="6B762130" w14:textId="77777777" w:rsidR="00AE696D" w:rsidRPr="00DD496A" w:rsidRDefault="00AE696D" w:rsidP="00EB739C">
            <w:pPr>
              <w:rPr>
                <w:b/>
              </w:rPr>
            </w:pPr>
          </w:p>
        </w:tc>
        <w:tc>
          <w:tcPr>
            <w:tcW w:w="1462" w:type="dxa"/>
            <w:noWrap/>
            <w:vAlign w:val="bottom"/>
          </w:tcPr>
          <w:p w14:paraId="2DE43144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Family practice</w:t>
            </w:r>
          </w:p>
        </w:tc>
        <w:tc>
          <w:tcPr>
            <w:tcW w:w="1462" w:type="dxa"/>
            <w:noWrap/>
            <w:vAlign w:val="bottom"/>
          </w:tcPr>
          <w:p w14:paraId="2642CDCE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Internal medicine</w:t>
            </w:r>
          </w:p>
        </w:tc>
        <w:tc>
          <w:tcPr>
            <w:tcW w:w="1462" w:type="dxa"/>
            <w:vAlign w:val="bottom"/>
          </w:tcPr>
          <w:p w14:paraId="6BDE11FA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Pediatrics</w:t>
            </w:r>
          </w:p>
        </w:tc>
      </w:tr>
      <w:tr w:rsidR="00AE696D" w:rsidRPr="00DD496A" w14:paraId="0F1AC82D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4CB04F08" w14:textId="77777777" w:rsidR="00AE696D" w:rsidRPr="00DD496A" w:rsidRDefault="00AE696D" w:rsidP="00EB739C">
            <w:pPr>
              <w:ind w:left="247"/>
            </w:pPr>
            <w:r w:rsidRPr="00DD496A">
              <w:t>Location in the 50 U.S. States (excluding territories)</w:t>
            </w:r>
          </w:p>
        </w:tc>
        <w:tc>
          <w:tcPr>
            <w:tcW w:w="1462" w:type="dxa"/>
            <w:noWrap/>
            <w:vAlign w:val="bottom"/>
            <w:hideMark/>
          </w:tcPr>
          <w:p w14:paraId="22D4B615" w14:textId="77777777" w:rsidR="00AE696D" w:rsidRPr="00DD496A" w:rsidRDefault="00AE696D" w:rsidP="00EB739C">
            <w:pPr>
              <w:jc w:val="center"/>
            </w:pPr>
            <w:r w:rsidRPr="00DD496A">
              <w:t>95344</w:t>
            </w:r>
          </w:p>
        </w:tc>
        <w:tc>
          <w:tcPr>
            <w:tcW w:w="1462" w:type="dxa"/>
            <w:noWrap/>
            <w:vAlign w:val="bottom"/>
            <w:hideMark/>
          </w:tcPr>
          <w:p w14:paraId="555A04BE" w14:textId="77777777" w:rsidR="00AE696D" w:rsidRPr="00DD496A" w:rsidRDefault="00AE696D" w:rsidP="00EB739C">
            <w:pPr>
              <w:jc w:val="center"/>
            </w:pPr>
            <w:r w:rsidRPr="00DD496A">
              <w:t>113301</w:t>
            </w:r>
          </w:p>
        </w:tc>
        <w:tc>
          <w:tcPr>
            <w:tcW w:w="1462" w:type="dxa"/>
            <w:vAlign w:val="bottom"/>
          </w:tcPr>
          <w:p w14:paraId="7974C0F1" w14:textId="77777777" w:rsidR="00AE696D" w:rsidRPr="00DD496A" w:rsidRDefault="00AE696D" w:rsidP="00EB739C">
            <w:pPr>
              <w:jc w:val="center"/>
            </w:pPr>
            <w:r w:rsidRPr="00DD496A">
              <w:t>60201</w:t>
            </w:r>
          </w:p>
        </w:tc>
      </w:tr>
      <w:tr w:rsidR="00AE696D" w:rsidRPr="00DD496A" w14:paraId="61D88EFE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117E2C1C" w14:textId="77777777" w:rsidR="00AE696D" w:rsidRPr="00DD496A" w:rsidRDefault="00AE696D" w:rsidP="00EB739C">
            <w:pPr>
              <w:ind w:left="247"/>
            </w:pPr>
            <w:r w:rsidRPr="00DD496A">
              <w:t>Engaged in direct patient care as primary professional activity</w:t>
            </w:r>
          </w:p>
        </w:tc>
        <w:tc>
          <w:tcPr>
            <w:tcW w:w="1462" w:type="dxa"/>
            <w:noWrap/>
            <w:vAlign w:val="bottom"/>
            <w:hideMark/>
          </w:tcPr>
          <w:p w14:paraId="306EE5C5" w14:textId="77777777" w:rsidR="00AE696D" w:rsidRPr="00DD496A" w:rsidRDefault="00AE696D" w:rsidP="00EB739C">
            <w:pPr>
              <w:jc w:val="center"/>
            </w:pPr>
            <w:r w:rsidRPr="00DD496A">
              <w:t>80032</w:t>
            </w:r>
          </w:p>
        </w:tc>
        <w:tc>
          <w:tcPr>
            <w:tcW w:w="1462" w:type="dxa"/>
            <w:noWrap/>
            <w:vAlign w:val="bottom"/>
            <w:hideMark/>
          </w:tcPr>
          <w:p w14:paraId="297187DE" w14:textId="77777777" w:rsidR="00AE696D" w:rsidRPr="00DD496A" w:rsidRDefault="00AE696D" w:rsidP="00EB739C">
            <w:pPr>
              <w:jc w:val="center"/>
            </w:pPr>
            <w:r w:rsidRPr="00DD496A">
              <w:t>88385</w:t>
            </w:r>
          </w:p>
        </w:tc>
        <w:tc>
          <w:tcPr>
            <w:tcW w:w="1462" w:type="dxa"/>
            <w:vAlign w:val="bottom"/>
          </w:tcPr>
          <w:p w14:paraId="03760633" w14:textId="77777777" w:rsidR="00AE696D" w:rsidRPr="00DD496A" w:rsidRDefault="00AE696D" w:rsidP="00EB739C">
            <w:pPr>
              <w:jc w:val="center"/>
            </w:pPr>
            <w:r w:rsidRPr="00DD496A">
              <w:t>48503</w:t>
            </w:r>
          </w:p>
        </w:tc>
      </w:tr>
      <w:tr w:rsidR="00AE696D" w:rsidRPr="00DD496A" w14:paraId="3AD61CC7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4BF29684" w14:textId="77777777" w:rsidR="00AE696D" w:rsidRPr="00DD496A" w:rsidRDefault="00AE696D" w:rsidP="00EB739C">
            <w:pPr>
              <w:ind w:left="247"/>
            </w:pPr>
            <w:r w:rsidRPr="00DD496A">
              <w:t>Office-based physicians</w:t>
            </w:r>
          </w:p>
        </w:tc>
        <w:tc>
          <w:tcPr>
            <w:tcW w:w="1462" w:type="dxa"/>
            <w:noWrap/>
            <w:vAlign w:val="bottom"/>
            <w:hideMark/>
          </w:tcPr>
          <w:p w14:paraId="3485238A" w14:textId="77777777" w:rsidR="00AE696D" w:rsidRPr="00DD496A" w:rsidRDefault="00AE696D" w:rsidP="00EB739C">
            <w:pPr>
              <w:jc w:val="center"/>
            </w:pPr>
            <w:r w:rsidRPr="00DD496A">
              <w:t>73412</w:t>
            </w:r>
          </w:p>
        </w:tc>
        <w:tc>
          <w:tcPr>
            <w:tcW w:w="1462" w:type="dxa"/>
            <w:noWrap/>
            <w:vAlign w:val="bottom"/>
            <w:hideMark/>
          </w:tcPr>
          <w:p w14:paraId="72B139F3" w14:textId="77777777" w:rsidR="00AE696D" w:rsidRPr="00DD496A" w:rsidRDefault="00AE696D" w:rsidP="00EB739C">
            <w:pPr>
              <w:jc w:val="center"/>
            </w:pPr>
            <w:r w:rsidRPr="00DD496A">
              <w:t>77610</w:t>
            </w:r>
          </w:p>
        </w:tc>
        <w:tc>
          <w:tcPr>
            <w:tcW w:w="1462" w:type="dxa"/>
            <w:vAlign w:val="bottom"/>
          </w:tcPr>
          <w:p w14:paraId="140910CC" w14:textId="77777777" w:rsidR="00AE696D" w:rsidRPr="00DD496A" w:rsidRDefault="00AE696D" w:rsidP="00EB739C">
            <w:pPr>
              <w:jc w:val="center"/>
            </w:pPr>
            <w:r w:rsidRPr="00DD496A">
              <w:t>43372</w:t>
            </w:r>
          </w:p>
        </w:tc>
      </w:tr>
      <w:tr w:rsidR="00AE696D" w:rsidRPr="00DD496A" w14:paraId="75B52FE3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431AE0C0" w14:textId="77777777" w:rsidR="00AE696D" w:rsidRPr="00DD496A" w:rsidRDefault="00AE696D" w:rsidP="00EB739C">
            <w:pPr>
              <w:ind w:left="247"/>
            </w:pPr>
            <w:r w:rsidRPr="00DD496A">
              <w:t>Primary specialty in Quintiles IMS and AMA database matched</w:t>
            </w:r>
          </w:p>
        </w:tc>
        <w:tc>
          <w:tcPr>
            <w:tcW w:w="1462" w:type="dxa"/>
            <w:noWrap/>
            <w:vAlign w:val="bottom"/>
            <w:hideMark/>
          </w:tcPr>
          <w:p w14:paraId="792CF326" w14:textId="77777777" w:rsidR="00AE696D" w:rsidRPr="00DD496A" w:rsidRDefault="00AE696D" w:rsidP="00EB739C">
            <w:pPr>
              <w:jc w:val="center"/>
            </w:pPr>
            <w:r w:rsidRPr="00DD496A">
              <w:t>70205</w:t>
            </w:r>
          </w:p>
        </w:tc>
        <w:tc>
          <w:tcPr>
            <w:tcW w:w="1462" w:type="dxa"/>
            <w:noWrap/>
            <w:vAlign w:val="bottom"/>
            <w:hideMark/>
          </w:tcPr>
          <w:p w14:paraId="4C78EAFF" w14:textId="77777777" w:rsidR="00AE696D" w:rsidRPr="00DD496A" w:rsidRDefault="00AE696D" w:rsidP="00EB739C">
            <w:pPr>
              <w:jc w:val="center"/>
            </w:pPr>
            <w:r w:rsidRPr="00DD496A">
              <w:t>66957</w:t>
            </w:r>
          </w:p>
        </w:tc>
        <w:tc>
          <w:tcPr>
            <w:tcW w:w="1462" w:type="dxa"/>
            <w:vAlign w:val="bottom"/>
          </w:tcPr>
          <w:p w14:paraId="55DC0B95" w14:textId="77777777" w:rsidR="00AE696D" w:rsidRPr="00DD496A" w:rsidRDefault="00AE696D" w:rsidP="00EB739C">
            <w:pPr>
              <w:jc w:val="center"/>
            </w:pPr>
            <w:r w:rsidRPr="00DD496A">
              <w:t>41189</w:t>
            </w:r>
          </w:p>
        </w:tc>
      </w:tr>
      <w:tr w:rsidR="00AE696D" w:rsidRPr="00DD496A" w14:paraId="768D3826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42FB12B9" w14:textId="77777777" w:rsidR="00AE696D" w:rsidRPr="00DD496A" w:rsidRDefault="00AE696D" w:rsidP="00EB739C">
            <w:pPr>
              <w:ind w:left="247"/>
            </w:pPr>
            <w:r w:rsidRPr="00DD496A">
              <w:t>Age 30 to &lt;65 years</w:t>
            </w:r>
          </w:p>
        </w:tc>
        <w:tc>
          <w:tcPr>
            <w:tcW w:w="1462" w:type="dxa"/>
            <w:noWrap/>
            <w:vAlign w:val="bottom"/>
            <w:hideMark/>
          </w:tcPr>
          <w:p w14:paraId="350A1568" w14:textId="77777777" w:rsidR="00AE696D" w:rsidRPr="00DD496A" w:rsidRDefault="00AE696D" w:rsidP="00EB739C">
            <w:pPr>
              <w:jc w:val="center"/>
            </w:pPr>
            <w:r w:rsidRPr="00DD496A">
              <w:t>63146</w:t>
            </w:r>
          </w:p>
        </w:tc>
        <w:tc>
          <w:tcPr>
            <w:tcW w:w="1462" w:type="dxa"/>
            <w:noWrap/>
            <w:vAlign w:val="bottom"/>
            <w:hideMark/>
          </w:tcPr>
          <w:p w14:paraId="5EE3F439" w14:textId="77777777" w:rsidR="00AE696D" w:rsidRPr="00DD496A" w:rsidRDefault="00AE696D" w:rsidP="00EB739C">
            <w:pPr>
              <w:jc w:val="center"/>
            </w:pPr>
            <w:r w:rsidRPr="00DD496A">
              <w:t>60612</w:t>
            </w:r>
          </w:p>
        </w:tc>
        <w:tc>
          <w:tcPr>
            <w:tcW w:w="1462" w:type="dxa"/>
            <w:vAlign w:val="bottom"/>
          </w:tcPr>
          <w:p w14:paraId="6A1D0672" w14:textId="77777777" w:rsidR="00AE696D" w:rsidRPr="00DD496A" w:rsidRDefault="00AE696D" w:rsidP="00EB739C">
            <w:pPr>
              <w:jc w:val="center"/>
            </w:pPr>
            <w:r w:rsidRPr="00DD496A">
              <w:t>36900</w:t>
            </w:r>
          </w:p>
        </w:tc>
      </w:tr>
      <w:tr w:rsidR="00AE696D" w:rsidRPr="00DD496A" w14:paraId="2D5DE9CC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22B009DC" w14:textId="77777777" w:rsidR="00AE696D" w:rsidRPr="00DD496A" w:rsidRDefault="00AE696D" w:rsidP="00EB739C">
            <w:pPr>
              <w:ind w:left="247"/>
            </w:pPr>
            <w:r>
              <w:t>Years after graduation &gt;5</w:t>
            </w:r>
          </w:p>
        </w:tc>
        <w:tc>
          <w:tcPr>
            <w:tcW w:w="1462" w:type="dxa"/>
            <w:noWrap/>
            <w:vAlign w:val="bottom"/>
            <w:hideMark/>
          </w:tcPr>
          <w:p w14:paraId="567700BB" w14:textId="77777777" w:rsidR="00AE696D" w:rsidRPr="00DD496A" w:rsidRDefault="00AE696D" w:rsidP="00EB739C">
            <w:pPr>
              <w:jc w:val="center"/>
            </w:pPr>
            <w:r w:rsidRPr="00DD496A">
              <w:t>60692</w:t>
            </w:r>
          </w:p>
        </w:tc>
        <w:tc>
          <w:tcPr>
            <w:tcW w:w="1462" w:type="dxa"/>
            <w:noWrap/>
            <w:vAlign w:val="bottom"/>
            <w:hideMark/>
          </w:tcPr>
          <w:p w14:paraId="2E63EE89" w14:textId="77777777" w:rsidR="00AE696D" w:rsidRPr="00DD496A" w:rsidRDefault="00AE696D" w:rsidP="00EB739C">
            <w:pPr>
              <w:jc w:val="center"/>
            </w:pPr>
            <w:r w:rsidRPr="00DD496A">
              <w:t>58918</w:t>
            </w:r>
          </w:p>
        </w:tc>
        <w:tc>
          <w:tcPr>
            <w:tcW w:w="1462" w:type="dxa"/>
            <w:vAlign w:val="bottom"/>
          </w:tcPr>
          <w:p w14:paraId="4AC2C720" w14:textId="77777777" w:rsidR="00AE696D" w:rsidRPr="00DD496A" w:rsidRDefault="00AE696D" w:rsidP="00EB739C">
            <w:pPr>
              <w:jc w:val="center"/>
            </w:pPr>
            <w:r w:rsidRPr="00DD496A">
              <w:t>35575</w:t>
            </w:r>
          </w:p>
        </w:tc>
      </w:tr>
      <w:tr w:rsidR="00AE696D" w:rsidRPr="00DD496A" w14:paraId="563FB480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06DF026B" w14:textId="77777777" w:rsidR="00AE696D" w:rsidRPr="00DD496A" w:rsidRDefault="00AE696D" w:rsidP="00EB739C">
            <w:pPr>
              <w:ind w:left="247"/>
            </w:pPr>
            <w:r w:rsidRPr="00DD496A">
              <w:t>2 or fewer offices</w:t>
            </w:r>
          </w:p>
        </w:tc>
        <w:tc>
          <w:tcPr>
            <w:tcW w:w="1462" w:type="dxa"/>
            <w:noWrap/>
            <w:vAlign w:val="bottom"/>
            <w:hideMark/>
          </w:tcPr>
          <w:p w14:paraId="346C650A" w14:textId="77777777" w:rsidR="00AE696D" w:rsidRPr="00DD496A" w:rsidRDefault="00AE696D" w:rsidP="00EB739C">
            <w:pPr>
              <w:jc w:val="center"/>
            </w:pPr>
            <w:r w:rsidRPr="00DD496A">
              <w:t>60212</w:t>
            </w:r>
          </w:p>
        </w:tc>
        <w:tc>
          <w:tcPr>
            <w:tcW w:w="1462" w:type="dxa"/>
            <w:noWrap/>
            <w:vAlign w:val="bottom"/>
            <w:hideMark/>
          </w:tcPr>
          <w:p w14:paraId="3D6D03E1" w14:textId="77777777" w:rsidR="00AE696D" w:rsidRPr="00DD496A" w:rsidRDefault="00AE696D" w:rsidP="00EB739C">
            <w:pPr>
              <w:jc w:val="center"/>
            </w:pPr>
            <w:r w:rsidRPr="00DD496A">
              <w:t>58606</w:t>
            </w:r>
          </w:p>
        </w:tc>
        <w:tc>
          <w:tcPr>
            <w:tcW w:w="1462" w:type="dxa"/>
            <w:vAlign w:val="bottom"/>
          </w:tcPr>
          <w:p w14:paraId="1A3AA103" w14:textId="77777777" w:rsidR="00AE696D" w:rsidRPr="00DD496A" w:rsidRDefault="00AE696D" w:rsidP="00EB739C">
            <w:pPr>
              <w:jc w:val="center"/>
            </w:pPr>
            <w:r w:rsidRPr="00DD496A">
              <w:t>35169</w:t>
            </w:r>
          </w:p>
        </w:tc>
      </w:tr>
      <w:tr w:rsidR="00AE696D" w:rsidRPr="00DD496A" w14:paraId="5A39EF19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64FC661E" w14:textId="77777777" w:rsidR="00AE696D" w:rsidRPr="00DD496A" w:rsidRDefault="00AE696D" w:rsidP="00EB739C">
            <w:pPr>
              <w:ind w:left="247"/>
            </w:pPr>
            <w:r w:rsidRPr="00DD496A">
              <w:t xml:space="preserve">Less than 1% of time spent in hospitals </w:t>
            </w:r>
          </w:p>
        </w:tc>
        <w:tc>
          <w:tcPr>
            <w:tcW w:w="1462" w:type="dxa"/>
            <w:noWrap/>
            <w:vAlign w:val="bottom"/>
            <w:hideMark/>
          </w:tcPr>
          <w:p w14:paraId="41E68203" w14:textId="77777777" w:rsidR="00AE696D" w:rsidRPr="00DD496A" w:rsidRDefault="00AE696D" w:rsidP="00EB739C">
            <w:pPr>
              <w:jc w:val="center"/>
            </w:pPr>
            <w:r w:rsidRPr="00DD496A">
              <w:t>43410</w:t>
            </w:r>
          </w:p>
        </w:tc>
        <w:tc>
          <w:tcPr>
            <w:tcW w:w="1462" w:type="dxa"/>
            <w:noWrap/>
            <w:vAlign w:val="bottom"/>
            <w:hideMark/>
          </w:tcPr>
          <w:p w14:paraId="43168342" w14:textId="77777777" w:rsidR="00AE696D" w:rsidRPr="00DD496A" w:rsidRDefault="00AE696D" w:rsidP="00EB739C">
            <w:pPr>
              <w:jc w:val="center"/>
            </w:pPr>
            <w:r w:rsidRPr="00DD496A">
              <w:t>41383</w:t>
            </w:r>
          </w:p>
        </w:tc>
        <w:tc>
          <w:tcPr>
            <w:tcW w:w="1462" w:type="dxa"/>
            <w:vAlign w:val="bottom"/>
          </w:tcPr>
          <w:p w14:paraId="51B65078" w14:textId="77777777" w:rsidR="00AE696D" w:rsidRPr="00DD496A" w:rsidRDefault="00AE696D" w:rsidP="00EB739C">
            <w:pPr>
              <w:jc w:val="center"/>
            </w:pPr>
            <w:r w:rsidRPr="00DD496A">
              <w:t>24417</w:t>
            </w:r>
          </w:p>
        </w:tc>
      </w:tr>
      <w:tr w:rsidR="00AE696D" w:rsidRPr="00DD496A" w14:paraId="61F96B7A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7B96744F" w14:textId="77777777" w:rsidR="00AE696D" w:rsidRPr="00DD496A" w:rsidRDefault="00AE696D" w:rsidP="00EB739C">
            <w:pPr>
              <w:ind w:left="247"/>
            </w:pPr>
            <w:r w:rsidRPr="00DD496A">
              <w:t>Not in a residency training program</w:t>
            </w:r>
          </w:p>
        </w:tc>
        <w:tc>
          <w:tcPr>
            <w:tcW w:w="1462" w:type="dxa"/>
            <w:noWrap/>
            <w:vAlign w:val="bottom"/>
            <w:hideMark/>
          </w:tcPr>
          <w:p w14:paraId="55F8FFEC" w14:textId="77777777" w:rsidR="00AE696D" w:rsidRPr="00DD496A" w:rsidRDefault="00AE696D" w:rsidP="00EB739C">
            <w:pPr>
              <w:jc w:val="center"/>
            </w:pPr>
            <w:r w:rsidRPr="00DD496A">
              <w:t>43410</w:t>
            </w:r>
          </w:p>
        </w:tc>
        <w:tc>
          <w:tcPr>
            <w:tcW w:w="1462" w:type="dxa"/>
            <w:noWrap/>
            <w:vAlign w:val="bottom"/>
            <w:hideMark/>
          </w:tcPr>
          <w:p w14:paraId="4C7ED913" w14:textId="77777777" w:rsidR="00AE696D" w:rsidRPr="00DD496A" w:rsidRDefault="00AE696D" w:rsidP="00EB739C">
            <w:pPr>
              <w:jc w:val="center"/>
            </w:pPr>
            <w:r w:rsidRPr="00DD496A">
              <w:t>41383</w:t>
            </w:r>
          </w:p>
        </w:tc>
        <w:tc>
          <w:tcPr>
            <w:tcW w:w="1462" w:type="dxa"/>
            <w:vAlign w:val="bottom"/>
          </w:tcPr>
          <w:p w14:paraId="395A8DA9" w14:textId="77777777" w:rsidR="00AE696D" w:rsidRPr="00DD496A" w:rsidRDefault="00AE696D" w:rsidP="00EB739C">
            <w:pPr>
              <w:jc w:val="center"/>
            </w:pPr>
            <w:r w:rsidRPr="00DD496A">
              <w:t>24417</w:t>
            </w:r>
          </w:p>
        </w:tc>
      </w:tr>
      <w:tr w:rsidR="00AE696D" w:rsidRPr="00DD496A" w14:paraId="3D17B5BF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389D146B" w14:textId="77777777" w:rsidR="00AE696D" w:rsidRPr="00DD496A" w:rsidRDefault="00AE696D" w:rsidP="00EB739C">
            <w:pPr>
              <w:ind w:left="247"/>
            </w:pPr>
            <w:r w:rsidRPr="00DD496A">
              <w:t>Doctor of medicine (MD) degree</w:t>
            </w:r>
          </w:p>
        </w:tc>
        <w:tc>
          <w:tcPr>
            <w:tcW w:w="1462" w:type="dxa"/>
            <w:noWrap/>
            <w:vAlign w:val="bottom"/>
            <w:hideMark/>
          </w:tcPr>
          <w:p w14:paraId="7D251254" w14:textId="77777777" w:rsidR="00AE696D" w:rsidRPr="00DD496A" w:rsidRDefault="00AE696D" w:rsidP="00EB739C">
            <w:pPr>
              <w:jc w:val="center"/>
            </w:pPr>
            <w:r w:rsidRPr="00DD496A">
              <w:t>43410</w:t>
            </w:r>
          </w:p>
        </w:tc>
        <w:tc>
          <w:tcPr>
            <w:tcW w:w="1462" w:type="dxa"/>
            <w:noWrap/>
            <w:vAlign w:val="bottom"/>
            <w:hideMark/>
          </w:tcPr>
          <w:p w14:paraId="123D08F8" w14:textId="77777777" w:rsidR="00AE696D" w:rsidRPr="00DD496A" w:rsidRDefault="00AE696D" w:rsidP="00EB739C">
            <w:pPr>
              <w:jc w:val="center"/>
            </w:pPr>
            <w:r w:rsidRPr="00DD496A">
              <w:t>41383</w:t>
            </w:r>
          </w:p>
        </w:tc>
        <w:tc>
          <w:tcPr>
            <w:tcW w:w="1462" w:type="dxa"/>
            <w:vAlign w:val="bottom"/>
          </w:tcPr>
          <w:p w14:paraId="4A8DCDA9" w14:textId="77777777" w:rsidR="00AE696D" w:rsidRPr="00DD496A" w:rsidRDefault="00AE696D" w:rsidP="00EB739C">
            <w:pPr>
              <w:jc w:val="center"/>
            </w:pPr>
            <w:r w:rsidRPr="00DD496A">
              <w:t>24417</w:t>
            </w:r>
          </w:p>
        </w:tc>
      </w:tr>
      <w:tr w:rsidR="00AE696D" w:rsidRPr="00DD496A" w14:paraId="0DCD0457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51A422B3" w14:textId="77777777" w:rsidR="00AE696D" w:rsidRPr="00DD496A" w:rsidRDefault="00AE696D" w:rsidP="00EB739C">
            <w:pPr>
              <w:ind w:left="247"/>
            </w:pPr>
            <w:r w:rsidRPr="00DD496A">
              <w:t>Without presumed dead flag</w:t>
            </w:r>
          </w:p>
        </w:tc>
        <w:tc>
          <w:tcPr>
            <w:tcW w:w="1462" w:type="dxa"/>
            <w:noWrap/>
            <w:vAlign w:val="bottom"/>
            <w:hideMark/>
          </w:tcPr>
          <w:p w14:paraId="20D3FD5A" w14:textId="77777777" w:rsidR="00AE696D" w:rsidRPr="00DD496A" w:rsidRDefault="00AE696D" w:rsidP="00EB739C">
            <w:pPr>
              <w:jc w:val="center"/>
            </w:pPr>
            <w:r w:rsidRPr="00DD496A">
              <w:t>43410</w:t>
            </w:r>
          </w:p>
        </w:tc>
        <w:tc>
          <w:tcPr>
            <w:tcW w:w="1462" w:type="dxa"/>
            <w:noWrap/>
            <w:vAlign w:val="bottom"/>
            <w:hideMark/>
          </w:tcPr>
          <w:p w14:paraId="7FAB34BE" w14:textId="77777777" w:rsidR="00AE696D" w:rsidRPr="00DD496A" w:rsidRDefault="00AE696D" w:rsidP="00EB739C">
            <w:pPr>
              <w:jc w:val="center"/>
            </w:pPr>
            <w:r w:rsidRPr="00DD496A">
              <w:t>41383</w:t>
            </w:r>
          </w:p>
        </w:tc>
        <w:tc>
          <w:tcPr>
            <w:tcW w:w="1462" w:type="dxa"/>
            <w:vAlign w:val="bottom"/>
          </w:tcPr>
          <w:p w14:paraId="66134F10" w14:textId="77777777" w:rsidR="00AE696D" w:rsidRPr="00DD496A" w:rsidRDefault="00AE696D" w:rsidP="00EB739C">
            <w:pPr>
              <w:jc w:val="center"/>
            </w:pPr>
            <w:r w:rsidRPr="00DD496A">
              <w:t>24417</w:t>
            </w:r>
          </w:p>
        </w:tc>
      </w:tr>
      <w:tr w:rsidR="00AE696D" w:rsidRPr="00DD496A" w14:paraId="3912EB88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0D2C23D3" w14:textId="77777777" w:rsidR="00AE696D" w:rsidRPr="00DD496A" w:rsidRDefault="00AE696D" w:rsidP="00EB739C">
            <w:pPr>
              <w:ind w:left="247"/>
            </w:pPr>
            <w:r w:rsidRPr="00DD496A">
              <w:t>Antibiotic prescriptions only in one state</w:t>
            </w:r>
          </w:p>
        </w:tc>
        <w:tc>
          <w:tcPr>
            <w:tcW w:w="1462" w:type="dxa"/>
            <w:noWrap/>
            <w:vAlign w:val="bottom"/>
            <w:hideMark/>
          </w:tcPr>
          <w:p w14:paraId="7166FB30" w14:textId="77777777" w:rsidR="00AE696D" w:rsidRPr="00DD496A" w:rsidRDefault="00AE696D" w:rsidP="00EB739C">
            <w:pPr>
              <w:jc w:val="center"/>
            </w:pPr>
            <w:r w:rsidRPr="00DD496A">
              <w:t>43402</w:t>
            </w:r>
          </w:p>
        </w:tc>
        <w:tc>
          <w:tcPr>
            <w:tcW w:w="1462" w:type="dxa"/>
            <w:noWrap/>
            <w:vAlign w:val="bottom"/>
            <w:hideMark/>
          </w:tcPr>
          <w:p w14:paraId="16BF60B8" w14:textId="77777777" w:rsidR="00AE696D" w:rsidRPr="00DD496A" w:rsidRDefault="00AE696D" w:rsidP="00EB739C">
            <w:pPr>
              <w:jc w:val="center"/>
            </w:pPr>
            <w:r w:rsidRPr="00DD496A">
              <w:t>41373</w:t>
            </w:r>
          </w:p>
        </w:tc>
        <w:tc>
          <w:tcPr>
            <w:tcW w:w="1462" w:type="dxa"/>
            <w:vAlign w:val="bottom"/>
          </w:tcPr>
          <w:p w14:paraId="46EE251F" w14:textId="77777777" w:rsidR="00AE696D" w:rsidRPr="00DD496A" w:rsidRDefault="00AE696D" w:rsidP="00EB739C">
            <w:pPr>
              <w:jc w:val="center"/>
            </w:pPr>
            <w:r w:rsidRPr="00DD496A">
              <w:t>24411</w:t>
            </w:r>
          </w:p>
        </w:tc>
      </w:tr>
      <w:tr w:rsidR="00AE696D" w:rsidRPr="00DD496A" w14:paraId="278843A8" w14:textId="77777777" w:rsidTr="00EB739C">
        <w:trPr>
          <w:trHeight w:val="300"/>
        </w:trPr>
        <w:tc>
          <w:tcPr>
            <w:tcW w:w="4965" w:type="dxa"/>
            <w:noWrap/>
            <w:vAlign w:val="bottom"/>
            <w:hideMark/>
          </w:tcPr>
          <w:p w14:paraId="25E28F02" w14:textId="77777777" w:rsidR="00AE696D" w:rsidRPr="00DD496A" w:rsidRDefault="00AE696D" w:rsidP="00EB739C">
            <w:pPr>
              <w:ind w:left="247"/>
            </w:pPr>
            <w:r w:rsidRPr="00DD496A">
              <w:t>Antibiotic prescriptions captured</w:t>
            </w:r>
          </w:p>
        </w:tc>
        <w:tc>
          <w:tcPr>
            <w:tcW w:w="1462" w:type="dxa"/>
            <w:noWrap/>
            <w:vAlign w:val="bottom"/>
            <w:hideMark/>
          </w:tcPr>
          <w:p w14:paraId="7F9507F4" w14:textId="77777777" w:rsidR="00AE696D" w:rsidRPr="00DD496A" w:rsidRDefault="00AE696D" w:rsidP="00EB739C">
            <w:pPr>
              <w:jc w:val="center"/>
            </w:pPr>
            <w:r w:rsidRPr="00DD496A">
              <w:t>43350</w:t>
            </w:r>
          </w:p>
        </w:tc>
        <w:tc>
          <w:tcPr>
            <w:tcW w:w="1462" w:type="dxa"/>
            <w:noWrap/>
            <w:vAlign w:val="bottom"/>
            <w:hideMark/>
          </w:tcPr>
          <w:p w14:paraId="135F1FBE" w14:textId="77777777" w:rsidR="00AE696D" w:rsidRPr="00DD496A" w:rsidRDefault="00AE696D" w:rsidP="00EB739C">
            <w:pPr>
              <w:jc w:val="center"/>
            </w:pPr>
            <w:r w:rsidRPr="00DD496A">
              <w:t>41313</w:t>
            </w:r>
          </w:p>
        </w:tc>
        <w:tc>
          <w:tcPr>
            <w:tcW w:w="1462" w:type="dxa"/>
            <w:vAlign w:val="bottom"/>
          </w:tcPr>
          <w:p w14:paraId="4351787E" w14:textId="77777777" w:rsidR="00AE696D" w:rsidRPr="00DD496A" w:rsidRDefault="00AE696D" w:rsidP="00EB739C">
            <w:pPr>
              <w:jc w:val="center"/>
            </w:pPr>
            <w:r w:rsidRPr="00DD496A">
              <w:t>24380</w:t>
            </w:r>
          </w:p>
        </w:tc>
      </w:tr>
      <w:tr w:rsidR="00AE696D" w:rsidRPr="00DD496A" w14:paraId="0898FE49" w14:textId="77777777" w:rsidTr="00EB739C">
        <w:trPr>
          <w:trHeight w:val="300"/>
        </w:trPr>
        <w:tc>
          <w:tcPr>
            <w:tcW w:w="4965" w:type="dxa"/>
            <w:noWrap/>
            <w:vAlign w:val="bottom"/>
          </w:tcPr>
          <w:p w14:paraId="31983B41" w14:textId="77777777" w:rsidR="00AE696D" w:rsidRPr="00DD496A" w:rsidRDefault="00AE696D" w:rsidP="00EB739C">
            <w:pPr>
              <w:rPr>
                <w:b/>
              </w:rPr>
            </w:pPr>
            <w:r w:rsidRPr="00DD496A">
              <w:rPr>
                <w:b/>
              </w:rPr>
              <w:t>Final number of providers for analysis</w:t>
            </w:r>
          </w:p>
        </w:tc>
        <w:tc>
          <w:tcPr>
            <w:tcW w:w="1462" w:type="dxa"/>
            <w:noWrap/>
            <w:vAlign w:val="bottom"/>
          </w:tcPr>
          <w:p w14:paraId="3826016F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43350</w:t>
            </w:r>
          </w:p>
        </w:tc>
        <w:tc>
          <w:tcPr>
            <w:tcW w:w="1462" w:type="dxa"/>
            <w:noWrap/>
            <w:vAlign w:val="bottom"/>
          </w:tcPr>
          <w:p w14:paraId="2511CA7B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41313</w:t>
            </w:r>
          </w:p>
        </w:tc>
        <w:tc>
          <w:tcPr>
            <w:tcW w:w="1462" w:type="dxa"/>
            <w:vAlign w:val="bottom"/>
          </w:tcPr>
          <w:p w14:paraId="36918B47" w14:textId="77777777" w:rsidR="00AE696D" w:rsidRPr="00DD496A" w:rsidRDefault="00AE696D" w:rsidP="00EB739C">
            <w:pPr>
              <w:jc w:val="center"/>
              <w:rPr>
                <w:b/>
              </w:rPr>
            </w:pPr>
            <w:r w:rsidRPr="00DD496A">
              <w:rPr>
                <w:b/>
              </w:rPr>
              <w:t>24380</w:t>
            </w:r>
          </w:p>
        </w:tc>
      </w:tr>
    </w:tbl>
    <w:p w14:paraId="705FE1AD" w14:textId="77777777" w:rsidR="00AE696D" w:rsidRDefault="00AE696D" w:rsidP="00AE696D">
      <w:r w:rsidRPr="00DD496A">
        <w:br/>
      </w:r>
    </w:p>
    <w:p w14:paraId="29619BAA" w14:textId="77777777" w:rsidR="00AE696D" w:rsidRDefault="00AE696D" w:rsidP="00AE696D">
      <w:r>
        <w:br w:type="page"/>
      </w:r>
    </w:p>
    <w:p w14:paraId="7A65A684" w14:textId="75F31784" w:rsidR="00CC5241" w:rsidRPr="00CC5241" w:rsidRDefault="00CC5241" w:rsidP="000A603F">
      <w:pPr>
        <w:spacing w:line="240" w:lineRule="auto"/>
        <w:rPr>
          <w:rFonts w:cs="Times New Roman"/>
        </w:rPr>
      </w:pPr>
      <w:r w:rsidRPr="000A603F">
        <w:rPr>
          <w:rFonts w:cs="Times New Roman"/>
          <w:b/>
        </w:rPr>
        <w:lastRenderedPageBreak/>
        <w:t xml:space="preserve">Supplementary Table </w:t>
      </w:r>
      <w:r w:rsidR="005901BE">
        <w:rPr>
          <w:rFonts w:cs="Times New Roman"/>
          <w:b/>
        </w:rPr>
        <w:t>2</w:t>
      </w:r>
      <w:bookmarkStart w:id="0" w:name="_GoBack"/>
      <w:bookmarkEnd w:id="0"/>
      <w:r w:rsidRPr="000A603F">
        <w:rPr>
          <w:rFonts w:cs="Times New Roman"/>
          <w:b/>
        </w:rPr>
        <w:t>.</w:t>
      </w:r>
      <w:r w:rsidRPr="00CC5241">
        <w:rPr>
          <w:rFonts w:cs="Times New Roman"/>
        </w:rPr>
        <w:t xml:space="preserve"> Unadjusted prevalence ratio for outcome of being a high-volume antibiotic prescriber (in top 25%) for primary care physicians by specialty — United States, 2011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2070"/>
        <w:gridCol w:w="2250"/>
        <w:gridCol w:w="2430"/>
      </w:tblGrid>
      <w:tr w:rsidR="00CC5241" w:rsidRPr="00CC5241" w14:paraId="67774733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25B70D5E" w14:textId="77777777" w:rsidR="00CC5241" w:rsidRPr="00CC5241" w:rsidRDefault="00CC5241" w:rsidP="005963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7A88A6E3" w14:textId="77777777" w:rsidR="00CC5241" w:rsidRPr="00CC5241" w:rsidRDefault="00CC5241" w:rsidP="00596302">
            <w:pPr>
              <w:jc w:val="center"/>
              <w:rPr>
                <w:rFonts w:cs="Times New Roman"/>
                <w:b/>
              </w:rPr>
            </w:pPr>
            <w:r w:rsidRPr="00CC5241">
              <w:rPr>
                <w:rFonts w:cs="Times New Roman"/>
                <w:b/>
              </w:rPr>
              <w:t>Unadjusted prevalence ratio (95% CI)</w:t>
            </w:r>
          </w:p>
        </w:tc>
      </w:tr>
      <w:tr w:rsidR="00CC5241" w:rsidRPr="00CC5241" w14:paraId="2AE6C35E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65F36FBA" w14:textId="77777777" w:rsidR="00CC5241" w:rsidRPr="00CC5241" w:rsidRDefault="00CC5241" w:rsidP="00596302">
            <w:pPr>
              <w:jc w:val="center"/>
              <w:rPr>
                <w:rFonts w:cs="Times New Roman"/>
                <w:b/>
              </w:rPr>
            </w:pPr>
            <w:r w:rsidRPr="00CC5241">
              <w:rPr>
                <w:rFonts w:cs="Times New Roman"/>
                <w:b/>
              </w:rPr>
              <w:t>Provider characteristics</w:t>
            </w:r>
          </w:p>
        </w:tc>
        <w:tc>
          <w:tcPr>
            <w:tcW w:w="2070" w:type="dxa"/>
            <w:vAlign w:val="center"/>
          </w:tcPr>
          <w:p w14:paraId="47122A9B" w14:textId="77777777" w:rsidR="00CC5241" w:rsidRPr="00CC5241" w:rsidRDefault="00CC5241" w:rsidP="00596302">
            <w:pPr>
              <w:jc w:val="center"/>
              <w:rPr>
                <w:rFonts w:cs="Times New Roman"/>
                <w:b/>
              </w:rPr>
            </w:pPr>
            <w:r w:rsidRPr="00CC5241">
              <w:rPr>
                <w:rFonts w:cs="Times New Roman"/>
                <w:b/>
              </w:rPr>
              <w:t>Family practitioners</w:t>
            </w:r>
          </w:p>
        </w:tc>
        <w:tc>
          <w:tcPr>
            <w:tcW w:w="2250" w:type="dxa"/>
          </w:tcPr>
          <w:p w14:paraId="1EF955B3" w14:textId="77777777" w:rsidR="00CC5241" w:rsidRPr="00CC5241" w:rsidRDefault="00CC5241" w:rsidP="00596302">
            <w:pPr>
              <w:jc w:val="center"/>
              <w:rPr>
                <w:rFonts w:cs="Times New Roman"/>
                <w:b/>
              </w:rPr>
            </w:pPr>
            <w:r w:rsidRPr="00CC5241">
              <w:rPr>
                <w:rFonts w:cs="Times New Roman"/>
                <w:b/>
              </w:rPr>
              <w:t>Internists</w:t>
            </w:r>
          </w:p>
        </w:tc>
        <w:tc>
          <w:tcPr>
            <w:tcW w:w="2430" w:type="dxa"/>
          </w:tcPr>
          <w:p w14:paraId="5E598240" w14:textId="77777777" w:rsidR="00CC5241" w:rsidRPr="00CC5241" w:rsidRDefault="00CC5241" w:rsidP="00596302">
            <w:pPr>
              <w:jc w:val="center"/>
              <w:rPr>
                <w:rFonts w:cs="Times New Roman"/>
                <w:b/>
              </w:rPr>
            </w:pPr>
            <w:r w:rsidRPr="00CC5241">
              <w:rPr>
                <w:rFonts w:cs="Times New Roman"/>
                <w:b/>
              </w:rPr>
              <w:t>Pediatricians</w:t>
            </w:r>
          </w:p>
        </w:tc>
      </w:tr>
      <w:tr w:rsidR="00CC5241" w:rsidRPr="00CC5241" w14:paraId="7B87E181" w14:textId="77777777" w:rsidTr="00596302">
        <w:trPr>
          <w:trHeight w:val="467"/>
        </w:trPr>
        <w:tc>
          <w:tcPr>
            <w:tcW w:w="10075" w:type="dxa"/>
            <w:gridSpan w:val="4"/>
            <w:noWrap/>
            <w:vAlign w:val="center"/>
          </w:tcPr>
          <w:p w14:paraId="71E1B91F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  <w:b/>
              </w:rPr>
              <w:t>Age group (years)</w:t>
            </w:r>
          </w:p>
        </w:tc>
      </w:tr>
      <w:tr w:rsidR="00CC5241" w:rsidRPr="00CC5241" w14:paraId="51EC51F3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26E30CD3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 xml:space="preserve">30-&lt;40 </w:t>
            </w:r>
          </w:p>
        </w:tc>
        <w:tc>
          <w:tcPr>
            <w:tcW w:w="2070" w:type="dxa"/>
            <w:vAlign w:val="bottom"/>
          </w:tcPr>
          <w:p w14:paraId="6F6FB0F9" w14:textId="77777777" w:rsidR="00CC5241" w:rsidRPr="00CC5241" w:rsidRDefault="00CC5241" w:rsidP="00596302">
            <w:pPr>
              <w:jc w:val="center"/>
              <w:rPr>
                <w:rFonts w:cs="Times New Roman"/>
              </w:rPr>
            </w:pPr>
            <w:r w:rsidRPr="00CC5241">
              <w:rPr>
                <w:rFonts w:cs="Times New Roman"/>
              </w:rPr>
              <w:t>Referent</w:t>
            </w:r>
          </w:p>
        </w:tc>
        <w:tc>
          <w:tcPr>
            <w:tcW w:w="2250" w:type="dxa"/>
            <w:vAlign w:val="bottom"/>
          </w:tcPr>
          <w:p w14:paraId="2AE534BF" w14:textId="77777777" w:rsidR="00CC5241" w:rsidRPr="00CC5241" w:rsidRDefault="00CC5241" w:rsidP="00596302">
            <w:pPr>
              <w:jc w:val="center"/>
              <w:rPr>
                <w:rFonts w:cs="Times New Roman"/>
              </w:rPr>
            </w:pPr>
            <w:r w:rsidRPr="00CC5241">
              <w:rPr>
                <w:rFonts w:cs="Times New Roman"/>
              </w:rPr>
              <w:t>Referent</w:t>
            </w:r>
          </w:p>
        </w:tc>
        <w:tc>
          <w:tcPr>
            <w:tcW w:w="2430" w:type="dxa"/>
            <w:vAlign w:val="bottom"/>
          </w:tcPr>
          <w:p w14:paraId="362559A1" w14:textId="77777777" w:rsidR="00CC5241" w:rsidRPr="00CC5241" w:rsidRDefault="00CC5241" w:rsidP="00596302">
            <w:pPr>
              <w:jc w:val="center"/>
              <w:rPr>
                <w:rFonts w:cs="Times New Roman"/>
              </w:rPr>
            </w:pPr>
            <w:r w:rsidRPr="00CC5241">
              <w:rPr>
                <w:rFonts w:cs="Times New Roman"/>
              </w:rPr>
              <w:t>Referent</w:t>
            </w:r>
          </w:p>
        </w:tc>
      </w:tr>
      <w:tr w:rsidR="00913F8A" w:rsidRPr="00CC5241" w14:paraId="64763B7E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7210B6A9" w14:textId="77777777" w:rsidR="00913F8A" w:rsidRPr="00CC5241" w:rsidRDefault="00913F8A" w:rsidP="00913F8A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 xml:space="preserve">40-&lt;50 </w:t>
            </w:r>
          </w:p>
        </w:tc>
        <w:tc>
          <w:tcPr>
            <w:tcW w:w="2070" w:type="dxa"/>
            <w:vAlign w:val="bottom"/>
          </w:tcPr>
          <w:p w14:paraId="063C5401" w14:textId="77777777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1.25 (1.20, 1.31)</w:t>
            </w:r>
          </w:p>
        </w:tc>
        <w:tc>
          <w:tcPr>
            <w:tcW w:w="2250" w:type="dxa"/>
            <w:vAlign w:val="bottom"/>
          </w:tcPr>
          <w:p w14:paraId="536F5F56" w14:textId="5D49D269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2.31 (2.18, 2.45)</w:t>
            </w:r>
          </w:p>
        </w:tc>
        <w:tc>
          <w:tcPr>
            <w:tcW w:w="2430" w:type="dxa"/>
            <w:vAlign w:val="bottom"/>
          </w:tcPr>
          <w:p w14:paraId="72A95030" w14:textId="7E8DBB61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1.55 (1.46, 1.64)</w:t>
            </w:r>
          </w:p>
        </w:tc>
      </w:tr>
      <w:tr w:rsidR="00913F8A" w:rsidRPr="00CC5241" w14:paraId="4E6292E0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26D54CEE" w14:textId="77777777" w:rsidR="00913F8A" w:rsidRPr="00CC5241" w:rsidRDefault="00913F8A" w:rsidP="00913F8A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 xml:space="preserve">50-&lt;65 </w:t>
            </w:r>
          </w:p>
        </w:tc>
        <w:tc>
          <w:tcPr>
            <w:tcW w:w="2070" w:type="dxa"/>
            <w:vAlign w:val="bottom"/>
          </w:tcPr>
          <w:p w14:paraId="5FF51F79" w14:textId="77777777" w:rsidR="00913F8A" w:rsidRPr="009C73A9" w:rsidRDefault="00913F8A" w:rsidP="00913F8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1.32 (1.26, 1.38)</w:t>
            </w:r>
          </w:p>
        </w:tc>
        <w:tc>
          <w:tcPr>
            <w:tcW w:w="2250" w:type="dxa"/>
            <w:vAlign w:val="bottom"/>
          </w:tcPr>
          <w:p w14:paraId="59C55D11" w14:textId="7419FC27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2.73 (2.58, 2.89)</w:t>
            </w:r>
          </w:p>
        </w:tc>
        <w:tc>
          <w:tcPr>
            <w:tcW w:w="2430" w:type="dxa"/>
            <w:vAlign w:val="bottom"/>
          </w:tcPr>
          <w:p w14:paraId="0390358A" w14:textId="1E5A6D0E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1.68 (1.58, 1.78)</w:t>
            </w:r>
          </w:p>
        </w:tc>
      </w:tr>
      <w:tr w:rsidR="00CC5241" w:rsidRPr="00CC5241" w14:paraId="1C3C2D14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36A96781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  <w:b/>
              </w:rPr>
              <w:t>Sex</w:t>
            </w:r>
          </w:p>
        </w:tc>
        <w:tc>
          <w:tcPr>
            <w:tcW w:w="2070" w:type="dxa"/>
            <w:vAlign w:val="bottom"/>
          </w:tcPr>
          <w:p w14:paraId="1BF48852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vAlign w:val="bottom"/>
          </w:tcPr>
          <w:p w14:paraId="0F1E7E12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bottom"/>
          </w:tcPr>
          <w:p w14:paraId="1FD72892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</w:p>
        </w:tc>
      </w:tr>
      <w:tr w:rsidR="00CC5241" w:rsidRPr="00CC5241" w14:paraId="0BF5ED68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4B9A090B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Male</w:t>
            </w:r>
          </w:p>
        </w:tc>
        <w:tc>
          <w:tcPr>
            <w:tcW w:w="2070" w:type="dxa"/>
            <w:vAlign w:val="bottom"/>
          </w:tcPr>
          <w:p w14:paraId="6F59CE59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1.95 (1.88, 2.03)</w:t>
            </w:r>
          </w:p>
        </w:tc>
        <w:tc>
          <w:tcPr>
            <w:tcW w:w="2250" w:type="dxa"/>
            <w:vAlign w:val="bottom"/>
          </w:tcPr>
          <w:p w14:paraId="634E26FD" w14:textId="4F563DA6" w:rsidR="00CC5241" w:rsidRPr="009C73A9" w:rsidRDefault="002E0EDA" w:rsidP="002E0ED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1.67 (1.61, 1.73)</w:t>
            </w:r>
          </w:p>
        </w:tc>
        <w:tc>
          <w:tcPr>
            <w:tcW w:w="2430" w:type="dxa"/>
            <w:vAlign w:val="bottom"/>
          </w:tcPr>
          <w:p w14:paraId="483A9F16" w14:textId="17E69F4D" w:rsidR="00CC5241" w:rsidRPr="009C73A9" w:rsidRDefault="00913F8A" w:rsidP="00913F8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1.62 (1.55, 1.69)</w:t>
            </w:r>
          </w:p>
        </w:tc>
      </w:tr>
      <w:tr w:rsidR="00CC5241" w:rsidRPr="00CC5241" w14:paraId="79B49323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74A15D29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Female</w:t>
            </w:r>
          </w:p>
        </w:tc>
        <w:tc>
          <w:tcPr>
            <w:tcW w:w="2070" w:type="dxa"/>
            <w:vAlign w:val="bottom"/>
          </w:tcPr>
          <w:p w14:paraId="6D7FD871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250" w:type="dxa"/>
            <w:vAlign w:val="bottom"/>
          </w:tcPr>
          <w:p w14:paraId="5C9F4C47" w14:textId="38E81535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430" w:type="dxa"/>
            <w:vAlign w:val="bottom"/>
          </w:tcPr>
          <w:p w14:paraId="663E28EA" w14:textId="3A826619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</w:tr>
      <w:tr w:rsidR="00CC5241" w:rsidRPr="00CC5241" w14:paraId="32C03534" w14:textId="77777777" w:rsidTr="00596302">
        <w:trPr>
          <w:trHeight w:val="300"/>
        </w:trPr>
        <w:tc>
          <w:tcPr>
            <w:tcW w:w="10075" w:type="dxa"/>
            <w:gridSpan w:val="4"/>
            <w:noWrap/>
            <w:vAlign w:val="center"/>
          </w:tcPr>
          <w:p w14:paraId="1F7DA8C4" w14:textId="77777777" w:rsidR="00CC5241" w:rsidRPr="009C73A9" w:rsidRDefault="00CC5241" w:rsidP="00596302">
            <w:pPr>
              <w:rPr>
                <w:rFonts w:cs="Times New Roman"/>
              </w:rPr>
            </w:pPr>
            <w:r w:rsidRPr="009C73A9">
              <w:rPr>
                <w:rFonts w:cs="Times New Roman"/>
                <w:b/>
              </w:rPr>
              <w:t>Medical school location</w:t>
            </w:r>
          </w:p>
        </w:tc>
      </w:tr>
      <w:tr w:rsidR="00CC5241" w:rsidRPr="00CC5241" w14:paraId="5A78F4F8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12C5E91B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Other</w:t>
            </w:r>
          </w:p>
        </w:tc>
        <w:tc>
          <w:tcPr>
            <w:tcW w:w="2070" w:type="dxa"/>
            <w:vAlign w:val="bottom"/>
          </w:tcPr>
          <w:p w14:paraId="4D8C62C9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250" w:type="dxa"/>
            <w:vAlign w:val="bottom"/>
          </w:tcPr>
          <w:p w14:paraId="1DB698C8" w14:textId="0F1B07DA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430" w:type="dxa"/>
            <w:vAlign w:val="bottom"/>
          </w:tcPr>
          <w:p w14:paraId="010FE962" w14:textId="1B08E8C6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</w:tr>
      <w:tr w:rsidR="00CC5241" w:rsidRPr="00CC5241" w14:paraId="5BF4D371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6D5AB9EA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U.S. State</w:t>
            </w:r>
          </w:p>
        </w:tc>
        <w:tc>
          <w:tcPr>
            <w:tcW w:w="2070" w:type="dxa"/>
            <w:vAlign w:val="bottom"/>
          </w:tcPr>
          <w:p w14:paraId="4C9B39EC" w14:textId="77777777" w:rsidR="00CC5241" w:rsidRPr="009C73A9" w:rsidRDefault="00CC5241" w:rsidP="00596302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1.10 (1.06, 1.14)</w:t>
            </w:r>
          </w:p>
        </w:tc>
        <w:tc>
          <w:tcPr>
            <w:tcW w:w="2250" w:type="dxa"/>
            <w:vAlign w:val="bottom"/>
          </w:tcPr>
          <w:p w14:paraId="7A09EC92" w14:textId="5E3F4418" w:rsidR="00CC5241" w:rsidRPr="009C73A9" w:rsidRDefault="002E0EDA" w:rsidP="002E0ED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0.97 (0.94, 1.01)</w:t>
            </w:r>
          </w:p>
        </w:tc>
        <w:tc>
          <w:tcPr>
            <w:tcW w:w="2430" w:type="dxa"/>
            <w:vAlign w:val="bottom"/>
          </w:tcPr>
          <w:p w14:paraId="69C59512" w14:textId="779256D4" w:rsidR="00CC5241" w:rsidRPr="009C73A9" w:rsidRDefault="00913F8A" w:rsidP="00913F8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0.74 (0.71, 0.78)</w:t>
            </w:r>
          </w:p>
        </w:tc>
      </w:tr>
      <w:tr w:rsidR="00CC5241" w:rsidRPr="00CC5241" w14:paraId="410A6B7E" w14:textId="77777777" w:rsidTr="00596302">
        <w:trPr>
          <w:trHeight w:val="300"/>
        </w:trPr>
        <w:tc>
          <w:tcPr>
            <w:tcW w:w="10075" w:type="dxa"/>
            <w:gridSpan w:val="4"/>
            <w:noWrap/>
            <w:vAlign w:val="center"/>
          </w:tcPr>
          <w:p w14:paraId="5A607236" w14:textId="77777777" w:rsidR="00CC5241" w:rsidRPr="009C73A9" w:rsidRDefault="00CC5241" w:rsidP="00596302">
            <w:pPr>
              <w:rPr>
                <w:rFonts w:cs="Times New Roman"/>
              </w:rPr>
            </w:pPr>
            <w:r w:rsidRPr="009C73A9">
              <w:rPr>
                <w:rFonts w:cs="Times New Roman"/>
                <w:b/>
              </w:rPr>
              <w:t>Region</w:t>
            </w:r>
          </w:p>
        </w:tc>
      </w:tr>
      <w:tr w:rsidR="00CC5241" w:rsidRPr="00CC5241" w14:paraId="131E7A4D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47CA8D80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West</w:t>
            </w:r>
          </w:p>
        </w:tc>
        <w:tc>
          <w:tcPr>
            <w:tcW w:w="2070" w:type="dxa"/>
            <w:vAlign w:val="bottom"/>
          </w:tcPr>
          <w:p w14:paraId="40A34157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250" w:type="dxa"/>
            <w:vAlign w:val="bottom"/>
          </w:tcPr>
          <w:p w14:paraId="520E7847" w14:textId="3FD6BEB5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430" w:type="dxa"/>
            <w:vAlign w:val="bottom"/>
          </w:tcPr>
          <w:p w14:paraId="10291530" w14:textId="2C5F0A3C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</w:tr>
      <w:tr w:rsidR="00913F8A" w:rsidRPr="00CC5241" w14:paraId="14174424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1346A7BA" w14:textId="77777777" w:rsidR="00913F8A" w:rsidRPr="00CC5241" w:rsidRDefault="00913F8A" w:rsidP="00913F8A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Midwest</w:t>
            </w:r>
          </w:p>
        </w:tc>
        <w:tc>
          <w:tcPr>
            <w:tcW w:w="2070" w:type="dxa"/>
            <w:vAlign w:val="bottom"/>
          </w:tcPr>
          <w:p w14:paraId="189D568D" w14:textId="77777777" w:rsidR="00913F8A" w:rsidRPr="009C73A9" w:rsidRDefault="00913F8A" w:rsidP="00913F8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1.95 (1.85, 2.06)</w:t>
            </w:r>
          </w:p>
        </w:tc>
        <w:tc>
          <w:tcPr>
            <w:tcW w:w="2250" w:type="dxa"/>
            <w:vAlign w:val="bottom"/>
          </w:tcPr>
          <w:p w14:paraId="670E19BD" w14:textId="1332B49C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1.50 (1.42, 1.59)</w:t>
            </w:r>
          </w:p>
        </w:tc>
        <w:tc>
          <w:tcPr>
            <w:tcW w:w="2430" w:type="dxa"/>
            <w:vAlign w:val="bottom"/>
          </w:tcPr>
          <w:p w14:paraId="22FE628B" w14:textId="07AACC20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1.93 (1.78, 2.09)</w:t>
            </w:r>
          </w:p>
        </w:tc>
      </w:tr>
      <w:tr w:rsidR="00913F8A" w:rsidRPr="00CC5241" w14:paraId="3A1E71DD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5B9DE428" w14:textId="77777777" w:rsidR="00913F8A" w:rsidRPr="00CC5241" w:rsidRDefault="00913F8A" w:rsidP="00913F8A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Northeast</w:t>
            </w:r>
          </w:p>
        </w:tc>
        <w:tc>
          <w:tcPr>
            <w:tcW w:w="2070" w:type="dxa"/>
            <w:vAlign w:val="bottom"/>
          </w:tcPr>
          <w:p w14:paraId="5346AC85" w14:textId="77777777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1.09 (1.01, 1.17)</w:t>
            </w:r>
          </w:p>
        </w:tc>
        <w:tc>
          <w:tcPr>
            <w:tcW w:w="2250" w:type="dxa"/>
            <w:vAlign w:val="bottom"/>
          </w:tcPr>
          <w:p w14:paraId="595549EC" w14:textId="1B478FD4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1.32 (1.25, 1.40)</w:t>
            </w:r>
          </w:p>
        </w:tc>
        <w:tc>
          <w:tcPr>
            <w:tcW w:w="2430" w:type="dxa"/>
            <w:vAlign w:val="bottom"/>
          </w:tcPr>
          <w:p w14:paraId="3801DA3F" w14:textId="3E65ACB6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1.33 (1.22, 1.44)</w:t>
            </w:r>
          </w:p>
        </w:tc>
      </w:tr>
      <w:tr w:rsidR="00913F8A" w:rsidRPr="00CC5241" w14:paraId="0DAE1FEB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3D02EFFF" w14:textId="77777777" w:rsidR="00913F8A" w:rsidRPr="00CC5241" w:rsidRDefault="00913F8A" w:rsidP="00913F8A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South</w:t>
            </w:r>
          </w:p>
        </w:tc>
        <w:tc>
          <w:tcPr>
            <w:tcW w:w="2070" w:type="dxa"/>
            <w:vAlign w:val="bottom"/>
          </w:tcPr>
          <w:p w14:paraId="34BDD2C5" w14:textId="77777777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2.42 (2.30, 2.54)</w:t>
            </w:r>
          </w:p>
        </w:tc>
        <w:tc>
          <w:tcPr>
            <w:tcW w:w="2250" w:type="dxa"/>
            <w:vAlign w:val="bottom"/>
          </w:tcPr>
          <w:p w14:paraId="714B8DD4" w14:textId="2365729D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1.90 (1.81, 2.00)</w:t>
            </w:r>
          </w:p>
        </w:tc>
        <w:tc>
          <w:tcPr>
            <w:tcW w:w="2430" w:type="dxa"/>
            <w:vAlign w:val="bottom"/>
          </w:tcPr>
          <w:p w14:paraId="7A8CFC0B" w14:textId="5D9F87B9" w:rsidR="00913F8A" w:rsidRPr="009C73A9" w:rsidRDefault="00913F8A" w:rsidP="00913F8A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2.56 (2.38, 2.75)</w:t>
            </w:r>
          </w:p>
        </w:tc>
      </w:tr>
      <w:tr w:rsidR="00CC5241" w:rsidRPr="00CC5241" w14:paraId="069C9078" w14:textId="77777777" w:rsidTr="00596302">
        <w:trPr>
          <w:trHeight w:val="300"/>
        </w:trPr>
        <w:tc>
          <w:tcPr>
            <w:tcW w:w="10075" w:type="dxa"/>
            <w:gridSpan w:val="4"/>
            <w:noWrap/>
            <w:vAlign w:val="center"/>
          </w:tcPr>
          <w:p w14:paraId="6C0B3FD4" w14:textId="77777777" w:rsidR="00CC5241" w:rsidRPr="009C73A9" w:rsidRDefault="00CC5241" w:rsidP="00596302">
            <w:pPr>
              <w:rPr>
                <w:rFonts w:cs="Times New Roman"/>
              </w:rPr>
            </w:pPr>
            <w:r w:rsidRPr="009C73A9">
              <w:rPr>
                <w:rFonts w:cs="Times New Roman"/>
                <w:b/>
              </w:rPr>
              <w:t xml:space="preserve">Primary present </w:t>
            </w:r>
            <w:proofErr w:type="spellStart"/>
            <w:r w:rsidRPr="009C73A9">
              <w:rPr>
                <w:rFonts w:cs="Times New Roman"/>
                <w:b/>
              </w:rPr>
              <w:t>employment</w:t>
            </w:r>
            <w:r w:rsidRPr="009C73A9">
              <w:rPr>
                <w:rFonts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CC5241" w:rsidRPr="00CC5241" w14:paraId="7C9DA63E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3F5F072A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Solo or two-physician practice</w:t>
            </w:r>
          </w:p>
        </w:tc>
        <w:tc>
          <w:tcPr>
            <w:tcW w:w="2070" w:type="dxa"/>
            <w:vAlign w:val="bottom"/>
          </w:tcPr>
          <w:p w14:paraId="3BA2993F" w14:textId="77777777" w:rsidR="00CC5241" w:rsidRPr="009C73A9" w:rsidRDefault="00CC5241" w:rsidP="00596302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1.26 (1.22, 1.31)</w:t>
            </w:r>
          </w:p>
        </w:tc>
        <w:tc>
          <w:tcPr>
            <w:tcW w:w="2250" w:type="dxa"/>
            <w:vAlign w:val="bottom"/>
          </w:tcPr>
          <w:p w14:paraId="67DDC832" w14:textId="372FEF32" w:rsidR="00CC5241" w:rsidRPr="009C73A9" w:rsidRDefault="002E0EDA" w:rsidP="002E0ED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1.62 (1.56, 1.68)</w:t>
            </w:r>
          </w:p>
        </w:tc>
        <w:tc>
          <w:tcPr>
            <w:tcW w:w="2430" w:type="dxa"/>
            <w:vAlign w:val="bottom"/>
          </w:tcPr>
          <w:p w14:paraId="42561CDA" w14:textId="7186A977" w:rsidR="00CC5241" w:rsidRPr="009C73A9" w:rsidRDefault="00913F8A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1.61 (1.54, 1.70)</w:t>
            </w:r>
          </w:p>
        </w:tc>
      </w:tr>
      <w:tr w:rsidR="00CC5241" w:rsidRPr="00CC5241" w14:paraId="738C7449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46FF8A90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Group</w:t>
            </w:r>
          </w:p>
        </w:tc>
        <w:tc>
          <w:tcPr>
            <w:tcW w:w="2070" w:type="dxa"/>
            <w:vAlign w:val="bottom"/>
          </w:tcPr>
          <w:p w14:paraId="5473A1D5" w14:textId="77777777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250" w:type="dxa"/>
            <w:vAlign w:val="bottom"/>
          </w:tcPr>
          <w:p w14:paraId="73145B51" w14:textId="55186986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  <w:tc>
          <w:tcPr>
            <w:tcW w:w="2430" w:type="dxa"/>
            <w:vAlign w:val="bottom"/>
          </w:tcPr>
          <w:p w14:paraId="6F0024B0" w14:textId="24952FB2" w:rsidR="00CC5241" w:rsidRPr="009C73A9" w:rsidRDefault="00CC5241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Times New Roman"/>
              </w:rPr>
              <w:t>Referent</w:t>
            </w:r>
          </w:p>
        </w:tc>
      </w:tr>
      <w:tr w:rsidR="00CC5241" w:rsidRPr="00CC5241" w14:paraId="1928E17B" w14:textId="77777777" w:rsidTr="00596302">
        <w:trPr>
          <w:trHeight w:val="300"/>
        </w:trPr>
        <w:tc>
          <w:tcPr>
            <w:tcW w:w="3325" w:type="dxa"/>
            <w:noWrap/>
            <w:vAlign w:val="bottom"/>
            <w:hideMark/>
          </w:tcPr>
          <w:p w14:paraId="6E561A90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Other</w:t>
            </w:r>
          </w:p>
        </w:tc>
        <w:tc>
          <w:tcPr>
            <w:tcW w:w="2070" w:type="dxa"/>
            <w:vAlign w:val="bottom"/>
          </w:tcPr>
          <w:p w14:paraId="784604DD" w14:textId="77777777" w:rsidR="00CC5241" w:rsidRPr="009C73A9" w:rsidRDefault="00CC5241" w:rsidP="00596302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0.48 (0.41, 0.56)</w:t>
            </w:r>
          </w:p>
        </w:tc>
        <w:tc>
          <w:tcPr>
            <w:tcW w:w="2250" w:type="dxa"/>
            <w:vAlign w:val="bottom"/>
          </w:tcPr>
          <w:p w14:paraId="31358A8C" w14:textId="4E609FD6" w:rsidR="00CC5241" w:rsidRPr="009C73A9" w:rsidRDefault="002E0EDA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0.34 (0.28, 0.42)</w:t>
            </w:r>
          </w:p>
        </w:tc>
        <w:tc>
          <w:tcPr>
            <w:tcW w:w="2430" w:type="dxa"/>
            <w:vAlign w:val="bottom"/>
          </w:tcPr>
          <w:p w14:paraId="6E10E4DD" w14:textId="43B9FAE1" w:rsidR="00CC5241" w:rsidRPr="009C73A9" w:rsidRDefault="00913F8A" w:rsidP="00913F8A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0.25 (0.19, 0.34)</w:t>
            </w:r>
          </w:p>
        </w:tc>
      </w:tr>
      <w:tr w:rsidR="00CC5241" w:rsidRPr="00CC5241" w14:paraId="15A0EAF8" w14:textId="77777777" w:rsidTr="00596302">
        <w:trPr>
          <w:trHeight w:val="300"/>
        </w:trPr>
        <w:tc>
          <w:tcPr>
            <w:tcW w:w="3325" w:type="dxa"/>
            <w:noWrap/>
            <w:vAlign w:val="bottom"/>
          </w:tcPr>
          <w:p w14:paraId="505EF470" w14:textId="77777777" w:rsidR="00CC5241" w:rsidRPr="00CC5241" w:rsidRDefault="00CC5241" w:rsidP="00596302">
            <w:pPr>
              <w:rPr>
                <w:rFonts w:cs="Times New Roman"/>
              </w:rPr>
            </w:pPr>
            <w:r w:rsidRPr="00CC5241">
              <w:rPr>
                <w:rFonts w:cs="Times New Roman"/>
              </w:rPr>
              <w:t>Missing</w:t>
            </w:r>
          </w:p>
        </w:tc>
        <w:tc>
          <w:tcPr>
            <w:tcW w:w="2070" w:type="dxa"/>
            <w:vAlign w:val="bottom"/>
          </w:tcPr>
          <w:p w14:paraId="65D454D6" w14:textId="77777777" w:rsidR="00CC5241" w:rsidRPr="009C73A9" w:rsidRDefault="00CC5241" w:rsidP="00596302">
            <w:pPr>
              <w:jc w:val="center"/>
              <w:rPr>
                <w:rFonts w:cs="Arial"/>
              </w:rPr>
            </w:pPr>
            <w:r w:rsidRPr="009C73A9">
              <w:rPr>
                <w:rFonts w:cs="Arial"/>
              </w:rPr>
              <w:t>0.57 (0.54, 0.60)</w:t>
            </w:r>
          </w:p>
        </w:tc>
        <w:tc>
          <w:tcPr>
            <w:tcW w:w="2250" w:type="dxa"/>
            <w:vAlign w:val="bottom"/>
          </w:tcPr>
          <w:p w14:paraId="1DC78204" w14:textId="6F30CA87" w:rsidR="00CC5241" w:rsidRPr="009C73A9" w:rsidRDefault="002E0EDA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0.38 (0.36, 0.40)</w:t>
            </w:r>
          </w:p>
        </w:tc>
        <w:tc>
          <w:tcPr>
            <w:tcW w:w="2430" w:type="dxa"/>
            <w:vAlign w:val="bottom"/>
          </w:tcPr>
          <w:p w14:paraId="09D398FD" w14:textId="22ED357E" w:rsidR="00CC5241" w:rsidRPr="009C73A9" w:rsidRDefault="00913F8A" w:rsidP="00596302">
            <w:pPr>
              <w:jc w:val="center"/>
              <w:rPr>
                <w:rFonts w:cs="Times New Roman"/>
              </w:rPr>
            </w:pPr>
            <w:r w:rsidRPr="009C73A9">
              <w:rPr>
                <w:rFonts w:cs="Arial"/>
              </w:rPr>
              <w:t>0.45 (0.41, 0.48)</w:t>
            </w:r>
          </w:p>
        </w:tc>
      </w:tr>
    </w:tbl>
    <w:p w14:paraId="5962E364" w14:textId="77777777" w:rsidR="00CC5241" w:rsidRDefault="00CC5241" w:rsidP="00CC5241"/>
    <w:p w14:paraId="7C7D9FBA" w14:textId="77777777" w:rsidR="00CC5241" w:rsidRDefault="00CC5241">
      <w:pPr>
        <w:rPr>
          <w:b/>
        </w:rPr>
      </w:pPr>
      <w:r>
        <w:rPr>
          <w:b/>
        </w:rPr>
        <w:br w:type="page"/>
      </w:r>
    </w:p>
    <w:p w14:paraId="209D9F4D" w14:textId="44D13A4F" w:rsidR="00AE696D" w:rsidRPr="00796C6C" w:rsidRDefault="00AE696D" w:rsidP="00AE696D">
      <w:pPr>
        <w:rPr>
          <w:rFonts w:cs="Arial"/>
        </w:rPr>
      </w:pPr>
      <w:r w:rsidRPr="00D77F61">
        <w:rPr>
          <w:b/>
        </w:rPr>
        <w:lastRenderedPageBreak/>
        <w:t xml:space="preserve">Supplemental </w:t>
      </w:r>
      <w:r w:rsidRPr="00EF7856">
        <w:rPr>
          <w:b/>
        </w:rPr>
        <w:t xml:space="preserve">Table </w:t>
      </w:r>
      <w:r w:rsidR="000A603F">
        <w:rPr>
          <w:b/>
        </w:rPr>
        <w:t>3</w:t>
      </w:r>
      <w:r w:rsidRPr="00EF7856">
        <w:rPr>
          <w:b/>
        </w:rPr>
        <w:t>.</w:t>
      </w:r>
      <w:r w:rsidRPr="00DD496A">
        <w:rPr>
          <w:i/>
        </w:rPr>
        <w:t xml:space="preserve"> </w:t>
      </w:r>
      <w:r>
        <w:t>Top 5 antibiotic agents and classes by specialty—family practice, internal medicine, and pediatrics—for high-volume prescribers and non-high-volume prescribers</w:t>
      </w:r>
      <w:r w:rsidR="008972C3">
        <w:t>—United States,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696D" w14:paraId="016C9860" w14:textId="77777777" w:rsidTr="00EB739C">
        <w:tc>
          <w:tcPr>
            <w:tcW w:w="3116" w:type="dxa"/>
          </w:tcPr>
          <w:p w14:paraId="59F51EF1" w14:textId="77777777" w:rsidR="00AE696D" w:rsidRPr="00462F30" w:rsidRDefault="00AE696D" w:rsidP="00EB739C">
            <w:pPr>
              <w:rPr>
                <w:b/>
              </w:rPr>
            </w:pPr>
          </w:p>
        </w:tc>
        <w:tc>
          <w:tcPr>
            <w:tcW w:w="3117" w:type="dxa"/>
          </w:tcPr>
          <w:p w14:paraId="2BB0F8D1" w14:textId="77777777" w:rsidR="00AE696D" w:rsidRPr="00462F30" w:rsidRDefault="00AE696D" w:rsidP="00EB739C">
            <w:pPr>
              <w:rPr>
                <w:b/>
              </w:rPr>
            </w:pPr>
            <w:r w:rsidRPr="00462F30">
              <w:rPr>
                <w:b/>
              </w:rPr>
              <w:t>Physicians in top 25% of antibiotic prescribers by volume</w:t>
            </w:r>
          </w:p>
        </w:tc>
        <w:tc>
          <w:tcPr>
            <w:tcW w:w="3117" w:type="dxa"/>
          </w:tcPr>
          <w:p w14:paraId="3F4627AB" w14:textId="77777777" w:rsidR="00AE696D" w:rsidRPr="00462F30" w:rsidRDefault="00AE696D" w:rsidP="00EB739C">
            <w:pPr>
              <w:rPr>
                <w:b/>
              </w:rPr>
            </w:pPr>
            <w:r w:rsidRPr="00462F30">
              <w:rPr>
                <w:b/>
              </w:rPr>
              <w:t>Physicians below top 25% of antibiotic prescribers by volume</w:t>
            </w:r>
          </w:p>
        </w:tc>
      </w:tr>
      <w:tr w:rsidR="00AE696D" w14:paraId="52506BC1" w14:textId="77777777" w:rsidTr="00EB739C">
        <w:tc>
          <w:tcPr>
            <w:tcW w:w="3116" w:type="dxa"/>
          </w:tcPr>
          <w:p w14:paraId="3E1E58C4" w14:textId="77777777" w:rsidR="00AE696D" w:rsidRPr="00462F30" w:rsidRDefault="00AE696D" w:rsidP="00EB739C">
            <w:pPr>
              <w:rPr>
                <w:b/>
              </w:rPr>
            </w:pPr>
            <w:r w:rsidRPr="00462F30">
              <w:rPr>
                <w:b/>
              </w:rPr>
              <w:t>Family practitioners</w:t>
            </w:r>
          </w:p>
        </w:tc>
        <w:tc>
          <w:tcPr>
            <w:tcW w:w="3117" w:type="dxa"/>
          </w:tcPr>
          <w:p w14:paraId="2D403265" w14:textId="77777777" w:rsidR="00AE696D" w:rsidRPr="00462F30" w:rsidRDefault="00AE696D" w:rsidP="00EB739C">
            <w:pPr>
              <w:rPr>
                <w:b/>
              </w:rPr>
            </w:pPr>
          </w:p>
        </w:tc>
        <w:tc>
          <w:tcPr>
            <w:tcW w:w="3117" w:type="dxa"/>
          </w:tcPr>
          <w:p w14:paraId="12DA0DCF" w14:textId="77777777" w:rsidR="00AE696D" w:rsidRPr="00462F30" w:rsidRDefault="00AE696D" w:rsidP="00EB739C">
            <w:pPr>
              <w:rPr>
                <w:b/>
              </w:rPr>
            </w:pPr>
          </w:p>
        </w:tc>
      </w:tr>
      <w:tr w:rsidR="00AE696D" w14:paraId="3E4A46A3" w14:textId="77777777" w:rsidTr="00EB739C">
        <w:tc>
          <w:tcPr>
            <w:tcW w:w="3116" w:type="dxa"/>
          </w:tcPr>
          <w:p w14:paraId="7242B5BC" w14:textId="77777777" w:rsidR="00AE696D" w:rsidRDefault="00AE696D" w:rsidP="00EB739C">
            <w:r>
              <w:t xml:space="preserve">     Top 5 antibiotic agents</w:t>
            </w:r>
          </w:p>
        </w:tc>
        <w:tc>
          <w:tcPr>
            <w:tcW w:w="3117" w:type="dxa"/>
          </w:tcPr>
          <w:p w14:paraId="0442D959" w14:textId="77777777" w:rsidR="00AE696D" w:rsidRDefault="00AE696D" w:rsidP="00EB739C">
            <w:r>
              <w:t>Azithromycin</w:t>
            </w:r>
          </w:p>
          <w:p w14:paraId="1398DC1D" w14:textId="77777777" w:rsidR="00AE696D" w:rsidRDefault="00AE696D" w:rsidP="00EB739C">
            <w:r>
              <w:t>Amoxicillin</w:t>
            </w:r>
          </w:p>
          <w:p w14:paraId="6A410186" w14:textId="77777777" w:rsidR="00AE696D" w:rsidRDefault="00AE696D" w:rsidP="00EB739C">
            <w:r>
              <w:t>Amoxicillin/clavulanic acid</w:t>
            </w:r>
          </w:p>
          <w:p w14:paraId="5AE46C56" w14:textId="77777777" w:rsidR="00AE696D" w:rsidRDefault="00AE696D" w:rsidP="00EB739C">
            <w:r>
              <w:t>Ciprofloxacin</w:t>
            </w:r>
          </w:p>
          <w:p w14:paraId="081D0659" w14:textId="77777777" w:rsidR="00AE696D" w:rsidRDefault="00AE696D" w:rsidP="00EB739C">
            <w:r>
              <w:t>Trimethoprim-sulfamethoxazole</w:t>
            </w:r>
          </w:p>
        </w:tc>
        <w:tc>
          <w:tcPr>
            <w:tcW w:w="3117" w:type="dxa"/>
          </w:tcPr>
          <w:p w14:paraId="5C893569" w14:textId="77777777" w:rsidR="00AE696D" w:rsidRDefault="00AE696D" w:rsidP="00EB739C">
            <w:r>
              <w:t>Azithromycin</w:t>
            </w:r>
          </w:p>
          <w:p w14:paraId="16D2D603" w14:textId="77777777" w:rsidR="00AE696D" w:rsidRDefault="00AE696D" w:rsidP="00EB739C">
            <w:r>
              <w:t>Amoxicillin</w:t>
            </w:r>
          </w:p>
          <w:p w14:paraId="3168F4E7" w14:textId="77777777" w:rsidR="00AE696D" w:rsidRDefault="00AE696D" w:rsidP="00EB739C">
            <w:r>
              <w:t>Trimethoprim-sulfamethoxazole</w:t>
            </w:r>
          </w:p>
          <w:p w14:paraId="22880428" w14:textId="77777777" w:rsidR="00AE696D" w:rsidRDefault="00AE696D" w:rsidP="00EB739C">
            <w:r>
              <w:t>Ciprofloxacin</w:t>
            </w:r>
          </w:p>
          <w:p w14:paraId="57143BE3" w14:textId="77777777" w:rsidR="00AE696D" w:rsidRDefault="00AE696D" w:rsidP="00EB739C">
            <w:r>
              <w:t>Amoxicillin/clavulanic acid</w:t>
            </w:r>
          </w:p>
        </w:tc>
      </w:tr>
      <w:tr w:rsidR="00AE696D" w14:paraId="5E453EE6" w14:textId="77777777" w:rsidTr="00EB739C">
        <w:tc>
          <w:tcPr>
            <w:tcW w:w="3116" w:type="dxa"/>
          </w:tcPr>
          <w:p w14:paraId="4284A685" w14:textId="77777777" w:rsidR="00AE696D" w:rsidRDefault="00AE696D" w:rsidP="00EB739C">
            <w:r>
              <w:t xml:space="preserve">     Top 5 antibiotic classes</w:t>
            </w:r>
          </w:p>
        </w:tc>
        <w:tc>
          <w:tcPr>
            <w:tcW w:w="3117" w:type="dxa"/>
          </w:tcPr>
          <w:p w14:paraId="75F504D8" w14:textId="77777777" w:rsidR="00AE696D" w:rsidRDefault="00AE696D" w:rsidP="00EB739C">
            <w:r>
              <w:t>Macrolides</w:t>
            </w:r>
          </w:p>
          <w:p w14:paraId="53C7CC14" w14:textId="77777777" w:rsidR="00AE696D" w:rsidRDefault="00AE696D" w:rsidP="00EB739C">
            <w:proofErr w:type="spellStart"/>
            <w:r>
              <w:t>Penicillins</w:t>
            </w:r>
            <w:proofErr w:type="spellEnd"/>
          </w:p>
          <w:p w14:paraId="32ECED9D" w14:textId="77777777" w:rsidR="00AE696D" w:rsidRDefault="00AE696D" w:rsidP="00EB739C">
            <w:proofErr w:type="spellStart"/>
            <w:r>
              <w:t>Cephalosporins</w:t>
            </w:r>
            <w:proofErr w:type="spellEnd"/>
          </w:p>
          <w:p w14:paraId="46646B6A" w14:textId="77777777" w:rsidR="00AE696D" w:rsidRDefault="00AE696D" w:rsidP="00EB739C">
            <w:r>
              <w:t>Fluoroquinolones</w:t>
            </w:r>
          </w:p>
          <w:p w14:paraId="15799102" w14:textId="77777777" w:rsidR="00AE696D" w:rsidRDefault="00AE696D" w:rsidP="00EB739C">
            <w:r>
              <w:t>Beta-lactams, increased activity</w:t>
            </w:r>
          </w:p>
        </w:tc>
        <w:tc>
          <w:tcPr>
            <w:tcW w:w="3117" w:type="dxa"/>
          </w:tcPr>
          <w:p w14:paraId="73BCC8D9" w14:textId="77777777" w:rsidR="00AE696D" w:rsidRDefault="00AE696D" w:rsidP="00EB739C">
            <w:r>
              <w:t>Macrolides</w:t>
            </w:r>
          </w:p>
          <w:p w14:paraId="2C7225D8" w14:textId="77777777" w:rsidR="00AE696D" w:rsidRDefault="00AE696D" w:rsidP="00EB739C">
            <w:proofErr w:type="spellStart"/>
            <w:r>
              <w:t>Penicillins</w:t>
            </w:r>
            <w:proofErr w:type="spellEnd"/>
          </w:p>
          <w:p w14:paraId="3222906F" w14:textId="77777777" w:rsidR="00AE696D" w:rsidRDefault="00AE696D" w:rsidP="00EB739C">
            <w:r>
              <w:t>Fluoroquinolones</w:t>
            </w:r>
          </w:p>
          <w:p w14:paraId="730BB84E" w14:textId="77777777" w:rsidR="00AE696D" w:rsidRDefault="00AE696D" w:rsidP="00EB739C">
            <w:proofErr w:type="spellStart"/>
            <w:r>
              <w:t>Cephalosporins</w:t>
            </w:r>
            <w:proofErr w:type="spellEnd"/>
          </w:p>
          <w:p w14:paraId="23AA7B34" w14:textId="77777777" w:rsidR="00AE696D" w:rsidRDefault="00AE696D" w:rsidP="00EB739C">
            <w:r>
              <w:t>Trimethoprim-sulfamethoxazole</w:t>
            </w:r>
          </w:p>
        </w:tc>
      </w:tr>
      <w:tr w:rsidR="00AE696D" w14:paraId="25D406C9" w14:textId="77777777" w:rsidTr="00EB739C">
        <w:tc>
          <w:tcPr>
            <w:tcW w:w="3116" w:type="dxa"/>
          </w:tcPr>
          <w:p w14:paraId="218AE28F" w14:textId="77777777" w:rsidR="00AE696D" w:rsidRPr="00462F30" w:rsidRDefault="00AE696D" w:rsidP="00EB739C">
            <w:pPr>
              <w:rPr>
                <w:b/>
              </w:rPr>
            </w:pPr>
            <w:r w:rsidRPr="00462F30">
              <w:rPr>
                <w:b/>
              </w:rPr>
              <w:t>Internists</w:t>
            </w:r>
          </w:p>
        </w:tc>
        <w:tc>
          <w:tcPr>
            <w:tcW w:w="3117" w:type="dxa"/>
          </w:tcPr>
          <w:p w14:paraId="68225C17" w14:textId="77777777" w:rsidR="00AE696D" w:rsidRDefault="00AE696D" w:rsidP="00EB739C"/>
        </w:tc>
        <w:tc>
          <w:tcPr>
            <w:tcW w:w="3117" w:type="dxa"/>
          </w:tcPr>
          <w:p w14:paraId="0933DDE3" w14:textId="77777777" w:rsidR="00AE696D" w:rsidRDefault="00AE696D" w:rsidP="00EB739C"/>
        </w:tc>
      </w:tr>
      <w:tr w:rsidR="00AE696D" w14:paraId="43B03321" w14:textId="77777777" w:rsidTr="00EB739C">
        <w:tc>
          <w:tcPr>
            <w:tcW w:w="3116" w:type="dxa"/>
          </w:tcPr>
          <w:p w14:paraId="52152522" w14:textId="77777777" w:rsidR="00AE696D" w:rsidRDefault="00AE696D" w:rsidP="00EB739C">
            <w:r>
              <w:t xml:space="preserve">     Top 5 antibiotic agents</w:t>
            </w:r>
          </w:p>
        </w:tc>
        <w:tc>
          <w:tcPr>
            <w:tcW w:w="3117" w:type="dxa"/>
          </w:tcPr>
          <w:p w14:paraId="103E7A92" w14:textId="77777777" w:rsidR="00AE696D" w:rsidRDefault="00AE696D" w:rsidP="00EB739C">
            <w:r>
              <w:t>Azithromycin</w:t>
            </w:r>
          </w:p>
          <w:p w14:paraId="47F0F81F" w14:textId="77777777" w:rsidR="00AE696D" w:rsidRDefault="00AE696D" w:rsidP="00EB739C">
            <w:r>
              <w:t>Ciprofloxacin</w:t>
            </w:r>
          </w:p>
          <w:p w14:paraId="026BA93D" w14:textId="77777777" w:rsidR="00AE696D" w:rsidRDefault="00AE696D" w:rsidP="00EB739C">
            <w:r>
              <w:t>Amoxicillin</w:t>
            </w:r>
          </w:p>
          <w:p w14:paraId="774832D1" w14:textId="77777777" w:rsidR="00AE696D" w:rsidRDefault="00AE696D" w:rsidP="00EB739C">
            <w:r>
              <w:t>Amoxicillin/clavulanic acid</w:t>
            </w:r>
          </w:p>
          <w:p w14:paraId="27D27BD5" w14:textId="77777777" w:rsidR="00AE696D" w:rsidRDefault="00AE696D" w:rsidP="00EB739C">
            <w:r>
              <w:t>Trimethoprim-sulfamethoxazole</w:t>
            </w:r>
          </w:p>
        </w:tc>
        <w:tc>
          <w:tcPr>
            <w:tcW w:w="3117" w:type="dxa"/>
          </w:tcPr>
          <w:p w14:paraId="50E5672E" w14:textId="77777777" w:rsidR="00AE696D" w:rsidRDefault="00AE696D" w:rsidP="00EB739C">
            <w:r>
              <w:t>Azithromycin</w:t>
            </w:r>
          </w:p>
          <w:p w14:paraId="0BB43086" w14:textId="77777777" w:rsidR="00AE696D" w:rsidRDefault="00AE696D" w:rsidP="00EB739C">
            <w:r>
              <w:t>Ciprofloxacin</w:t>
            </w:r>
          </w:p>
          <w:p w14:paraId="1AB62BDF" w14:textId="77777777" w:rsidR="00AE696D" w:rsidRDefault="00AE696D" w:rsidP="00EB739C">
            <w:r>
              <w:t>Amoxicillin/clavulanic acid</w:t>
            </w:r>
          </w:p>
          <w:p w14:paraId="59BDBD69" w14:textId="77777777" w:rsidR="00AE696D" w:rsidRDefault="00AE696D" w:rsidP="00EB739C">
            <w:r>
              <w:t>Amoxicillin</w:t>
            </w:r>
          </w:p>
          <w:p w14:paraId="5F185636" w14:textId="77777777" w:rsidR="00AE696D" w:rsidRDefault="00AE696D" w:rsidP="00EB739C">
            <w:r>
              <w:t>Trimethoprim-sulfamethoxazole</w:t>
            </w:r>
          </w:p>
        </w:tc>
      </w:tr>
      <w:tr w:rsidR="00AE696D" w14:paraId="5AB0DF1E" w14:textId="77777777" w:rsidTr="00EB739C">
        <w:tc>
          <w:tcPr>
            <w:tcW w:w="3116" w:type="dxa"/>
          </w:tcPr>
          <w:p w14:paraId="59A646D6" w14:textId="77777777" w:rsidR="00AE696D" w:rsidRDefault="00AE696D" w:rsidP="00EB739C">
            <w:r>
              <w:t xml:space="preserve">     Top 5 antibiotic classes</w:t>
            </w:r>
          </w:p>
        </w:tc>
        <w:tc>
          <w:tcPr>
            <w:tcW w:w="3117" w:type="dxa"/>
          </w:tcPr>
          <w:p w14:paraId="5AF87561" w14:textId="77777777" w:rsidR="00AE696D" w:rsidRDefault="00AE696D" w:rsidP="00EB739C">
            <w:r>
              <w:t>Macrolides</w:t>
            </w:r>
          </w:p>
          <w:p w14:paraId="08BBEAD3" w14:textId="77777777" w:rsidR="00AE696D" w:rsidRDefault="00AE696D" w:rsidP="00EB739C">
            <w:r>
              <w:t>Fluoroquinolones</w:t>
            </w:r>
          </w:p>
          <w:p w14:paraId="2C2C594D" w14:textId="77777777" w:rsidR="00AE696D" w:rsidRDefault="00AE696D" w:rsidP="00EB739C">
            <w:proofErr w:type="spellStart"/>
            <w:r>
              <w:t>Penicillins</w:t>
            </w:r>
            <w:proofErr w:type="spellEnd"/>
          </w:p>
          <w:p w14:paraId="3C6A9EBD" w14:textId="77777777" w:rsidR="00AE696D" w:rsidRDefault="00AE696D" w:rsidP="00EB739C">
            <w:proofErr w:type="spellStart"/>
            <w:r>
              <w:t>Cephalosporins</w:t>
            </w:r>
            <w:proofErr w:type="spellEnd"/>
          </w:p>
          <w:p w14:paraId="6158823D" w14:textId="77777777" w:rsidR="00AE696D" w:rsidRDefault="00AE696D" w:rsidP="00EB739C">
            <w:r>
              <w:t>Beta-lactams, increased activity</w:t>
            </w:r>
          </w:p>
        </w:tc>
        <w:tc>
          <w:tcPr>
            <w:tcW w:w="3117" w:type="dxa"/>
          </w:tcPr>
          <w:p w14:paraId="1B89463D" w14:textId="77777777" w:rsidR="00AE696D" w:rsidRDefault="00AE696D" w:rsidP="00EB739C">
            <w:r>
              <w:t>Macrolides</w:t>
            </w:r>
          </w:p>
          <w:p w14:paraId="7C585119" w14:textId="77777777" w:rsidR="00AE696D" w:rsidRDefault="00AE696D" w:rsidP="00EB739C">
            <w:r>
              <w:t>Fluoroquinolones</w:t>
            </w:r>
          </w:p>
          <w:p w14:paraId="632C1C19" w14:textId="77777777" w:rsidR="00AE696D" w:rsidRDefault="00AE696D" w:rsidP="00EB739C">
            <w:proofErr w:type="spellStart"/>
            <w:r>
              <w:t>Penicillins</w:t>
            </w:r>
            <w:proofErr w:type="spellEnd"/>
          </w:p>
          <w:p w14:paraId="2E3EDA34" w14:textId="77777777" w:rsidR="00AE696D" w:rsidRDefault="00AE696D" w:rsidP="00EB739C">
            <w:r>
              <w:t>Beta-lactams, increased activity</w:t>
            </w:r>
          </w:p>
          <w:p w14:paraId="3C45BEAE" w14:textId="77777777" w:rsidR="00AE696D" w:rsidRDefault="00AE696D" w:rsidP="00EB739C">
            <w:proofErr w:type="spellStart"/>
            <w:r>
              <w:t>Cephalosporins</w:t>
            </w:r>
            <w:proofErr w:type="spellEnd"/>
          </w:p>
        </w:tc>
      </w:tr>
      <w:tr w:rsidR="00AE696D" w14:paraId="19952F29" w14:textId="77777777" w:rsidTr="00EB739C">
        <w:tc>
          <w:tcPr>
            <w:tcW w:w="3116" w:type="dxa"/>
          </w:tcPr>
          <w:p w14:paraId="4E6C6DCB" w14:textId="77777777" w:rsidR="00AE696D" w:rsidRPr="00462F30" w:rsidRDefault="00AE696D" w:rsidP="00EB739C">
            <w:pPr>
              <w:rPr>
                <w:b/>
              </w:rPr>
            </w:pPr>
            <w:r w:rsidRPr="00462F30">
              <w:rPr>
                <w:b/>
              </w:rPr>
              <w:t>Pediatricians</w:t>
            </w:r>
          </w:p>
        </w:tc>
        <w:tc>
          <w:tcPr>
            <w:tcW w:w="3117" w:type="dxa"/>
          </w:tcPr>
          <w:p w14:paraId="30BCF42A" w14:textId="77777777" w:rsidR="00AE696D" w:rsidRDefault="00AE696D" w:rsidP="00EB739C"/>
        </w:tc>
        <w:tc>
          <w:tcPr>
            <w:tcW w:w="3117" w:type="dxa"/>
          </w:tcPr>
          <w:p w14:paraId="5BEFCCEB" w14:textId="77777777" w:rsidR="00AE696D" w:rsidRDefault="00AE696D" w:rsidP="00EB739C"/>
        </w:tc>
      </w:tr>
      <w:tr w:rsidR="00AE696D" w14:paraId="5BA19B33" w14:textId="77777777" w:rsidTr="00EB739C">
        <w:tc>
          <w:tcPr>
            <w:tcW w:w="3116" w:type="dxa"/>
          </w:tcPr>
          <w:p w14:paraId="0B3EFEEE" w14:textId="77777777" w:rsidR="00AE696D" w:rsidRDefault="00AE696D" w:rsidP="00EB739C">
            <w:r>
              <w:t xml:space="preserve">     Top 5 antibiotic agents</w:t>
            </w:r>
          </w:p>
        </w:tc>
        <w:tc>
          <w:tcPr>
            <w:tcW w:w="3117" w:type="dxa"/>
          </w:tcPr>
          <w:p w14:paraId="0AC6AB6F" w14:textId="77777777" w:rsidR="00AE696D" w:rsidRDefault="00AE696D" w:rsidP="00EB739C">
            <w:r>
              <w:t>Amoxicillin</w:t>
            </w:r>
          </w:p>
          <w:p w14:paraId="02AB72EE" w14:textId="77777777" w:rsidR="00AE696D" w:rsidRDefault="00AE696D" w:rsidP="00EB739C">
            <w:r>
              <w:t>Azithromycin</w:t>
            </w:r>
          </w:p>
          <w:p w14:paraId="0664D162" w14:textId="77777777" w:rsidR="00AE696D" w:rsidRDefault="00AE696D" w:rsidP="00EB739C">
            <w:r>
              <w:t>Amoxicillin/clavulanic acid</w:t>
            </w:r>
          </w:p>
          <w:p w14:paraId="64C14391" w14:textId="77777777" w:rsidR="00AE696D" w:rsidRDefault="00AE696D" w:rsidP="00EB739C">
            <w:proofErr w:type="spellStart"/>
            <w:r>
              <w:t>Cefdinir</w:t>
            </w:r>
            <w:proofErr w:type="spellEnd"/>
          </w:p>
          <w:p w14:paraId="6549ED87" w14:textId="77777777" w:rsidR="00AE696D" w:rsidRDefault="00AE696D" w:rsidP="00EB739C">
            <w:r>
              <w:t>Cephalexin</w:t>
            </w:r>
          </w:p>
        </w:tc>
        <w:tc>
          <w:tcPr>
            <w:tcW w:w="3117" w:type="dxa"/>
          </w:tcPr>
          <w:p w14:paraId="602A391F" w14:textId="77777777" w:rsidR="00AE696D" w:rsidRDefault="00AE696D" w:rsidP="00EB739C">
            <w:r>
              <w:t>Amoxicillin</w:t>
            </w:r>
          </w:p>
          <w:p w14:paraId="4EDE3560" w14:textId="77777777" w:rsidR="00AE696D" w:rsidRDefault="00AE696D" w:rsidP="00EB739C">
            <w:r>
              <w:t>Azithromycin</w:t>
            </w:r>
          </w:p>
          <w:p w14:paraId="3DB278EB" w14:textId="77777777" w:rsidR="00AE696D" w:rsidRDefault="00AE696D" w:rsidP="00EB739C">
            <w:r>
              <w:t>Amoxicillin/clavulanic acid</w:t>
            </w:r>
          </w:p>
          <w:p w14:paraId="02D5AF6F" w14:textId="77777777" w:rsidR="00AE696D" w:rsidRDefault="00AE696D" w:rsidP="00EB739C">
            <w:proofErr w:type="spellStart"/>
            <w:r>
              <w:t>Cefdinir</w:t>
            </w:r>
            <w:proofErr w:type="spellEnd"/>
          </w:p>
          <w:p w14:paraId="5AB7E38E" w14:textId="77777777" w:rsidR="00AE696D" w:rsidRDefault="00AE696D" w:rsidP="00EB739C">
            <w:r>
              <w:t>Cephalexin</w:t>
            </w:r>
          </w:p>
        </w:tc>
      </w:tr>
      <w:tr w:rsidR="00AE696D" w14:paraId="384DD463" w14:textId="77777777" w:rsidTr="00EB739C">
        <w:tc>
          <w:tcPr>
            <w:tcW w:w="3116" w:type="dxa"/>
          </w:tcPr>
          <w:p w14:paraId="61CBD17C" w14:textId="77777777" w:rsidR="00AE696D" w:rsidRDefault="00AE696D" w:rsidP="00EB739C">
            <w:r>
              <w:t xml:space="preserve">     Top 5 antibiotic classes</w:t>
            </w:r>
          </w:p>
        </w:tc>
        <w:tc>
          <w:tcPr>
            <w:tcW w:w="3117" w:type="dxa"/>
          </w:tcPr>
          <w:p w14:paraId="633079B5" w14:textId="77777777" w:rsidR="00AE696D" w:rsidRDefault="00AE696D" w:rsidP="00EB739C">
            <w:proofErr w:type="spellStart"/>
            <w:r>
              <w:t>Penicillins</w:t>
            </w:r>
            <w:proofErr w:type="spellEnd"/>
          </w:p>
          <w:p w14:paraId="55B9F1AA" w14:textId="77777777" w:rsidR="00AE696D" w:rsidRDefault="00AE696D" w:rsidP="00EB739C">
            <w:proofErr w:type="spellStart"/>
            <w:r>
              <w:t>Cephalosporins</w:t>
            </w:r>
            <w:proofErr w:type="spellEnd"/>
          </w:p>
          <w:p w14:paraId="5978E996" w14:textId="77777777" w:rsidR="00AE696D" w:rsidRDefault="00AE696D" w:rsidP="00EB739C">
            <w:r>
              <w:t>Macrolides</w:t>
            </w:r>
          </w:p>
          <w:p w14:paraId="0EA60FBD" w14:textId="77777777" w:rsidR="00AE696D" w:rsidRDefault="00AE696D" w:rsidP="00EB739C">
            <w:r>
              <w:t>Beta-lactams, increased activity</w:t>
            </w:r>
          </w:p>
          <w:p w14:paraId="13B67CE3" w14:textId="77777777" w:rsidR="00AE696D" w:rsidRDefault="00AE696D" w:rsidP="00EB739C">
            <w:r>
              <w:t xml:space="preserve"> Trimethoprim-sulfamethoxazole</w:t>
            </w:r>
          </w:p>
        </w:tc>
        <w:tc>
          <w:tcPr>
            <w:tcW w:w="3117" w:type="dxa"/>
          </w:tcPr>
          <w:p w14:paraId="5AE1BEEB" w14:textId="77777777" w:rsidR="00AE696D" w:rsidRDefault="00AE696D" w:rsidP="00EB739C">
            <w:proofErr w:type="spellStart"/>
            <w:r>
              <w:t>Penicillins</w:t>
            </w:r>
            <w:proofErr w:type="spellEnd"/>
          </w:p>
          <w:p w14:paraId="21662EE4" w14:textId="77777777" w:rsidR="00AE696D" w:rsidRDefault="00AE696D" w:rsidP="00EB739C">
            <w:proofErr w:type="spellStart"/>
            <w:r>
              <w:t>Cephalosporins</w:t>
            </w:r>
            <w:proofErr w:type="spellEnd"/>
          </w:p>
          <w:p w14:paraId="68219B6C" w14:textId="77777777" w:rsidR="00AE696D" w:rsidRDefault="00AE696D" w:rsidP="00EB739C">
            <w:r>
              <w:t>Macrolides</w:t>
            </w:r>
          </w:p>
          <w:p w14:paraId="6C5459B8" w14:textId="77777777" w:rsidR="00AE696D" w:rsidRDefault="00AE696D" w:rsidP="00EB739C">
            <w:r>
              <w:t>Beta-lactams, increased activity</w:t>
            </w:r>
          </w:p>
          <w:p w14:paraId="7B02DFBA" w14:textId="77777777" w:rsidR="00AE696D" w:rsidRDefault="00AE696D" w:rsidP="00EB739C">
            <w:r>
              <w:t>Trimethoprim-sulfamethoxazole</w:t>
            </w:r>
          </w:p>
        </w:tc>
      </w:tr>
    </w:tbl>
    <w:p w14:paraId="1CD9B082" w14:textId="77777777" w:rsidR="00AE696D" w:rsidRPr="00DD496A" w:rsidRDefault="00AE696D" w:rsidP="00AE696D"/>
    <w:p w14:paraId="71C9849C" w14:textId="6370FB75" w:rsidR="00431AF7" w:rsidRPr="002B57C0" w:rsidRDefault="00431AF7" w:rsidP="001F7326">
      <w:pPr>
        <w:spacing w:after="0" w:line="240" w:lineRule="auto"/>
      </w:pPr>
    </w:p>
    <w:sectPr w:rsidR="00431AF7" w:rsidRPr="002B57C0" w:rsidSect="008B3E7F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7F38" w14:textId="77777777" w:rsidR="00E177D2" w:rsidRDefault="00E177D2" w:rsidP="008B5D54">
      <w:pPr>
        <w:spacing w:after="0" w:line="240" w:lineRule="auto"/>
      </w:pPr>
      <w:r>
        <w:separator/>
      </w:r>
    </w:p>
  </w:endnote>
  <w:endnote w:type="continuationSeparator" w:id="0">
    <w:p w14:paraId="0D58BF75" w14:textId="77777777" w:rsidR="00E177D2" w:rsidRDefault="00E177D2" w:rsidP="008B5D54">
      <w:pPr>
        <w:spacing w:after="0" w:line="240" w:lineRule="auto"/>
      </w:pPr>
      <w:r>
        <w:continuationSeparator/>
      </w:r>
    </w:p>
  </w:endnote>
  <w:endnote w:type="continuationNotice" w:id="1">
    <w:p w14:paraId="71FCFC39" w14:textId="77777777" w:rsidR="00E177D2" w:rsidRDefault="00E17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0554" w14:textId="77777777" w:rsidR="00EB739C" w:rsidRDefault="00EB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7ACFA" w14:textId="77777777" w:rsidR="00E177D2" w:rsidRDefault="00E177D2" w:rsidP="008B5D54">
      <w:pPr>
        <w:spacing w:after="0" w:line="240" w:lineRule="auto"/>
      </w:pPr>
      <w:r>
        <w:separator/>
      </w:r>
    </w:p>
  </w:footnote>
  <w:footnote w:type="continuationSeparator" w:id="0">
    <w:p w14:paraId="756B1351" w14:textId="77777777" w:rsidR="00E177D2" w:rsidRDefault="00E177D2" w:rsidP="008B5D54">
      <w:pPr>
        <w:spacing w:after="0" w:line="240" w:lineRule="auto"/>
      </w:pPr>
      <w:r>
        <w:continuationSeparator/>
      </w:r>
    </w:p>
  </w:footnote>
  <w:footnote w:type="continuationNotice" w:id="1">
    <w:p w14:paraId="190A7A3E" w14:textId="77777777" w:rsidR="00E177D2" w:rsidRDefault="00E177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C050" w14:textId="77777777" w:rsidR="00EB739C" w:rsidRDefault="00EB7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353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65F"/>
    <w:multiLevelType w:val="hybridMultilevel"/>
    <w:tmpl w:val="742AF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4A2"/>
    <w:multiLevelType w:val="hybridMultilevel"/>
    <w:tmpl w:val="0A22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083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081"/>
    <w:multiLevelType w:val="hybridMultilevel"/>
    <w:tmpl w:val="0DCCC144"/>
    <w:lvl w:ilvl="0" w:tplc="01020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337A9"/>
    <w:multiLevelType w:val="hybridMultilevel"/>
    <w:tmpl w:val="2C32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71B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1D2"/>
    <w:multiLevelType w:val="hybridMultilevel"/>
    <w:tmpl w:val="427A9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4030"/>
    <w:multiLevelType w:val="hybridMultilevel"/>
    <w:tmpl w:val="77C2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186B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38E"/>
    <w:multiLevelType w:val="hybridMultilevel"/>
    <w:tmpl w:val="8DB85AB0"/>
    <w:lvl w:ilvl="0" w:tplc="E6F4E4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D1573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30A0"/>
    <w:multiLevelType w:val="hybridMultilevel"/>
    <w:tmpl w:val="B2C4B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986"/>
    <w:multiLevelType w:val="hybridMultilevel"/>
    <w:tmpl w:val="C4F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2FE9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368BC"/>
    <w:multiLevelType w:val="hybridMultilevel"/>
    <w:tmpl w:val="898E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8D2"/>
    <w:multiLevelType w:val="hybridMultilevel"/>
    <w:tmpl w:val="6AC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5390D"/>
    <w:multiLevelType w:val="hybridMultilevel"/>
    <w:tmpl w:val="20384AEC"/>
    <w:lvl w:ilvl="0" w:tplc="EA8ECA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11CF5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17775"/>
    <w:multiLevelType w:val="hybridMultilevel"/>
    <w:tmpl w:val="AB68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269A7"/>
    <w:multiLevelType w:val="hybridMultilevel"/>
    <w:tmpl w:val="AB5C7ADA"/>
    <w:lvl w:ilvl="0" w:tplc="5A9EDF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71ED0"/>
    <w:multiLevelType w:val="hybridMultilevel"/>
    <w:tmpl w:val="9998F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C87"/>
    <w:multiLevelType w:val="hybridMultilevel"/>
    <w:tmpl w:val="DD08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73404"/>
    <w:multiLevelType w:val="hybridMultilevel"/>
    <w:tmpl w:val="AA644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42C9"/>
    <w:multiLevelType w:val="hybridMultilevel"/>
    <w:tmpl w:val="C4C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7"/>
  </w:num>
  <w:num w:numId="5">
    <w:abstractNumId w:val="23"/>
  </w:num>
  <w:num w:numId="6">
    <w:abstractNumId w:val="2"/>
  </w:num>
  <w:num w:numId="7">
    <w:abstractNumId w:val="12"/>
  </w:num>
  <w:num w:numId="8">
    <w:abstractNumId w:val="21"/>
  </w:num>
  <w:num w:numId="9">
    <w:abstractNumId w:val="20"/>
  </w:num>
  <w:num w:numId="10">
    <w:abstractNumId w:val="24"/>
  </w:num>
  <w:num w:numId="11">
    <w:abstractNumId w:val="18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  <w:num w:numId="17">
    <w:abstractNumId w:val="5"/>
  </w:num>
  <w:num w:numId="18">
    <w:abstractNumId w:val="10"/>
  </w:num>
  <w:num w:numId="19">
    <w:abstractNumId w:val="8"/>
  </w:num>
  <w:num w:numId="20">
    <w:abstractNumId w:val="16"/>
  </w:num>
  <w:num w:numId="21">
    <w:abstractNumId w:val="13"/>
  </w:num>
  <w:num w:numId="22">
    <w:abstractNumId w:val="4"/>
  </w:num>
  <w:num w:numId="23">
    <w:abstractNumId w:val="19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MW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9zxsed622r22evxskxr002tvt5zpsexvze&quot;&gt;Katherine-Saved-Saved&lt;record-ids&gt;&lt;item&gt;96&lt;/item&gt;&lt;item&gt;109&lt;/item&gt;&lt;item&gt;110&lt;/item&gt;&lt;item&gt;362&lt;/item&gt;&lt;item&gt;662&lt;/item&gt;&lt;item&gt;792&lt;/item&gt;&lt;item&gt;956&lt;/item&gt;&lt;item&gt;1415&lt;/item&gt;&lt;item&gt;1416&lt;/item&gt;&lt;item&gt;1435&lt;/item&gt;&lt;/record-ids&gt;&lt;/item&gt;&lt;/Libraries&gt;"/>
  </w:docVars>
  <w:rsids>
    <w:rsidRoot w:val="00D615A9"/>
    <w:rsid w:val="00003FDA"/>
    <w:rsid w:val="00004F05"/>
    <w:rsid w:val="00007B3E"/>
    <w:rsid w:val="00007F7F"/>
    <w:rsid w:val="00010856"/>
    <w:rsid w:val="00010AB1"/>
    <w:rsid w:val="00010B44"/>
    <w:rsid w:val="00015CD6"/>
    <w:rsid w:val="00016A22"/>
    <w:rsid w:val="00017746"/>
    <w:rsid w:val="000206D5"/>
    <w:rsid w:val="00021A07"/>
    <w:rsid w:val="0002544D"/>
    <w:rsid w:val="00034569"/>
    <w:rsid w:val="0003488E"/>
    <w:rsid w:val="0004000F"/>
    <w:rsid w:val="000422BB"/>
    <w:rsid w:val="000530E6"/>
    <w:rsid w:val="00054C3A"/>
    <w:rsid w:val="0005696B"/>
    <w:rsid w:val="00063288"/>
    <w:rsid w:val="000649AA"/>
    <w:rsid w:val="00064DA3"/>
    <w:rsid w:val="000665F3"/>
    <w:rsid w:val="0007181D"/>
    <w:rsid w:val="0007371F"/>
    <w:rsid w:val="00074189"/>
    <w:rsid w:val="0007608B"/>
    <w:rsid w:val="0007774F"/>
    <w:rsid w:val="00077F5B"/>
    <w:rsid w:val="00082E6C"/>
    <w:rsid w:val="000831BC"/>
    <w:rsid w:val="00083AB8"/>
    <w:rsid w:val="00087BC1"/>
    <w:rsid w:val="000918EA"/>
    <w:rsid w:val="00096FA9"/>
    <w:rsid w:val="000A099F"/>
    <w:rsid w:val="000A4B98"/>
    <w:rsid w:val="000A56D9"/>
    <w:rsid w:val="000A5A50"/>
    <w:rsid w:val="000A603F"/>
    <w:rsid w:val="000B0724"/>
    <w:rsid w:val="000B116A"/>
    <w:rsid w:val="000B1881"/>
    <w:rsid w:val="000B28AD"/>
    <w:rsid w:val="000B30B9"/>
    <w:rsid w:val="000C4B11"/>
    <w:rsid w:val="000C6E9A"/>
    <w:rsid w:val="000D1368"/>
    <w:rsid w:val="000D47F2"/>
    <w:rsid w:val="000E3EE4"/>
    <w:rsid w:val="000E7504"/>
    <w:rsid w:val="000F427C"/>
    <w:rsid w:val="000F5636"/>
    <w:rsid w:val="000F59E2"/>
    <w:rsid w:val="000F6C2E"/>
    <w:rsid w:val="000F79DD"/>
    <w:rsid w:val="001022D5"/>
    <w:rsid w:val="00104322"/>
    <w:rsid w:val="00105BB8"/>
    <w:rsid w:val="00112566"/>
    <w:rsid w:val="00117534"/>
    <w:rsid w:val="00121F8D"/>
    <w:rsid w:val="00126B3B"/>
    <w:rsid w:val="00130C18"/>
    <w:rsid w:val="00132EB1"/>
    <w:rsid w:val="0013440F"/>
    <w:rsid w:val="001360BF"/>
    <w:rsid w:val="00136B82"/>
    <w:rsid w:val="001426EA"/>
    <w:rsid w:val="0014380A"/>
    <w:rsid w:val="00144294"/>
    <w:rsid w:val="0014535D"/>
    <w:rsid w:val="001468DB"/>
    <w:rsid w:val="00147B26"/>
    <w:rsid w:val="00147FB7"/>
    <w:rsid w:val="00150691"/>
    <w:rsid w:val="00152BF2"/>
    <w:rsid w:val="00153374"/>
    <w:rsid w:val="00154EB6"/>
    <w:rsid w:val="0015508C"/>
    <w:rsid w:val="00162178"/>
    <w:rsid w:val="00164E50"/>
    <w:rsid w:val="00167B5C"/>
    <w:rsid w:val="00172B30"/>
    <w:rsid w:val="001737FC"/>
    <w:rsid w:val="00177443"/>
    <w:rsid w:val="001811CF"/>
    <w:rsid w:val="00181798"/>
    <w:rsid w:val="0019220F"/>
    <w:rsid w:val="00196A0C"/>
    <w:rsid w:val="0019730B"/>
    <w:rsid w:val="001A2B88"/>
    <w:rsid w:val="001A4373"/>
    <w:rsid w:val="001A5354"/>
    <w:rsid w:val="001A793A"/>
    <w:rsid w:val="001B150D"/>
    <w:rsid w:val="001B5697"/>
    <w:rsid w:val="001B6A3C"/>
    <w:rsid w:val="001B7F21"/>
    <w:rsid w:val="001C1FED"/>
    <w:rsid w:val="001C58FB"/>
    <w:rsid w:val="001C715B"/>
    <w:rsid w:val="001C7AFA"/>
    <w:rsid w:val="001D2A64"/>
    <w:rsid w:val="001D3EAD"/>
    <w:rsid w:val="001D4696"/>
    <w:rsid w:val="001D52A0"/>
    <w:rsid w:val="001D539B"/>
    <w:rsid w:val="001D5E4B"/>
    <w:rsid w:val="001D61CF"/>
    <w:rsid w:val="001D7118"/>
    <w:rsid w:val="001D77BF"/>
    <w:rsid w:val="001E2C32"/>
    <w:rsid w:val="001E39BF"/>
    <w:rsid w:val="001E53BF"/>
    <w:rsid w:val="001E5EA1"/>
    <w:rsid w:val="001F2AB6"/>
    <w:rsid w:val="001F3B27"/>
    <w:rsid w:val="001F52B7"/>
    <w:rsid w:val="001F7070"/>
    <w:rsid w:val="001F7326"/>
    <w:rsid w:val="002035C8"/>
    <w:rsid w:val="002042A0"/>
    <w:rsid w:val="0021324D"/>
    <w:rsid w:val="00214C9C"/>
    <w:rsid w:val="00214CC2"/>
    <w:rsid w:val="00217AA2"/>
    <w:rsid w:val="00222C61"/>
    <w:rsid w:val="00227A8C"/>
    <w:rsid w:val="00230E6B"/>
    <w:rsid w:val="00233091"/>
    <w:rsid w:val="0023340C"/>
    <w:rsid w:val="00234485"/>
    <w:rsid w:val="0023547E"/>
    <w:rsid w:val="00240B1F"/>
    <w:rsid w:val="0025088E"/>
    <w:rsid w:val="00253FE5"/>
    <w:rsid w:val="00256A95"/>
    <w:rsid w:val="0026284B"/>
    <w:rsid w:val="00265811"/>
    <w:rsid w:val="0026784E"/>
    <w:rsid w:val="00270395"/>
    <w:rsid w:val="00274853"/>
    <w:rsid w:val="00276A9C"/>
    <w:rsid w:val="002864A3"/>
    <w:rsid w:val="00291813"/>
    <w:rsid w:val="00293B5E"/>
    <w:rsid w:val="002948EA"/>
    <w:rsid w:val="00294E0F"/>
    <w:rsid w:val="00295355"/>
    <w:rsid w:val="0029593E"/>
    <w:rsid w:val="002A2874"/>
    <w:rsid w:val="002B27EF"/>
    <w:rsid w:val="002B35AF"/>
    <w:rsid w:val="002B57C0"/>
    <w:rsid w:val="002B69CC"/>
    <w:rsid w:val="002C0A06"/>
    <w:rsid w:val="002D0352"/>
    <w:rsid w:val="002D7024"/>
    <w:rsid w:val="002E0EDA"/>
    <w:rsid w:val="002E40C7"/>
    <w:rsid w:val="002F0191"/>
    <w:rsid w:val="002F05A9"/>
    <w:rsid w:val="002F0F5B"/>
    <w:rsid w:val="002F1C0B"/>
    <w:rsid w:val="002F22E1"/>
    <w:rsid w:val="002F26A6"/>
    <w:rsid w:val="002F348C"/>
    <w:rsid w:val="002F35C2"/>
    <w:rsid w:val="002F6B3A"/>
    <w:rsid w:val="00300C85"/>
    <w:rsid w:val="00301E4D"/>
    <w:rsid w:val="00304DE0"/>
    <w:rsid w:val="003059CE"/>
    <w:rsid w:val="00305DE8"/>
    <w:rsid w:val="003077F1"/>
    <w:rsid w:val="00311721"/>
    <w:rsid w:val="0031436F"/>
    <w:rsid w:val="003157EB"/>
    <w:rsid w:val="0031596E"/>
    <w:rsid w:val="00320B6F"/>
    <w:rsid w:val="00320FE6"/>
    <w:rsid w:val="00321857"/>
    <w:rsid w:val="00324472"/>
    <w:rsid w:val="00325F50"/>
    <w:rsid w:val="0032631F"/>
    <w:rsid w:val="0033132D"/>
    <w:rsid w:val="00332452"/>
    <w:rsid w:val="00332A82"/>
    <w:rsid w:val="00332C90"/>
    <w:rsid w:val="00333FE1"/>
    <w:rsid w:val="00337470"/>
    <w:rsid w:val="00337547"/>
    <w:rsid w:val="00337709"/>
    <w:rsid w:val="00337BA0"/>
    <w:rsid w:val="00341C7C"/>
    <w:rsid w:val="00343E97"/>
    <w:rsid w:val="00347E47"/>
    <w:rsid w:val="00356544"/>
    <w:rsid w:val="00356F47"/>
    <w:rsid w:val="0036442E"/>
    <w:rsid w:val="00366546"/>
    <w:rsid w:val="00366950"/>
    <w:rsid w:val="00372421"/>
    <w:rsid w:val="00372BF7"/>
    <w:rsid w:val="0037433A"/>
    <w:rsid w:val="00383862"/>
    <w:rsid w:val="00383A6A"/>
    <w:rsid w:val="00386DF5"/>
    <w:rsid w:val="0038711B"/>
    <w:rsid w:val="00391840"/>
    <w:rsid w:val="003A18A3"/>
    <w:rsid w:val="003A2281"/>
    <w:rsid w:val="003A3507"/>
    <w:rsid w:val="003A430C"/>
    <w:rsid w:val="003A47AA"/>
    <w:rsid w:val="003A4DBD"/>
    <w:rsid w:val="003A78CF"/>
    <w:rsid w:val="003B1279"/>
    <w:rsid w:val="003B2585"/>
    <w:rsid w:val="003B4553"/>
    <w:rsid w:val="003B5017"/>
    <w:rsid w:val="003B55B3"/>
    <w:rsid w:val="003B5EFF"/>
    <w:rsid w:val="003B6A93"/>
    <w:rsid w:val="003C0991"/>
    <w:rsid w:val="003C2F29"/>
    <w:rsid w:val="003C4EBD"/>
    <w:rsid w:val="003D0D82"/>
    <w:rsid w:val="003D21E0"/>
    <w:rsid w:val="003D496A"/>
    <w:rsid w:val="003D510F"/>
    <w:rsid w:val="003D5C79"/>
    <w:rsid w:val="003D6E13"/>
    <w:rsid w:val="003E017F"/>
    <w:rsid w:val="003E4B6C"/>
    <w:rsid w:val="003E54BB"/>
    <w:rsid w:val="003F02E7"/>
    <w:rsid w:val="003F364B"/>
    <w:rsid w:val="003F5DC8"/>
    <w:rsid w:val="00403737"/>
    <w:rsid w:val="00405E44"/>
    <w:rsid w:val="004111EA"/>
    <w:rsid w:val="00413DA6"/>
    <w:rsid w:val="00414D8C"/>
    <w:rsid w:val="0041676B"/>
    <w:rsid w:val="004170D2"/>
    <w:rsid w:val="004233B1"/>
    <w:rsid w:val="00424E52"/>
    <w:rsid w:val="00431AF7"/>
    <w:rsid w:val="00431F07"/>
    <w:rsid w:val="00431F2C"/>
    <w:rsid w:val="0043727E"/>
    <w:rsid w:val="0043744C"/>
    <w:rsid w:val="00440859"/>
    <w:rsid w:val="00443378"/>
    <w:rsid w:val="004434ED"/>
    <w:rsid w:val="004441E8"/>
    <w:rsid w:val="004452CF"/>
    <w:rsid w:val="004510C3"/>
    <w:rsid w:val="00454B3E"/>
    <w:rsid w:val="00461E25"/>
    <w:rsid w:val="00461F20"/>
    <w:rsid w:val="004622D5"/>
    <w:rsid w:val="004657CA"/>
    <w:rsid w:val="00465E04"/>
    <w:rsid w:val="00465EE8"/>
    <w:rsid w:val="004667BC"/>
    <w:rsid w:val="00471DF2"/>
    <w:rsid w:val="00471E5A"/>
    <w:rsid w:val="00472CFE"/>
    <w:rsid w:val="0047603C"/>
    <w:rsid w:val="00476E6C"/>
    <w:rsid w:val="00482481"/>
    <w:rsid w:val="00482819"/>
    <w:rsid w:val="00483A3C"/>
    <w:rsid w:val="0048538E"/>
    <w:rsid w:val="00491003"/>
    <w:rsid w:val="00491212"/>
    <w:rsid w:val="00492250"/>
    <w:rsid w:val="00494E5A"/>
    <w:rsid w:val="00497BC3"/>
    <w:rsid w:val="004A0470"/>
    <w:rsid w:val="004A3A14"/>
    <w:rsid w:val="004A44C8"/>
    <w:rsid w:val="004A5242"/>
    <w:rsid w:val="004A6575"/>
    <w:rsid w:val="004A6D93"/>
    <w:rsid w:val="004B2C93"/>
    <w:rsid w:val="004B5B8C"/>
    <w:rsid w:val="004C25E1"/>
    <w:rsid w:val="004C25F2"/>
    <w:rsid w:val="004D006B"/>
    <w:rsid w:val="004D19D9"/>
    <w:rsid w:val="004D29A6"/>
    <w:rsid w:val="004D5448"/>
    <w:rsid w:val="004E012C"/>
    <w:rsid w:val="004E1A5F"/>
    <w:rsid w:val="004E4F1D"/>
    <w:rsid w:val="004E56B6"/>
    <w:rsid w:val="004E59B1"/>
    <w:rsid w:val="004E5A0B"/>
    <w:rsid w:val="004E6AA8"/>
    <w:rsid w:val="004F239E"/>
    <w:rsid w:val="004F6C52"/>
    <w:rsid w:val="0050229A"/>
    <w:rsid w:val="005033AD"/>
    <w:rsid w:val="00504F11"/>
    <w:rsid w:val="005071DA"/>
    <w:rsid w:val="00507B96"/>
    <w:rsid w:val="005100F3"/>
    <w:rsid w:val="00510C4E"/>
    <w:rsid w:val="00512CAA"/>
    <w:rsid w:val="00514834"/>
    <w:rsid w:val="00517528"/>
    <w:rsid w:val="00524844"/>
    <w:rsid w:val="00525E40"/>
    <w:rsid w:val="00526DD7"/>
    <w:rsid w:val="00531C60"/>
    <w:rsid w:val="00534B85"/>
    <w:rsid w:val="005353D8"/>
    <w:rsid w:val="005355A7"/>
    <w:rsid w:val="00536ADB"/>
    <w:rsid w:val="00544F40"/>
    <w:rsid w:val="00544FC0"/>
    <w:rsid w:val="0054636A"/>
    <w:rsid w:val="0054781D"/>
    <w:rsid w:val="00547972"/>
    <w:rsid w:val="00554D8E"/>
    <w:rsid w:val="00557A50"/>
    <w:rsid w:val="005618A2"/>
    <w:rsid w:val="0056216C"/>
    <w:rsid w:val="0056261F"/>
    <w:rsid w:val="00564130"/>
    <w:rsid w:val="005664A5"/>
    <w:rsid w:val="005665DB"/>
    <w:rsid w:val="005729B6"/>
    <w:rsid w:val="0057341C"/>
    <w:rsid w:val="00573A8C"/>
    <w:rsid w:val="00573ACB"/>
    <w:rsid w:val="00580596"/>
    <w:rsid w:val="00580C65"/>
    <w:rsid w:val="00585B14"/>
    <w:rsid w:val="00587188"/>
    <w:rsid w:val="00587F44"/>
    <w:rsid w:val="005901BE"/>
    <w:rsid w:val="005916BD"/>
    <w:rsid w:val="00594E27"/>
    <w:rsid w:val="0059506A"/>
    <w:rsid w:val="005977C1"/>
    <w:rsid w:val="005A0EE0"/>
    <w:rsid w:val="005A7087"/>
    <w:rsid w:val="005B4F20"/>
    <w:rsid w:val="005B5DED"/>
    <w:rsid w:val="005B794D"/>
    <w:rsid w:val="005C06A5"/>
    <w:rsid w:val="005C168D"/>
    <w:rsid w:val="005C6A13"/>
    <w:rsid w:val="005D0362"/>
    <w:rsid w:val="005D3B1E"/>
    <w:rsid w:val="005D7734"/>
    <w:rsid w:val="005E2628"/>
    <w:rsid w:val="005E2CF1"/>
    <w:rsid w:val="005E4F0B"/>
    <w:rsid w:val="005E6B2F"/>
    <w:rsid w:val="005E7B2E"/>
    <w:rsid w:val="005F1ACC"/>
    <w:rsid w:val="005F23D4"/>
    <w:rsid w:val="005F302B"/>
    <w:rsid w:val="005F310A"/>
    <w:rsid w:val="005F3B9F"/>
    <w:rsid w:val="005F6006"/>
    <w:rsid w:val="0060001C"/>
    <w:rsid w:val="0060208F"/>
    <w:rsid w:val="00602345"/>
    <w:rsid w:val="0060275A"/>
    <w:rsid w:val="006028E0"/>
    <w:rsid w:val="00610CB6"/>
    <w:rsid w:val="00612DD0"/>
    <w:rsid w:val="006132E7"/>
    <w:rsid w:val="00616D49"/>
    <w:rsid w:val="0062253B"/>
    <w:rsid w:val="00622EFE"/>
    <w:rsid w:val="006262D6"/>
    <w:rsid w:val="006440F1"/>
    <w:rsid w:val="006500C1"/>
    <w:rsid w:val="006510B1"/>
    <w:rsid w:val="0065218E"/>
    <w:rsid w:val="00653E78"/>
    <w:rsid w:val="00654B38"/>
    <w:rsid w:val="00654F3B"/>
    <w:rsid w:val="00655F81"/>
    <w:rsid w:val="00660D34"/>
    <w:rsid w:val="00660ED6"/>
    <w:rsid w:val="00661B29"/>
    <w:rsid w:val="00662E99"/>
    <w:rsid w:val="006634A1"/>
    <w:rsid w:val="00664280"/>
    <w:rsid w:val="00670085"/>
    <w:rsid w:val="006710E5"/>
    <w:rsid w:val="00671315"/>
    <w:rsid w:val="00675593"/>
    <w:rsid w:val="00675B2A"/>
    <w:rsid w:val="006778D1"/>
    <w:rsid w:val="006814D4"/>
    <w:rsid w:val="00681DE6"/>
    <w:rsid w:val="006829C7"/>
    <w:rsid w:val="00684952"/>
    <w:rsid w:val="00686EF4"/>
    <w:rsid w:val="00690A49"/>
    <w:rsid w:val="00692111"/>
    <w:rsid w:val="00694D40"/>
    <w:rsid w:val="006965B7"/>
    <w:rsid w:val="006A0361"/>
    <w:rsid w:val="006A0728"/>
    <w:rsid w:val="006A1732"/>
    <w:rsid w:val="006A19D0"/>
    <w:rsid w:val="006A232D"/>
    <w:rsid w:val="006A529B"/>
    <w:rsid w:val="006B1BE8"/>
    <w:rsid w:val="006B1FFF"/>
    <w:rsid w:val="006B36E9"/>
    <w:rsid w:val="006B4034"/>
    <w:rsid w:val="006B6DC5"/>
    <w:rsid w:val="006C0480"/>
    <w:rsid w:val="006C1C12"/>
    <w:rsid w:val="006C23F9"/>
    <w:rsid w:val="006C6578"/>
    <w:rsid w:val="006D3751"/>
    <w:rsid w:val="006D3A1B"/>
    <w:rsid w:val="006D42A9"/>
    <w:rsid w:val="006E229E"/>
    <w:rsid w:val="006E4848"/>
    <w:rsid w:val="006E633A"/>
    <w:rsid w:val="006E671D"/>
    <w:rsid w:val="006E6931"/>
    <w:rsid w:val="006E6D5E"/>
    <w:rsid w:val="006F122A"/>
    <w:rsid w:val="006F1F8C"/>
    <w:rsid w:val="006F2C75"/>
    <w:rsid w:val="007008AA"/>
    <w:rsid w:val="00701DC8"/>
    <w:rsid w:val="00702D7A"/>
    <w:rsid w:val="0070618C"/>
    <w:rsid w:val="00706B5F"/>
    <w:rsid w:val="00711D28"/>
    <w:rsid w:val="0071278D"/>
    <w:rsid w:val="00713669"/>
    <w:rsid w:val="00714133"/>
    <w:rsid w:val="00715DD1"/>
    <w:rsid w:val="007217B1"/>
    <w:rsid w:val="007230C1"/>
    <w:rsid w:val="00723222"/>
    <w:rsid w:val="00723C28"/>
    <w:rsid w:val="0072442D"/>
    <w:rsid w:val="0072470A"/>
    <w:rsid w:val="00725A82"/>
    <w:rsid w:val="00730298"/>
    <w:rsid w:val="00730E6F"/>
    <w:rsid w:val="00732130"/>
    <w:rsid w:val="00737077"/>
    <w:rsid w:val="007372F2"/>
    <w:rsid w:val="007373BA"/>
    <w:rsid w:val="00741265"/>
    <w:rsid w:val="007464FB"/>
    <w:rsid w:val="00747122"/>
    <w:rsid w:val="00747764"/>
    <w:rsid w:val="00750F1E"/>
    <w:rsid w:val="007543C4"/>
    <w:rsid w:val="00760E7A"/>
    <w:rsid w:val="00770578"/>
    <w:rsid w:val="00774055"/>
    <w:rsid w:val="00774EE3"/>
    <w:rsid w:val="007779E1"/>
    <w:rsid w:val="00784158"/>
    <w:rsid w:val="007875B0"/>
    <w:rsid w:val="00790BD5"/>
    <w:rsid w:val="00790C13"/>
    <w:rsid w:val="00791A86"/>
    <w:rsid w:val="007942F8"/>
    <w:rsid w:val="007975D4"/>
    <w:rsid w:val="007A04FF"/>
    <w:rsid w:val="007A3B0C"/>
    <w:rsid w:val="007A64CA"/>
    <w:rsid w:val="007B1ACF"/>
    <w:rsid w:val="007B3CC8"/>
    <w:rsid w:val="007B4580"/>
    <w:rsid w:val="007B5A8A"/>
    <w:rsid w:val="007C0883"/>
    <w:rsid w:val="007C22BE"/>
    <w:rsid w:val="007C4EB8"/>
    <w:rsid w:val="007C52D7"/>
    <w:rsid w:val="007C7FC6"/>
    <w:rsid w:val="007D4FC9"/>
    <w:rsid w:val="007D5CF0"/>
    <w:rsid w:val="007D6FE7"/>
    <w:rsid w:val="007E04A3"/>
    <w:rsid w:val="007E42D7"/>
    <w:rsid w:val="007F15F4"/>
    <w:rsid w:val="007F17C0"/>
    <w:rsid w:val="007F4A51"/>
    <w:rsid w:val="007F5497"/>
    <w:rsid w:val="007F6758"/>
    <w:rsid w:val="007F6B27"/>
    <w:rsid w:val="00801F58"/>
    <w:rsid w:val="00802C7A"/>
    <w:rsid w:val="00803446"/>
    <w:rsid w:val="00807744"/>
    <w:rsid w:val="00812B38"/>
    <w:rsid w:val="00812D0E"/>
    <w:rsid w:val="00815F0D"/>
    <w:rsid w:val="00820909"/>
    <w:rsid w:val="00820D14"/>
    <w:rsid w:val="00821E01"/>
    <w:rsid w:val="00822453"/>
    <w:rsid w:val="008227D5"/>
    <w:rsid w:val="00822A0D"/>
    <w:rsid w:val="008248C2"/>
    <w:rsid w:val="0082746A"/>
    <w:rsid w:val="0082762A"/>
    <w:rsid w:val="00830009"/>
    <w:rsid w:val="00830349"/>
    <w:rsid w:val="008323A1"/>
    <w:rsid w:val="00833BF6"/>
    <w:rsid w:val="00834B0F"/>
    <w:rsid w:val="00834D9E"/>
    <w:rsid w:val="00836F5A"/>
    <w:rsid w:val="008370E5"/>
    <w:rsid w:val="008406FE"/>
    <w:rsid w:val="00843118"/>
    <w:rsid w:val="00844232"/>
    <w:rsid w:val="00847C93"/>
    <w:rsid w:val="00851998"/>
    <w:rsid w:val="008519C8"/>
    <w:rsid w:val="008551BB"/>
    <w:rsid w:val="00855A22"/>
    <w:rsid w:val="00855DB6"/>
    <w:rsid w:val="00857547"/>
    <w:rsid w:val="008576F3"/>
    <w:rsid w:val="00861632"/>
    <w:rsid w:val="00864BF5"/>
    <w:rsid w:val="00870497"/>
    <w:rsid w:val="00880786"/>
    <w:rsid w:val="0088147E"/>
    <w:rsid w:val="008915B9"/>
    <w:rsid w:val="00891C78"/>
    <w:rsid w:val="008926DC"/>
    <w:rsid w:val="0089333A"/>
    <w:rsid w:val="008972C3"/>
    <w:rsid w:val="008A49C5"/>
    <w:rsid w:val="008A5D9C"/>
    <w:rsid w:val="008B09EC"/>
    <w:rsid w:val="008B3AAE"/>
    <w:rsid w:val="008B3E7F"/>
    <w:rsid w:val="008B4AD6"/>
    <w:rsid w:val="008B5D54"/>
    <w:rsid w:val="008C1299"/>
    <w:rsid w:val="008C1869"/>
    <w:rsid w:val="008C2ECC"/>
    <w:rsid w:val="008C316F"/>
    <w:rsid w:val="008C36D6"/>
    <w:rsid w:val="008C723A"/>
    <w:rsid w:val="008C747C"/>
    <w:rsid w:val="008C7F78"/>
    <w:rsid w:val="008D03E4"/>
    <w:rsid w:val="008D7A22"/>
    <w:rsid w:val="008E02B9"/>
    <w:rsid w:val="008E0F4A"/>
    <w:rsid w:val="008E2A80"/>
    <w:rsid w:val="008E2CD2"/>
    <w:rsid w:val="008E5341"/>
    <w:rsid w:val="008F105E"/>
    <w:rsid w:val="008F23FA"/>
    <w:rsid w:val="008F602B"/>
    <w:rsid w:val="008F65C8"/>
    <w:rsid w:val="009038AD"/>
    <w:rsid w:val="00904F51"/>
    <w:rsid w:val="00913F8A"/>
    <w:rsid w:val="009145C1"/>
    <w:rsid w:val="00914A94"/>
    <w:rsid w:val="00915110"/>
    <w:rsid w:val="00916AD1"/>
    <w:rsid w:val="00927090"/>
    <w:rsid w:val="00930D1A"/>
    <w:rsid w:val="00932E63"/>
    <w:rsid w:val="009363CE"/>
    <w:rsid w:val="0093720F"/>
    <w:rsid w:val="00941721"/>
    <w:rsid w:val="00942BC4"/>
    <w:rsid w:val="00947E9A"/>
    <w:rsid w:val="009502E6"/>
    <w:rsid w:val="00950479"/>
    <w:rsid w:val="00951F83"/>
    <w:rsid w:val="00955E2D"/>
    <w:rsid w:val="00962B34"/>
    <w:rsid w:val="00967BD3"/>
    <w:rsid w:val="0097374B"/>
    <w:rsid w:val="00974BDC"/>
    <w:rsid w:val="00975379"/>
    <w:rsid w:val="009754BD"/>
    <w:rsid w:val="00976E36"/>
    <w:rsid w:val="009805E3"/>
    <w:rsid w:val="00981428"/>
    <w:rsid w:val="009861AF"/>
    <w:rsid w:val="00986A25"/>
    <w:rsid w:val="00991492"/>
    <w:rsid w:val="009915D0"/>
    <w:rsid w:val="00992805"/>
    <w:rsid w:val="00992C70"/>
    <w:rsid w:val="00992EBF"/>
    <w:rsid w:val="00993677"/>
    <w:rsid w:val="0099378E"/>
    <w:rsid w:val="009952EA"/>
    <w:rsid w:val="009968E7"/>
    <w:rsid w:val="009973F9"/>
    <w:rsid w:val="009975BD"/>
    <w:rsid w:val="009A34AD"/>
    <w:rsid w:val="009A5603"/>
    <w:rsid w:val="009B0D7F"/>
    <w:rsid w:val="009B1BFE"/>
    <w:rsid w:val="009B6B8F"/>
    <w:rsid w:val="009C0E57"/>
    <w:rsid w:val="009C1BA7"/>
    <w:rsid w:val="009C1C09"/>
    <w:rsid w:val="009C36BD"/>
    <w:rsid w:val="009C3E69"/>
    <w:rsid w:val="009C526F"/>
    <w:rsid w:val="009C6219"/>
    <w:rsid w:val="009C6A99"/>
    <w:rsid w:val="009C6B4A"/>
    <w:rsid w:val="009C7127"/>
    <w:rsid w:val="009C73A9"/>
    <w:rsid w:val="009D083F"/>
    <w:rsid w:val="009D3AE5"/>
    <w:rsid w:val="009D5A5D"/>
    <w:rsid w:val="009D7B29"/>
    <w:rsid w:val="009D7F88"/>
    <w:rsid w:val="009E2767"/>
    <w:rsid w:val="009E29C5"/>
    <w:rsid w:val="009E6023"/>
    <w:rsid w:val="009E7A45"/>
    <w:rsid w:val="009F1496"/>
    <w:rsid w:val="009F1C62"/>
    <w:rsid w:val="009F60BB"/>
    <w:rsid w:val="009F7B36"/>
    <w:rsid w:val="00A01A8D"/>
    <w:rsid w:val="00A02B5C"/>
    <w:rsid w:val="00A0311B"/>
    <w:rsid w:val="00A051EE"/>
    <w:rsid w:val="00A05F09"/>
    <w:rsid w:val="00A11AEB"/>
    <w:rsid w:val="00A12165"/>
    <w:rsid w:val="00A130CF"/>
    <w:rsid w:val="00A14520"/>
    <w:rsid w:val="00A17999"/>
    <w:rsid w:val="00A17CED"/>
    <w:rsid w:val="00A20AC3"/>
    <w:rsid w:val="00A2137C"/>
    <w:rsid w:val="00A246D6"/>
    <w:rsid w:val="00A24BFC"/>
    <w:rsid w:val="00A2519F"/>
    <w:rsid w:val="00A25604"/>
    <w:rsid w:val="00A27953"/>
    <w:rsid w:val="00A3055E"/>
    <w:rsid w:val="00A315C2"/>
    <w:rsid w:val="00A32E19"/>
    <w:rsid w:val="00A32FB5"/>
    <w:rsid w:val="00A337EC"/>
    <w:rsid w:val="00A3624B"/>
    <w:rsid w:val="00A36621"/>
    <w:rsid w:val="00A42B7D"/>
    <w:rsid w:val="00A44A7B"/>
    <w:rsid w:val="00A50AB6"/>
    <w:rsid w:val="00A55028"/>
    <w:rsid w:val="00A55B11"/>
    <w:rsid w:val="00A61EC2"/>
    <w:rsid w:val="00A63D2B"/>
    <w:rsid w:val="00A70556"/>
    <w:rsid w:val="00A70E63"/>
    <w:rsid w:val="00A72787"/>
    <w:rsid w:val="00A72AA9"/>
    <w:rsid w:val="00A80211"/>
    <w:rsid w:val="00A8050D"/>
    <w:rsid w:val="00A8300A"/>
    <w:rsid w:val="00A871D4"/>
    <w:rsid w:val="00A92185"/>
    <w:rsid w:val="00A940E1"/>
    <w:rsid w:val="00A9419F"/>
    <w:rsid w:val="00A966FB"/>
    <w:rsid w:val="00AA0492"/>
    <w:rsid w:val="00AA38DB"/>
    <w:rsid w:val="00AA3E7F"/>
    <w:rsid w:val="00AA4A8B"/>
    <w:rsid w:val="00AA4EF1"/>
    <w:rsid w:val="00AA58EB"/>
    <w:rsid w:val="00AA5D92"/>
    <w:rsid w:val="00AB1FAC"/>
    <w:rsid w:val="00AB74AF"/>
    <w:rsid w:val="00AC0054"/>
    <w:rsid w:val="00AC0E62"/>
    <w:rsid w:val="00AC28CC"/>
    <w:rsid w:val="00AC3A95"/>
    <w:rsid w:val="00AC7097"/>
    <w:rsid w:val="00AD0017"/>
    <w:rsid w:val="00AD0E24"/>
    <w:rsid w:val="00AD2F0A"/>
    <w:rsid w:val="00AD36E9"/>
    <w:rsid w:val="00AD618B"/>
    <w:rsid w:val="00AD66F0"/>
    <w:rsid w:val="00AD7534"/>
    <w:rsid w:val="00AE596F"/>
    <w:rsid w:val="00AE696D"/>
    <w:rsid w:val="00AF3A98"/>
    <w:rsid w:val="00AF47AC"/>
    <w:rsid w:val="00B04D2B"/>
    <w:rsid w:val="00B0514A"/>
    <w:rsid w:val="00B061AA"/>
    <w:rsid w:val="00B12B62"/>
    <w:rsid w:val="00B13289"/>
    <w:rsid w:val="00B171F9"/>
    <w:rsid w:val="00B244D1"/>
    <w:rsid w:val="00B26E7E"/>
    <w:rsid w:val="00B27A68"/>
    <w:rsid w:val="00B30182"/>
    <w:rsid w:val="00B32735"/>
    <w:rsid w:val="00B32C5F"/>
    <w:rsid w:val="00B33621"/>
    <w:rsid w:val="00B35641"/>
    <w:rsid w:val="00B368DC"/>
    <w:rsid w:val="00B36B3D"/>
    <w:rsid w:val="00B414EC"/>
    <w:rsid w:val="00B43E44"/>
    <w:rsid w:val="00B4488F"/>
    <w:rsid w:val="00B50242"/>
    <w:rsid w:val="00B51E9D"/>
    <w:rsid w:val="00B52B25"/>
    <w:rsid w:val="00B538AA"/>
    <w:rsid w:val="00B53F62"/>
    <w:rsid w:val="00B55735"/>
    <w:rsid w:val="00B608AC"/>
    <w:rsid w:val="00B67F9D"/>
    <w:rsid w:val="00B70177"/>
    <w:rsid w:val="00B76CE0"/>
    <w:rsid w:val="00B803A4"/>
    <w:rsid w:val="00B83B4E"/>
    <w:rsid w:val="00B878A3"/>
    <w:rsid w:val="00B92E7E"/>
    <w:rsid w:val="00BA0736"/>
    <w:rsid w:val="00BA0947"/>
    <w:rsid w:val="00BA0D65"/>
    <w:rsid w:val="00BA3B5D"/>
    <w:rsid w:val="00BA4D9E"/>
    <w:rsid w:val="00BA5736"/>
    <w:rsid w:val="00BB1B90"/>
    <w:rsid w:val="00BB4680"/>
    <w:rsid w:val="00BB46A3"/>
    <w:rsid w:val="00BB474A"/>
    <w:rsid w:val="00BB57B5"/>
    <w:rsid w:val="00BC2893"/>
    <w:rsid w:val="00BC2EFF"/>
    <w:rsid w:val="00BC4B6A"/>
    <w:rsid w:val="00BC6EA6"/>
    <w:rsid w:val="00BD0B97"/>
    <w:rsid w:val="00BD6B05"/>
    <w:rsid w:val="00BE191C"/>
    <w:rsid w:val="00BE5A6A"/>
    <w:rsid w:val="00BF1C6D"/>
    <w:rsid w:val="00BF33A3"/>
    <w:rsid w:val="00BF62BB"/>
    <w:rsid w:val="00BF7EA2"/>
    <w:rsid w:val="00C00A57"/>
    <w:rsid w:val="00C011E6"/>
    <w:rsid w:val="00C020F5"/>
    <w:rsid w:val="00C02232"/>
    <w:rsid w:val="00C0290F"/>
    <w:rsid w:val="00C02935"/>
    <w:rsid w:val="00C06264"/>
    <w:rsid w:val="00C06285"/>
    <w:rsid w:val="00C11DE4"/>
    <w:rsid w:val="00C12A48"/>
    <w:rsid w:val="00C1340C"/>
    <w:rsid w:val="00C16815"/>
    <w:rsid w:val="00C168D2"/>
    <w:rsid w:val="00C17679"/>
    <w:rsid w:val="00C268EA"/>
    <w:rsid w:val="00C2784C"/>
    <w:rsid w:val="00C30DD3"/>
    <w:rsid w:val="00C30DE7"/>
    <w:rsid w:val="00C46F78"/>
    <w:rsid w:val="00C4744E"/>
    <w:rsid w:val="00C47D82"/>
    <w:rsid w:val="00C551F3"/>
    <w:rsid w:val="00C555D0"/>
    <w:rsid w:val="00C55F9E"/>
    <w:rsid w:val="00C56BE5"/>
    <w:rsid w:val="00C57155"/>
    <w:rsid w:val="00C6706A"/>
    <w:rsid w:val="00C67299"/>
    <w:rsid w:val="00C67E29"/>
    <w:rsid w:val="00C71A45"/>
    <w:rsid w:val="00C75237"/>
    <w:rsid w:val="00C75DE4"/>
    <w:rsid w:val="00C75E89"/>
    <w:rsid w:val="00C76549"/>
    <w:rsid w:val="00C7663B"/>
    <w:rsid w:val="00C83922"/>
    <w:rsid w:val="00C866E9"/>
    <w:rsid w:val="00C91074"/>
    <w:rsid w:val="00C92F30"/>
    <w:rsid w:val="00C97164"/>
    <w:rsid w:val="00CA056A"/>
    <w:rsid w:val="00CA30B1"/>
    <w:rsid w:val="00CA7A4F"/>
    <w:rsid w:val="00CA7B58"/>
    <w:rsid w:val="00CB266F"/>
    <w:rsid w:val="00CB62DA"/>
    <w:rsid w:val="00CB6BAC"/>
    <w:rsid w:val="00CB6FA2"/>
    <w:rsid w:val="00CC01F4"/>
    <w:rsid w:val="00CC3E55"/>
    <w:rsid w:val="00CC5241"/>
    <w:rsid w:val="00CC5AA3"/>
    <w:rsid w:val="00CC7360"/>
    <w:rsid w:val="00CD1955"/>
    <w:rsid w:val="00CD1E0D"/>
    <w:rsid w:val="00CD2944"/>
    <w:rsid w:val="00CD7A9E"/>
    <w:rsid w:val="00CE0813"/>
    <w:rsid w:val="00CE11FB"/>
    <w:rsid w:val="00CE2E9F"/>
    <w:rsid w:val="00CE3C5F"/>
    <w:rsid w:val="00CE51C7"/>
    <w:rsid w:val="00CE5C0B"/>
    <w:rsid w:val="00CF0C18"/>
    <w:rsid w:val="00CF1715"/>
    <w:rsid w:val="00CF2795"/>
    <w:rsid w:val="00CF328C"/>
    <w:rsid w:val="00CF3914"/>
    <w:rsid w:val="00CF3DB8"/>
    <w:rsid w:val="00CF45AE"/>
    <w:rsid w:val="00CF671E"/>
    <w:rsid w:val="00D00114"/>
    <w:rsid w:val="00D0022A"/>
    <w:rsid w:val="00D009B1"/>
    <w:rsid w:val="00D01D88"/>
    <w:rsid w:val="00D01E77"/>
    <w:rsid w:val="00D029C9"/>
    <w:rsid w:val="00D05C5B"/>
    <w:rsid w:val="00D106D7"/>
    <w:rsid w:val="00D11A89"/>
    <w:rsid w:val="00D12EA7"/>
    <w:rsid w:val="00D136F9"/>
    <w:rsid w:val="00D146B7"/>
    <w:rsid w:val="00D147E3"/>
    <w:rsid w:val="00D157DB"/>
    <w:rsid w:val="00D211F8"/>
    <w:rsid w:val="00D24A0B"/>
    <w:rsid w:val="00D24EC7"/>
    <w:rsid w:val="00D258DC"/>
    <w:rsid w:val="00D25D0E"/>
    <w:rsid w:val="00D3795C"/>
    <w:rsid w:val="00D44BF1"/>
    <w:rsid w:val="00D4754F"/>
    <w:rsid w:val="00D47B75"/>
    <w:rsid w:val="00D5012D"/>
    <w:rsid w:val="00D54D0F"/>
    <w:rsid w:val="00D55C39"/>
    <w:rsid w:val="00D560C9"/>
    <w:rsid w:val="00D60F69"/>
    <w:rsid w:val="00D615A9"/>
    <w:rsid w:val="00D61CB5"/>
    <w:rsid w:val="00D63F58"/>
    <w:rsid w:val="00D65F5F"/>
    <w:rsid w:val="00D67591"/>
    <w:rsid w:val="00D72275"/>
    <w:rsid w:val="00D72AE7"/>
    <w:rsid w:val="00D73C2D"/>
    <w:rsid w:val="00D74C57"/>
    <w:rsid w:val="00D750D3"/>
    <w:rsid w:val="00D80948"/>
    <w:rsid w:val="00D80A85"/>
    <w:rsid w:val="00D80DF4"/>
    <w:rsid w:val="00D81A09"/>
    <w:rsid w:val="00D84E26"/>
    <w:rsid w:val="00D861B1"/>
    <w:rsid w:val="00D86F49"/>
    <w:rsid w:val="00D90393"/>
    <w:rsid w:val="00D90CBC"/>
    <w:rsid w:val="00D91163"/>
    <w:rsid w:val="00D9164F"/>
    <w:rsid w:val="00D94033"/>
    <w:rsid w:val="00D9444A"/>
    <w:rsid w:val="00D966C1"/>
    <w:rsid w:val="00D97915"/>
    <w:rsid w:val="00DA1181"/>
    <w:rsid w:val="00DA1A2F"/>
    <w:rsid w:val="00DA2DF1"/>
    <w:rsid w:val="00DB2F41"/>
    <w:rsid w:val="00DB3FC2"/>
    <w:rsid w:val="00DB43B6"/>
    <w:rsid w:val="00DC2829"/>
    <w:rsid w:val="00DC57CC"/>
    <w:rsid w:val="00DC5BB1"/>
    <w:rsid w:val="00DD0B4E"/>
    <w:rsid w:val="00DD1DC7"/>
    <w:rsid w:val="00DD2F0E"/>
    <w:rsid w:val="00DD3398"/>
    <w:rsid w:val="00DD4850"/>
    <w:rsid w:val="00DE034C"/>
    <w:rsid w:val="00DE04C4"/>
    <w:rsid w:val="00DE5827"/>
    <w:rsid w:val="00DF010B"/>
    <w:rsid w:val="00DF0B18"/>
    <w:rsid w:val="00DF4B32"/>
    <w:rsid w:val="00E00B8A"/>
    <w:rsid w:val="00E02908"/>
    <w:rsid w:val="00E047CA"/>
    <w:rsid w:val="00E1194E"/>
    <w:rsid w:val="00E13C8B"/>
    <w:rsid w:val="00E1414C"/>
    <w:rsid w:val="00E15D23"/>
    <w:rsid w:val="00E177D2"/>
    <w:rsid w:val="00E178C2"/>
    <w:rsid w:val="00E20006"/>
    <w:rsid w:val="00E21523"/>
    <w:rsid w:val="00E22E2F"/>
    <w:rsid w:val="00E233C1"/>
    <w:rsid w:val="00E25D6B"/>
    <w:rsid w:val="00E32C73"/>
    <w:rsid w:val="00E32CB5"/>
    <w:rsid w:val="00E3464D"/>
    <w:rsid w:val="00E34B8E"/>
    <w:rsid w:val="00E35AE7"/>
    <w:rsid w:val="00E37486"/>
    <w:rsid w:val="00E42E26"/>
    <w:rsid w:val="00E42FAB"/>
    <w:rsid w:val="00E47FBE"/>
    <w:rsid w:val="00E50943"/>
    <w:rsid w:val="00E550BD"/>
    <w:rsid w:val="00E6463F"/>
    <w:rsid w:val="00E65073"/>
    <w:rsid w:val="00E65145"/>
    <w:rsid w:val="00E652FF"/>
    <w:rsid w:val="00E65C57"/>
    <w:rsid w:val="00E67B0C"/>
    <w:rsid w:val="00E703DE"/>
    <w:rsid w:val="00E73C48"/>
    <w:rsid w:val="00E748D7"/>
    <w:rsid w:val="00E75C30"/>
    <w:rsid w:val="00E76D33"/>
    <w:rsid w:val="00E7752B"/>
    <w:rsid w:val="00E845E6"/>
    <w:rsid w:val="00E85D45"/>
    <w:rsid w:val="00E8612D"/>
    <w:rsid w:val="00E96B2D"/>
    <w:rsid w:val="00E97A58"/>
    <w:rsid w:val="00EA0CC0"/>
    <w:rsid w:val="00EA3185"/>
    <w:rsid w:val="00EA31B3"/>
    <w:rsid w:val="00EB058C"/>
    <w:rsid w:val="00EB4ABC"/>
    <w:rsid w:val="00EB739C"/>
    <w:rsid w:val="00EC1C94"/>
    <w:rsid w:val="00ED0726"/>
    <w:rsid w:val="00ED0CCD"/>
    <w:rsid w:val="00ED213B"/>
    <w:rsid w:val="00ED35AB"/>
    <w:rsid w:val="00ED6836"/>
    <w:rsid w:val="00EE13F4"/>
    <w:rsid w:val="00EE407D"/>
    <w:rsid w:val="00EE5CA6"/>
    <w:rsid w:val="00EF0474"/>
    <w:rsid w:val="00EF10B0"/>
    <w:rsid w:val="00EF1D7C"/>
    <w:rsid w:val="00EF2126"/>
    <w:rsid w:val="00EF2279"/>
    <w:rsid w:val="00F016B5"/>
    <w:rsid w:val="00F01A9A"/>
    <w:rsid w:val="00F04F74"/>
    <w:rsid w:val="00F05CB9"/>
    <w:rsid w:val="00F06BDE"/>
    <w:rsid w:val="00F1542E"/>
    <w:rsid w:val="00F15CE5"/>
    <w:rsid w:val="00F2085E"/>
    <w:rsid w:val="00F31862"/>
    <w:rsid w:val="00F361E0"/>
    <w:rsid w:val="00F3684E"/>
    <w:rsid w:val="00F402E6"/>
    <w:rsid w:val="00F40E27"/>
    <w:rsid w:val="00F41A8E"/>
    <w:rsid w:val="00F4211B"/>
    <w:rsid w:val="00F4684A"/>
    <w:rsid w:val="00F566EF"/>
    <w:rsid w:val="00F577AE"/>
    <w:rsid w:val="00F6011B"/>
    <w:rsid w:val="00F64C4D"/>
    <w:rsid w:val="00F65239"/>
    <w:rsid w:val="00F66938"/>
    <w:rsid w:val="00F72512"/>
    <w:rsid w:val="00F73FC7"/>
    <w:rsid w:val="00F8079C"/>
    <w:rsid w:val="00F87779"/>
    <w:rsid w:val="00F94D47"/>
    <w:rsid w:val="00F965DC"/>
    <w:rsid w:val="00FA0AE9"/>
    <w:rsid w:val="00FA1DD2"/>
    <w:rsid w:val="00FA4D13"/>
    <w:rsid w:val="00FA5F22"/>
    <w:rsid w:val="00FA6BC6"/>
    <w:rsid w:val="00FA7F4B"/>
    <w:rsid w:val="00FB163D"/>
    <w:rsid w:val="00FB2229"/>
    <w:rsid w:val="00FB72CE"/>
    <w:rsid w:val="00FC09A1"/>
    <w:rsid w:val="00FC137C"/>
    <w:rsid w:val="00FC323A"/>
    <w:rsid w:val="00FC62DA"/>
    <w:rsid w:val="00FC79C2"/>
    <w:rsid w:val="00FC7C31"/>
    <w:rsid w:val="00FD274A"/>
    <w:rsid w:val="00FD373A"/>
    <w:rsid w:val="00FD41B4"/>
    <w:rsid w:val="00FD5D9E"/>
    <w:rsid w:val="00FD6BE6"/>
    <w:rsid w:val="00FE4833"/>
    <w:rsid w:val="00FE5113"/>
    <w:rsid w:val="00FE5A78"/>
    <w:rsid w:val="00FE603B"/>
    <w:rsid w:val="00FF18D6"/>
    <w:rsid w:val="00FF60F0"/>
    <w:rsid w:val="00FF667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CD44"/>
  <w15:chartTrackingRefBased/>
  <w15:docId w15:val="{193FCC57-5F0C-4750-B24E-4BBECCB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615A9"/>
    <w:pPr>
      <w:ind w:left="720"/>
      <w:contextualSpacing/>
    </w:pPr>
  </w:style>
  <w:style w:type="table" w:styleId="TableGrid">
    <w:name w:val="Table Grid"/>
    <w:basedOn w:val="TableNormal"/>
    <w:uiPriority w:val="39"/>
    <w:rsid w:val="0093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5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D2B"/>
    <w:rPr>
      <w:color w:val="0000FF" w:themeColor="hyperlink"/>
      <w:u w:val="single"/>
    </w:rPr>
  </w:style>
  <w:style w:type="paragraph" w:customStyle="1" w:styleId="Normal0">
    <w:name w:val="[Normal]"/>
    <w:rsid w:val="0026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EndNoteBibliographyTitle">
    <w:name w:val="EndNote Bibliography Title"/>
    <w:basedOn w:val="Normal"/>
    <w:link w:val="EndNoteBibliographyTitleChar"/>
    <w:rsid w:val="00D11A8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1A8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1A8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1A89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21324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0E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E989-9CA8-4C96-9A81-2EB1D4C0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Sukumaran, Lakshmi (CDC/OID/NCEZID) (CTR)</dc:creator>
  <cp:keywords/>
  <dc:description/>
  <cp:lastModifiedBy>Zach Gillan</cp:lastModifiedBy>
  <cp:revision>2</cp:revision>
  <cp:lastPrinted>2017-04-11T17:17:00Z</cp:lastPrinted>
  <dcterms:created xsi:type="dcterms:W3CDTF">2017-12-22T18:13:00Z</dcterms:created>
  <dcterms:modified xsi:type="dcterms:W3CDTF">2017-12-22T18:13:00Z</dcterms:modified>
</cp:coreProperties>
</file>