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815"/>
        <w:gridCol w:w="1615"/>
        <w:gridCol w:w="1061"/>
        <w:gridCol w:w="990"/>
        <w:gridCol w:w="1350"/>
        <w:gridCol w:w="1260"/>
        <w:gridCol w:w="1620"/>
        <w:gridCol w:w="2070"/>
        <w:gridCol w:w="2340"/>
        <w:gridCol w:w="1622"/>
      </w:tblGrid>
      <w:tr w:rsidR="00AF6763" w:rsidRPr="00A039C2" w:rsidTr="0080370B">
        <w:trPr>
          <w:cantSplit/>
          <w:trHeight w:val="20"/>
          <w:tblHeader/>
        </w:trPr>
        <w:tc>
          <w:tcPr>
            <w:tcW w:w="14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0B04">
              <w:rPr>
                <w:rFonts w:ascii="Times New Roman" w:eastAsia="Times New Roman" w:hAnsi="Times New Roman" w:cs="Times New Roman"/>
                <w:b/>
                <w:color w:val="000000"/>
              </w:rPr>
              <w:t>Supplementary table 1:</w:t>
            </w:r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Characteristic of children with ≥5 observed recurrent intussusception episodes</w:t>
            </w: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Child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District-Province/City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Episode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Age (weeks)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Onset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Admission date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Symptoms</w:t>
            </w: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Ultrasound description</w:t>
            </w: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Discharge date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Mon-Hai Duong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6-Oct-14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6-Oct-14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bloody stool, fever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7-Oct-14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26-Oct-14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27-Oct-14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Mass size: 27x32x45mm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27-Oct-14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1-Dec-14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1-Dec-14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3-Dec-14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20-Jan-15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20-Jan-15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32x35mm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22-Jan-15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34x36mm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17-Mar-15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5-Jun-15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5-Jun-15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Mesenteric lymphadenitis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6-Jun-15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29-Jul-15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29-Jul-15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31-Jul-15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Phu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Vang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-T.T. Hue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24-Apr-13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25-Apr-13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 mesenteric lymphadenitis inside the IS mass, the mass size was 28mmx32mm, located in the right upper quadrant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26-Apr-13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1-Aug-13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1-Aug-13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fever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inside the mass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2-Aug-13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21-Oct-13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22-Oct-13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inside the mass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23-Oct-13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3-Jan-14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4-Jan-14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inside the mass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7-Jan-14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inside the mass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21-Mar-14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Thuy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Nguyen-Hai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3-Sep-15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3-Sep-15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4-Sep-15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2-Oct-15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2-Oct-15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4-Oct-15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10-Nov-15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10-Nov-15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mass size 27x28mm, mesenteric inside the mass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11-Nov-15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14-Feb-16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14-Feb-16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16-Feb-16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 , Mesenteric lymphadenitis less than 10mm in size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21-Mar-16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24-May-16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24-May-16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 Mesenteric lymphadenitis less than 10mm in size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26-May-16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Huong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-T.T. Hue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11-Aug-13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11-Aug-13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-colic, mesenteric lymphadenitis, Right upper quadrant has the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intraabdominal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mass image, bowel loops image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13-Aug-13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10-Sep-13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11-Sep-13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13-Sep-13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16-Mar-14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fever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17-Mar-14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8-Jul-14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8-Jul-14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appendix in the IS mass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10-Jul-14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8-Feb-15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8-Feb-15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9-Feb-15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Van Don-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1-Aug-14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1-Aug-14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bloody stool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4-Aug-14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22-Sep-14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22-Sep-14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23-Sep-14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8-Oct-14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8-Oct-14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10-Oct-14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23-Oct-14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23-Oct-14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24-Oct-14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27-Aug-15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27-Aug-15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27.3x28.2mm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28-Aug-15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An Lao-Hai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15-Apr-15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16-Apr-15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Bloody stool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18-Apr-15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18-May-15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18-May-15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20-May-15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28-May-15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28-May-15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lymphadenitis, mass size 29x30mm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30-May-15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8-Sep-15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8-Sep-15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mass size 25x26mm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9-Sep-15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30-Oct-15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30-Oct-15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None reported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 inside the IS mass less than 10mm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1-Nov-15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Tien Lang-Hai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17-Jul-13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17-Jul-13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26x36x42mm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19-Jul-13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1-Aug-13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2-Aug-13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28x31mm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3-Aug-13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1-Dec-13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1-Dec-13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32x37mm, Mesenteric lymphadenitis less than 10mm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2-Dec-13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28-Dec-13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28-Dec-13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25x43x47mm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30-Dec-13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19-Feb-14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20-Feb-14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21-Feb-14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Bao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19-Nov-13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19-Nov-13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bloody stool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21-Nov-13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3-Dec-13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3-Dec-13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5-Dec-13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10-Apr-14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10-Apr-14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11-Apr-14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25-Jun-14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25-Jun-14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27-Jun-14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28-Jun-14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28-Jun-14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30-Jun-14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Kien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An-Hai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28-Apr-16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28-Apr-16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fever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29-Apr-16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21-May-16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21-May-16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fever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 less than 10 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23-May-16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17-Jul-16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17-Jul-16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18-Jul-16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2-Aug-16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2-Aug-16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2-Aug-16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6-Oct-16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6-Oct-16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fever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7-Oct-16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Vinh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Bao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31-Oct-15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1-Nov-15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bloody stool, fever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2-Nov-15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9-Nov-15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9-Nov-15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 mass size 28x37mm, inside has mesenteric lymphadenitis less than 10mm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12-Nov-15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27-Nov-15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28-Nov-15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30-Nov-15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20-Apr-16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20-Apr-16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22-Apr-16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16-May-16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16-May-16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17-May-16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Kien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An-Hai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18-May-16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19-May-16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bloody stool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23-May-16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3-Aug-16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3-Aug-16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4-Aug-16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12-Sep-16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12-Sep-16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16-Sep-16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10-Oct-16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10-Oct-16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11-Oct-16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5-Feb-17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5-Feb-17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6-Feb-17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Hai – </w:t>
            </w: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T.T.Hue</w:t>
            </w:r>
            <w:proofErr w:type="spellEnd"/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17-Oct-14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17-Oct-14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Bloody stool, fever 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 inside mass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20-Oct-14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21-Nov-14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21-Nov-14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24-Nov-14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6-Jan-15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6-Jan-15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Vomiting, fever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-colic, mesenteric lymphadenitis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8-Jan-15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10-Apr-15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10-Apr-15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-colic; Resolved air enema then by surgery without resection, appendix removed by convenience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14-Apr-15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8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22-Oct-15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22-Oct-15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Vomiting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Ileo</w:t>
            </w:r>
            <w:proofErr w:type="spell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-colic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6763" w:rsidRPr="00A039C2" w:rsidRDefault="00AF6763" w:rsidP="0080370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26-Oct-15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14740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Caregivers for 3 other children reported 4 previous episodes managed at facilities not included in surveillance and so their earlier medical records were unavailable. One child </w:t>
            </w:r>
            <w:proofErr w:type="gramStart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>was managed</w:t>
            </w:r>
            <w:proofErr w:type="gramEnd"/>
            <w:r w:rsidRPr="00A039C2">
              <w:rPr>
                <w:rFonts w:ascii="Times New Roman" w:eastAsia="Times New Roman" w:hAnsi="Times New Roman" w:cs="Times New Roman"/>
                <w:color w:val="000000"/>
              </w:rPr>
              <w:t xml:space="preserve"> with surgery and resection in their visit to the surveillance hospital.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14740" w:type="dxa"/>
            <w:gridSpan w:val="10"/>
            <w:tcBorders>
              <w:left w:val="nil"/>
              <w:right w:val="nil"/>
            </w:tcBorders>
            <w:shd w:val="clear" w:color="auto" w:fill="auto"/>
            <w:noWrap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M=male; F=female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14740" w:type="dxa"/>
            <w:gridSpan w:val="10"/>
            <w:tcBorders>
              <w:left w:val="nil"/>
              <w:right w:val="nil"/>
            </w:tcBorders>
            <w:shd w:val="clear" w:color="auto" w:fill="auto"/>
            <w:noWrap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Reported symptoms included vomiting, fever, bloody stool, constipation, diarrhea</w:t>
            </w:r>
          </w:p>
        </w:tc>
      </w:tr>
      <w:tr w:rsidR="00AF6763" w:rsidRPr="00A039C2" w:rsidTr="0080370B">
        <w:trPr>
          <w:cantSplit/>
          <w:trHeight w:val="20"/>
          <w:tblHeader/>
        </w:trPr>
        <w:tc>
          <w:tcPr>
            <w:tcW w:w="147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6763" w:rsidRPr="00A039C2" w:rsidRDefault="00AF6763" w:rsidP="0080370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39C2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  <w:r w:rsidRPr="00A039C2">
              <w:rPr>
                <w:rFonts w:ascii="Times New Roman" w:eastAsia="Times New Roman" w:hAnsi="Times New Roman" w:cs="Times New Roman"/>
                <w:color w:val="000000"/>
              </w:rPr>
              <w:t>All episodes were managed with enema unless otherwise noted</w:t>
            </w:r>
          </w:p>
        </w:tc>
      </w:tr>
    </w:tbl>
    <w:p w:rsidR="00FC70C6" w:rsidRPr="00AF6763" w:rsidRDefault="00FC70C6" w:rsidP="00AF6763">
      <w:bookmarkStart w:id="0" w:name="_GoBack"/>
      <w:bookmarkEnd w:id="0"/>
    </w:p>
    <w:sectPr w:rsidR="00FC70C6" w:rsidRPr="00AF6763" w:rsidSect="00C17C6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1"/>
    <w:rsid w:val="00377ED6"/>
    <w:rsid w:val="00522D41"/>
    <w:rsid w:val="00552309"/>
    <w:rsid w:val="009E28DD"/>
    <w:rsid w:val="00AF6763"/>
    <w:rsid w:val="00B3422F"/>
    <w:rsid w:val="00C17C6F"/>
    <w:rsid w:val="00D26908"/>
    <w:rsid w:val="00E521E0"/>
    <w:rsid w:val="00EC4E2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00B92-44A6-4C16-AC48-8769CB1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EC4E28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4E28"/>
    <w:rPr>
      <w:rFonts w:ascii="Cambria" w:eastAsiaTheme="minorEastAsia" w:hAnsi="Cambria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Eleanor (CDC/OID/NCIRD) (CTR)</dc:creator>
  <cp:keywords/>
  <dc:description/>
  <cp:lastModifiedBy>Burnett, Eleanor (CDC/OID/NCIRD) (CTR)</cp:lastModifiedBy>
  <cp:revision>2</cp:revision>
  <dcterms:created xsi:type="dcterms:W3CDTF">2017-09-12T14:21:00Z</dcterms:created>
  <dcterms:modified xsi:type="dcterms:W3CDTF">2017-09-12T14:21:00Z</dcterms:modified>
</cp:coreProperties>
</file>