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E8" w:rsidRDefault="0077572B">
      <w:pPr>
        <w:rPr>
          <w:b/>
          <w:sz w:val="24"/>
        </w:rPr>
      </w:pPr>
      <w:r w:rsidRPr="0077572B">
        <w:rPr>
          <w:b/>
          <w:sz w:val="24"/>
        </w:rPr>
        <w:t>Supplemental Table 6</w:t>
      </w:r>
    </w:p>
    <w:p w:rsidR="0077572B" w:rsidRPr="003158E0" w:rsidRDefault="0077572B" w:rsidP="003158E0">
      <w:pPr>
        <w:pStyle w:val="ListParagraph"/>
        <w:numPr>
          <w:ilvl w:val="0"/>
          <w:numId w:val="7"/>
        </w:numPr>
        <w:rPr>
          <w:b/>
          <w:sz w:val="24"/>
        </w:rPr>
      </w:pPr>
      <w:r w:rsidRPr="003158E0">
        <w:rPr>
          <w:b/>
          <w:sz w:val="24"/>
        </w:rPr>
        <w:t>Cost Outcome Description</w:t>
      </w:r>
    </w:p>
    <w:p w:rsidR="00F52383" w:rsidRPr="003158E0" w:rsidRDefault="003158E0" w:rsidP="003158E0">
      <w:pPr>
        <w:pStyle w:val="ListParagraph"/>
        <w:numPr>
          <w:ilvl w:val="0"/>
          <w:numId w:val="7"/>
        </w:numPr>
        <w:rPr>
          <w:b/>
          <w:sz w:val="24"/>
        </w:rPr>
      </w:pPr>
      <w:r w:rsidRPr="003158E0">
        <w:rPr>
          <w:b/>
          <w:sz w:val="24"/>
        </w:rPr>
        <w:t xml:space="preserve">Patient-Related </w:t>
      </w:r>
      <w:r w:rsidR="0077572B" w:rsidRPr="003158E0">
        <w:rPr>
          <w:b/>
          <w:sz w:val="24"/>
        </w:rPr>
        <w:t>Outcomes Data</w:t>
      </w:r>
    </w:p>
    <w:p w:rsidR="0077572B" w:rsidRDefault="003158E0" w:rsidP="0077572B">
      <w:pPr>
        <w:pStyle w:val="ListParagraph"/>
        <w:numPr>
          <w:ilvl w:val="0"/>
          <w:numId w:val="7"/>
        </w:numPr>
        <w:rPr>
          <w:b/>
          <w:sz w:val="24"/>
        </w:rPr>
      </w:pPr>
      <w:r w:rsidRPr="003158E0">
        <w:rPr>
          <w:b/>
          <w:i/>
          <w:sz w:val="24"/>
        </w:rPr>
        <w:t>P</w:t>
      </w:r>
      <w:r>
        <w:rPr>
          <w:b/>
          <w:sz w:val="24"/>
        </w:rPr>
        <w:t xml:space="preserve"> </w:t>
      </w:r>
      <w:r w:rsidRPr="003158E0">
        <w:rPr>
          <w:b/>
          <w:sz w:val="24"/>
        </w:rPr>
        <w:t>values</w:t>
      </w:r>
    </w:p>
    <w:p w:rsidR="003158E0" w:rsidRPr="003158E0" w:rsidRDefault="003158E0" w:rsidP="003158E0">
      <w:pPr>
        <w:pStyle w:val="ListParagraph"/>
        <w:rPr>
          <w:b/>
          <w:sz w:val="24"/>
        </w:rPr>
      </w:pPr>
    </w:p>
    <w:p w:rsidR="0077572B" w:rsidRDefault="0077572B" w:rsidP="0077572B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Cost Outcomes Description</w:t>
      </w:r>
    </w:p>
    <w:tbl>
      <w:tblPr>
        <w:tblW w:w="899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10"/>
        <w:gridCol w:w="1800"/>
        <w:gridCol w:w="4680"/>
      </w:tblGrid>
      <w:tr w:rsidR="00F52383" w:rsidRPr="00F52383" w:rsidTr="00F52383">
        <w:trPr>
          <w:trHeight w:val="384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Study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Practice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Definition of Cost</w:t>
            </w:r>
          </w:p>
        </w:tc>
      </w:tr>
      <w:tr w:rsidR="00F52383" w:rsidRPr="00F52383" w:rsidTr="00F52383">
        <w:trPr>
          <w:trHeight w:val="76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Bates et al. 1997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CPOE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Charges from clinical database for tests ordered per admission</w:t>
            </w:r>
          </w:p>
        </w:tc>
      </w:tr>
      <w:tr w:rsidR="00F52383" w:rsidRPr="00F52383" w:rsidTr="00F52383">
        <w:trPr>
          <w:trHeight w:val="384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Bridges et al. 2012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CPOE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Cost of tests performed</w:t>
            </w:r>
          </w:p>
        </w:tc>
      </w:tr>
      <w:tr w:rsidR="00F52383" w:rsidRPr="00F52383" w:rsidTr="00F52383">
        <w:trPr>
          <w:trHeight w:val="76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Fang et al. 2014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CPOE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Mean cost per patient-day from laboratory database</w:t>
            </w:r>
          </w:p>
        </w:tc>
      </w:tr>
      <w:tr w:rsidR="00F52383" w:rsidRPr="00F52383" w:rsidTr="00F52383">
        <w:trPr>
          <w:trHeight w:val="384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Feldman et al. 2013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CPOE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Charges per patient-day</w:t>
            </w:r>
          </w:p>
        </w:tc>
      </w:tr>
      <w:tr w:rsidR="00F52383" w:rsidRPr="00F52383" w:rsidTr="00F52383">
        <w:trPr>
          <w:trHeight w:val="384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Le et al. 2015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CPOE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Cost of tests performed</w:t>
            </w:r>
          </w:p>
        </w:tc>
      </w:tr>
      <w:tr w:rsidR="00F52383" w:rsidRPr="00F52383" w:rsidTr="00F52383">
        <w:trPr>
          <w:trHeight w:val="76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Lippi et al. 2015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CPOE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Costs according to 2015 reimbursement fees</w:t>
            </w:r>
          </w:p>
        </w:tc>
      </w:tr>
      <w:tr w:rsidR="00F52383" w:rsidRPr="00F52383" w:rsidTr="00F52383">
        <w:trPr>
          <w:trHeight w:val="384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Probst et al. 2013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CPOE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Mean cost of tests ordered per patient</w:t>
            </w:r>
          </w:p>
        </w:tc>
      </w:tr>
      <w:tr w:rsidR="00F52383" w:rsidRPr="00F52383" w:rsidTr="00F52383">
        <w:trPr>
          <w:trHeight w:val="384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Tienery et al. 1993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CPOE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Charges per admission</w:t>
            </w:r>
          </w:p>
        </w:tc>
      </w:tr>
      <w:tr w:rsidR="00F52383" w:rsidRPr="00F52383" w:rsidTr="00F52383">
        <w:trPr>
          <w:trHeight w:val="384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Waldron et al. 2014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CPOE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Full cost of tests</w:t>
            </w:r>
          </w:p>
        </w:tc>
      </w:tr>
      <w:tr w:rsidR="00F52383" w:rsidRPr="00F52383" w:rsidTr="00F52383">
        <w:trPr>
          <w:trHeight w:val="384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Nightingale et al. 1994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CDSS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Direct cost per patient-day</w:t>
            </w:r>
          </w:p>
        </w:tc>
      </w:tr>
      <w:tr w:rsidR="00F52383" w:rsidRPr="00F52383" w:rsidTr="00F52383">
        <w:trPr>
          <w:trHeight w:val="384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Poley et al. 2007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CDSS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Costs of laboratory requests</w:t>
            </w:r>
          </w:p>
        </w:tc>
      </w:tr>
      <w:tr w:rsidR="00F52383" w:rsidRPr="00F52383" w:rsidTr="00F52383">
        <w:trPr>
          <w:trHeight w:val="384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Tierney et al. 1988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CDSS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Patient charges</w:t>
            </w:r>
          </w:p>
        </w:tc>
      </w:tr>
      <w:tr w:rsidR="00F52383" w:rsidRPr="00F52383" w:rsidTr="00F52383">
        <w:trPr>
          <w:trHeight w:val="384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Baral et al. 2001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Education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Patient charges</w:t>
            </w:r>
          </w:p>
        </w:tc>
      </w:tr>
      <w:tr w:rsidR="00F52383" w:rsidRPr="00F52383" w:rsidTr="00F52383">
        <w:trPr>
          <w:trHeight w:val="384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lastRenderedPageBreak/>
              <w:t>DellaVolpe et al. 2014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Education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Institutional cost</w:t>
            </w:r>
          </w:p>
        </w:tc>
      </w:tr>
      <w:tr w:rsidR="00F52383" w:rsidRPr="00F52383" w:rsidTr="00F52383">
        <w:trPr>
          <w:trHeight w:val="384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Froom et al. 2012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Reflex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Cost to HMO</w:t>
            </w:r>
          </w:p>
        </w:tc>
      </w:tr>
      <w:tr w:rsidR="00F52383" w:rsidRPr="00F52383" w:rsidTr="00F52383">
        <w:trPr>
          <w:trHeight w:val="384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Dickerson et al. 2014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Test Review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Costs of send-out requests</w:t>
            </w:r>
          </w:p>
        </w:tc>
      </w:tr>
      <w:tr w:rsidR="00F52383" w:rsidRPr="00F52383" w:rsidTr="00F52383">
        <w:trPr>
          <w:trHeight w:val="384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Janssens et al. 2015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Combined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Cost of all tests in a panel</w:t>
            </w:r>
          </w:p>
        </w:tc>
      </w:tr>
      <w:tr w:rsidR="00F52383" w:rsidRPr="00F52383" w:rsidTr="00F52383">
        <w:trPr>
          <w:trHeight w:val="384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White et al. 2013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Combined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F52383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Charges per test</w:t>
            </w:r>
          </w:p>
        </w:tc>
      </w:tr>
    </w:tbl>
    <w:p w:rsidR="00F52383" w:rsidRDefault="00F52383" w:rsidP="00F52383">
      <w:pPr>
        <w:rPr>
          <w:b/>
          <w:sz w:val="24"/>
        </w:rPr>
      </w:pPr>
    </w:p>
    <w:p w:rsidR="00F52383" w:rsidRDefault="003158E0" w:rsidP="00F52383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Patient-Related</w:t>
      </w:r>
      <w:bookmarkStart w:id="0" w:name="_GoBack"/>
      <w:bookmarkEnd w:id="0"/>
      <w:r w:rsidR="00F52383">
        <w:rPr>
          <w:b/>
          <w:sz w:val="24"/>
        </w:rPr>
        <w:t xml:space="preserve"> Outcomes Data</w:t>
      </w:r>
    </w:p>
    <w:tbl>
      <w:tblPr>
        <w:tblW w:w="11480" w:type="dxa"/>
        <w:tblLook w:val="04A0" w:firstRow="1" w:lastRow="0" w:firstColumn="1" w:lastColumn="0" w:noHBand="0" w:noVBand="1"/>
      </w:tblPr>
      <w:tblGrid>
        <w:gridCol w:w="1340"/>
        <w:gridCol w:w="1600"/>
        <w:gridCol w:w="1580"/>
        <w:gridCol w:w="6960"/>
      </w:tblGrid>
      <w:tr w:rsidR="00F52383" w:rsidRPr="00F52383" w:rsidTr="00F52383">
        <w:trPr>
          <w:trHeight w:val="9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Study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Practice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Intervention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Patient-</w:t>
            </w:r>
            <w:r w:rsidR="00822B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Related O</w:t>
            </w:r>
            <w:r w:rsidRPr="00F523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utcomes data</w:t>
            </w:r>
          </w:p>
        </w:tc>
      </w:tr>
      <w:tr w:rsidR="00F52383" w:rsidRPr="00F52383" w:rsidTr="00F52383">
        <w:trPr>
          <w:trHeight w:val="64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Bridges</w:t>
            </w:r>
            <w:r w:rsidR="00822B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et al. </w:t>
            </w: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CPOE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Redundant test alert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"…there were no statistically significant differences in test priority…mortality, disposition after discharge from hospital…"</w:t>
            </w:r>
          </w:p>
        </w:tc>
      </w:tr>
      <w:tr w:rsidR="00F52383" w:rsidRPr="00F52383" w:rsidTr="00F52383">
        <w:trPr>
          <w:trHeight w:val="64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Fang</w:t>
            </w:r>
            <w:r w:rsidR="00822B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et al.</w:t>
            </w: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CPOE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Display of test cost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"…the mean length of stay remained the same throughout our study period…"</w:t>
            </w:r>
          </w:p>
        </w:tc>
      </w:tr>
      <w:tr w:rsidR="00F52383" w:rsidRPr="00F52383" w:rsidTr="00F52383">
        <w:trPr>
          <w:trHeight w:val="8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Hwang </w:t>
            </w:r>
            <w:r w:rsidR="00822B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et al. </w:t>
            </w: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CPOE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CPOE replacing non-CPOE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Patient length of stay (# nights spent in hospital) significantly decreased (p=0.049)</w:t>
            </w:r>
            <w:r w:rsidR="00822BC7"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no</w:t>
            </w: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significant difference in appropriateness of patient stay.</w:t>
            </w:r>
          </w:p>
        </w:tc>
      </w:tr>
      <w:tr w:rsidR="00F52383" w:rsidRPr="00F52383" w:rsidTr="00F52383">
        <w:trPr>
          <w:trHeight w:val="12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Paegler </w:t>
            </w:r>
            <w:r w:rsidR="00822B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et al. </w:t>
            </w: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CPOE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Redundant test alert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"Limits on laboratory orders within the context of computerized order entry decreased laboratory utilization without </w:t>
            </w:r>
            <w:r w:rsidR="00822BC7"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adverse effects</w:t>
            </w: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on mortality [mortality rates] or length of stay [PICU length of stay and hospital length of stay]."  A significant decrease in both PICO length of stay and hospital length of stay was observed during the post-intervention period.  No significant difference observed in mortality rate per 100 discharges.</w:t>
            </w:r>
          </w:p>
        </w:tc>
      </w:tr>
      <w:tr w:rsidR="00F52383" w:rsidRPr="00F52383" w:rsidTr="00F52383">
        <w:trPr>
          <w:trHeight w:val="10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Tierney </w:t>
            </w:r>
            <w:r w:rsidR="00822B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et al. </w:t>
            </w: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CPOE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CPOE replacing non-CPOE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"Although quality [of care] is difficulty to measure, we found no evidence that the workstations reduced quality of care (as indicated by post discharge care [analyzed as re-admissions and outpatient visits and charges 1 and 3 months after discharge])…</w:t>
            </w:r>
            <w:proofErr w:type="gramStart"/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";</w:t>
            </w:r>
            <w:proofErr w:type="gramEnd"/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Mean length of stay was 0.89 day shorter for intervention group (p = 0.11).</w:t>
            </w:r>
          </w:p>
        </w:tc>
      </w:tr>
      <w:tr w:rsidR="00F52383" w:rsidRPr="00F52383" w:rsidTr="00F52383">
        <w:trPr>
          <w:trHeight w:val="64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Roukema </w:t>
            </w:r>
            <w:r w:rsidR="00822B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et al. </w:t>
            </w: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CDSS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Proposed testing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Patients in intervention group experienced longer times in the ED, however the difference was not statistically significant.</w:t>
            </w:r>
          </w:p>
        </w:tc>
      </w:tr>
      <w:tr w:rsidR="00F52383" w:rsidRPr="00F52383" w:rsidTr="00F52383">
        <w:trPr>
          <w:trHeight w:val="64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Barazzoni </w:t>
            </w:r>
            <w:r w:rsidR="00822B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et al. </w:t>
            </w: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 Review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 review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"…over the whole study period no change in pre- and post-operative mortality rates was observed."</w:t>
            </w:r>
          </w:p>
        </w:tc>
      </w:tr>
      <w:tr w:rsidR="00F52383" w:rsidRPr="00F52383" w:rsidTr="00F52383">
        <w:trPr>
          <w:trHeight w:val="8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DellaVolpe </w:t>
            </w:r>
            <w:r w:rsidR="00822B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et al. </w:t>
            </w: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"There was no significant difference in mortality rate pre-intervention and post-intervention."; "…the decrease in ABGs after the protocol implementation did not increase hospital mortality or hospital length of stay between study cohorts."</w:t>
            </w:r>
          </w:p>
        </w:tc>
      </w:tr>
      <w:tr w:rsidR="00F52383" w:rsidRPr="00F52383" w:rsidTr="00F52383">
        <w:trPr>
          <w:trHeight w:val="64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Thakkar </w:t>
            </w:r>
            <w:r w:rsidR="00822B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et al. </w:t>
            </w: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Differences in length of stay and in-hospital mortality were not significantly different between pre- and post-intervention groups.</w:t>
            </w:r>
          </w:p>
        </w:tc>
      </w:tr>
      <w:tr w:rsidR="00F52383" w:rsidRPr="00F52383" w:rsidTr="00F52383">
        <w:trPr>
          <w:trHeight w:val="8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Calderon-Margalit </w:t>
            </w:r>
            <w:r w:rsidR="00822B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et al. </w:t>
            </w: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Combined Practice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Education + Feedback + LTU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"…the 30-day readmission rates and in-hospital mortality rates did not differ significantly between these two study period [pre- and post-intervention]".</w:t>
            </w:r>
          </w:p>
        </w:tc>
      </w:tr>
      <w:tr w:rsidR="00F52383" w:rsidRPr="00F52383" w:rsidTr="00F52383">
        <w:trPr>
          <w:trHeight w:val="10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Larochelle </w:t>
            </w:r>
            <w:r w:rsidR="00822B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et al. </w:t>
            </w: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Combined Practice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CDSS + CPOE + Education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" w:name="RANGE!E14"/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"…there was an absolute increase of 34% in the proportion of patient receiving guideline-concordant testing…Twelve months following start of the intervention, the percentage of patients receiving guideline-concordant cardiac biomarker testing was estimated to be 95.5%, an absolute increase of 38.4% from the expected baseline."</w:t>
            </w:r>
            <w:bookmarkEnd w:id="1"/>
          </w:p>
        </w:tc>
      </w:tr>
      <w:tr w:rsidR="00F52383" w:rsidRPr="00F52383" w:rsidTr="00F52383">
        <w:trPr>
          <w:trHeight w:val="10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Vegting</w:t>
            </w:r>
            <w:r w:rsidR="00822B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et al.</w:t>
            </w: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Combined Practice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CPOE + Education + Feedback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"No evident changes occurred for mortality and hospital readmissions…"; "…the average values for HbA1c [surrogate patient outcome measure] did not change…"; "Perhaps, quality of care was improved because unnecessary tests are known to increase patient discomfort and lead to more false-positive results."</w:t>
            </w:r>
          </w:p>
        </w:tc>
      </w:tr>
      <w:tr w:rsidR="00F52383" w:rsidRPr="00F52383" w:rsidTr="00F52383">
        <w:trPr>
          <w:trHeight w:val="8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Vidyarthi </w:t>
            </w:r>
            <w:r w:rsidR="00822B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et al. </w:t>
            </w: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Combined Practice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Education + Feedback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"There was no substantial increase in readmission rates or mortality [measured as total number of inpatient death during a calendar year], respectively, over the years of the intervention…"</w:t>
            </w:r>
          </w:p>
        </w:tc>
      </w:tr>
      <w:tr w:rsidR="00F52383" w:rsidRPr="00F52383" w:rsidTr="00F52383">
        <w:trPr>
          <w:trHeight w:val="64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Wang </w:t>
            </w:r>
            <w:r w:rsidR="00822B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et al. </w:t>
            </w: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Combined Practice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CDSS + Education + LTU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383" w:rsidRPr="00F52383" w:rsidRDefault="00F52383" w:rsidP="00F52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3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"There were no significant changes in length of stay, readmission to intensive care, hospital mortality, or ventilator days."</w:t>
            </w:r>
          </w:p>
        </w:tc>
      </w:tr>
    </w:tbl>
    <w:p w:rsidR="00F52383" w:rsidRDefault="00F52383" w:rsidP="00F52383">
      <w:pPr>
        <w:rPr>
          <w:b/>
          <w:sz w:val="24"/>
        </w:rPr>
      </w:pPr>
    </w:p>
    <w:p w:rsidR="003158E0" w:rsidRDefault="003158E0" w:rsidP="003158E0">
      <w:pPr>
        <w:pStyle w:val="ListParagraph"/>
        <w:ind w:left="360"/>
        <w:rPr>
          <w:b/>
          <w:sz w:val="24"/>
        </w:rPr>
      </w:pPr>
    </w:p>
    <w:p w:rsidR="003158E0" w:rsidRDefault="003158E0" w:rsidP="003158E0">
      <w:pPr>
        <w:pStyle w:val="ListParagraph"/>
        <w:ind w:left="360"/>
        <w:rPr>
          <w:b/>
          <w:sz w:val="24"/>
        </w:rPr>
      </w:pPr>
    </w:p>
    <w:p w:rsidR="003158E0" w:rsidRDefault="003158E0" w:rsidP="003158E0">
      <w:pPr>
        <w:pStyle w:val="ListParagraph"/>
        <w:ind w:left="360"/>
        <w:rPr>
          <w:b/>
          <w:sz w:val="24"/>
        </w:rPr>
      </w:pPr>
    </w:p>
    <w:p w:rsidR="003158E0" w:rsidRDefault="003158E0" w:rsidP="003158E0">
      <w:pPr>
        <w:pStyle w:val="ListParagraph"/>
        <w:ind w:left="360"/>
        <w:rPr>
          <w:b/>
          <w:sz w:val="24"/>
        </w:rPr>
      </w:pPr>
    </w:p>
    <w:p w:rsidR="003158E0" w:rsidRDefault="003158E0" w:rsidP="003158E0">
      <w:pPr>
        <w:pStyle w:val="ListParagraph"/>
        <w:ind w:left="360"/>
        <w:rPr>
          <w:b/>
          <w:sz w:val="24"/>
        </w:rPr>
      </w:pPr>
    </w:p>
    <w:p w:rsidR="003158E0" w:rsidRDefault="003158E0" w:rsidP="003158E0">
      <w:pPr>
        <w:pStyle w:val="ListParagraph"/>
        <w:ind w:left="360"/>
        <w:rPr>
          <w:b/>
          <w:sz w:val="24"/>
        </w:rPr>
      </w:pPr>
    </w:p>
    <w:p w:rsidR="003158E0" w:rsidRDefault="003158E0" w:rsidP="003158E0">
      <w:pPr>
        <w:pStyle w:val="ListParagraph"/>
        <w:ind w:left="360"/>
        <w:rPr>
          <w:b/>
          <w:sz w:val="24"/>
        </w:rPr>
      </w:pPr>
    </w:p>
    <w:p w:rsidR="003158E0" w:rsidRDefault="003158E0" w:rsidP="003158E0">
      <w:pPr>
        <w:pStyle w:val="ListParagraph"/>
        <w:numPr>
          <w:ilvl w:val="0"/>
          <w:numId w:val="6"/>
        </w:numPr>
        <w:rPr>
          <w:b/>
          <w:sz w:val="24"/>
        </w:rPr>
      </w:pPr>
      <w:r w:rsidRPr="003158E0">
        <w:rPr>
          <w:b/>
          <w:i/>
          <w:sz w:val="24"/>
        </w:rPr>
        <w:lastRenderedPageBreak/>
        <w:t>P</w:t>
      </w:r>
      <w:r w:rsidRPr="003158E0">
        <w:rPr>
          <w:b/>
          <w:sz w:val="24"/>
        </w:rPr>
        <w:t xml:space="preserve"> values for studies that could not be included in meta-analysis</w:t>
      </w:r>
    </w:p>
    <w:p w:rsidR="003158E0" w:rsidRDefault="003158E0" w:rsidP="003158E0">
      <w:pPr>
        <w:rPr>
          <w:b/>
          <w:sz w:val="24"/>
        </w:rPr>
      </w:pPr>
    </w:p>
    <w:tbl>
      <w:tblPr>
        <w:tblW w:w="10885" w:type="dxa"/>
        <w:tblLook w:val="04A0" w:firstRow="1" w:lastRow="0" w:firstColumn="1" w:lastColumn="0" w:noHBand="0" w:noVBand="1"/>
      </w:tblPr>
      <w:tblGrid>
        <w:gridCol w:w="2260"/>
        <w:gridCol w:w="2440"/>
        <w:gridCol w:w="6185"/>
      </w:tblGrid>
      <w:tr w:rsidR="003158E0" w:rsidRPr="003158E0" w:rsidTr="003158E0">
        <w:trPr>
          <w:trHeight w:val="102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Study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Practice Category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values                                                    </w:t>
            </w:r>
          </w:p>
        </w:tc>
      </w:tr>
      <w:tr w:rsidR="003158E0" w:rsidRPr="003158E0" w:rsidTr="003158E0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Georgiou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CPOE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Faster turn-around-time for result reporting (</w:t>
            </w: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&lt; 0.001)</w:t>
            </w:r>
          </w:p>
        </w:tc>
      </w:tr>
      <w:tr w:rsidR="003158E0" w:rsidRPr="003158E0" w:rsidTr="003158E0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Horn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 al.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CPOE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Reduction in number of test (for 5 lab tests out of 27 assessed) (</w:t>
            </w: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&lt; 0.001)</w:t>
            </w:r>
          </w:p>
        </w:tc>
      </w:tr>
      <w:tr w:rsidR="003158E0" w:rsidRPr="003158E0" w:rsidTr="003158E0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Hwang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 al.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CPOE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Reduction in number of tests (for 1 of 4 lab tests assessed) (</w:t>
            </w: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&lt; 0.05)</w:t>
            </w:r>
          </w:p>
        </w:tc>
      </w:tr>
      <w:tr w:rsidR="003158E0" w:rsidRPr="003158E0" w:rsidTr="003158E0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Procop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 al.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CPOE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Reduction in number of tests (</w:t>
            </w: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&lt; 0.0001)</w:t>
            </w:r>
          </w:p>
        </w:tc>
      </w:tr>
      <w:tr w:rsidR="003158E0" w:rsidRPr="003158E0" w:rsidTr="003158E0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Westbrook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 al.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CPOE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Non-significant redution in number of tests (p = 0.228) and turn-around-time (</w:t>
            </w: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= 0.218)</w:t>
            </w:r>
          </w:p>
        </w:tc>
      </w:tr>
      <w:tr w:rsidR="003158E0" w:rsidRPr="003158E0" w:rsidTr="003158E0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Howell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 al.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CDSS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Reduction in number of tests ordered </w:t>
            </w: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&lt; 0.05)</w:t>
            </w:r>
          </w:p>
        </w:tc>
      </w:tr>
      <w:tr w:rsidR="003158E0" w:rsidRPr="003158E0" w:rsidTr="003158E0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Roukema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 al.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CDSS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Tests more frequently ordered (</w:t>
            </w: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 0.001)                                             (study targetd under-utilization)</w:t>
            </w:r>
          </w:p>
        </w:tc>
      </w:tr>
      <w:tr w:rsidR="003158E0" w:rsidRPr="003158E0" w:rsidTr="003158E0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Bonaguri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 al.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Reflex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 not reported</w:t>
            </w:r>
          </w:p>
        </w:tc>
      </w:tr>
      <w:tr w:rsidR="003158E0" w:rsidRPr="003158E0" w:rsidTr="003158E0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Tampoia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 al.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Reflex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Reduction in number of "second-level" tests: anti-ENA (</w:t>
            </w: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= 0.001), and anti-dsDNA (</w:t>
            </w: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= 0.001) ("first level" number of tests unchanged ANA </w:t>
            </w: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= 0.56)</w:t>
            </w:r>
          </w:p>
        </w:tc>
      </w:tr>
      <w:tr w:rsidR="003158E0" w:rsidRPr="003158E0" w:rsidTr="003158E0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 al.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Reflex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 not reported</w:t>
            </w:r>
          </w:p>
        </w:tc>
      </w:tr>
      <w:tr w:rsidR="003158E0" w:rsidRPr="003158E0" w:rsidTr="003158E0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 al.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 Review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Reduction in number of tests (</w:t>
            </w: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= 0.001), reduction in cost (</w:t>
            </w: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= 0.001)</w:t>
            </w:r>
          </w:p>
        </w:tc>
      </w:tr>
      <w:tr w:rsidR="003158E0" w:rsidRPr="003158E0" w:rsidTr="003158E0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Miller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 al.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 Review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 not reported</w:t>
            </w:r>
          </w:p>
        </w:tc>
      </w:tr>
      <w:tr w:rsidR="003158E0" w:rsidRPr="003158E0" w:rsidTr="003158E0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Chonfhaola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 al.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 not reported</w:t>
            </w:r>
          </w:p>
        </w:tc>
      </w:tr>
      <w:tr w:rsidR="003158E0" w:rsidRPr="003158E0" w:rsidTr="003158E0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Gama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 al.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Feedback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Reduction in clinical chemistry tests (</w:t>
            </w: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&lt; 0.001) and hematology tests  (</w:t>
            </w: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&lt; 0.05); and reduction in revenue expenditure (</w:t>
            </w: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&lt; 0.001)</w:t>
            </w:r>
          </w:p>
        </w:tc>
      </w:tr>
      <w:tr w:rsidR="003158E0" w:rsidRPr="003158E0" w:rsidTr="003158E0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Verstappen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 al.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Feedback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Reduction in number of tests (</w:t>
            </w: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= 0.005)</w:t>
            </w:r>
          </w:p>
        </w:tc>
      </w:tr>
      <w:tr w:rsidR="003158E0" w:rsidRPr="003158E0" w:rsidTr="003158E0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Verstappen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 al.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Feedback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Significant redution in number of "group A" tests (</w:t>
            </w: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= 0.013), but not "group B" tests (</w:t>
            </w: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= 0.29)</w:t>
            </w:r>
          </w:p>
        </w:tc>
      </w:tr>
      <w:tr w:rsidR="003158E0" w:rsidRPr="003158E0" w:rsidTr="003158E0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Winkens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 al.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Feedback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Reduction in number of tests (</w:t>
            </w: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&lt; 0.001)</w:t>
            </w:r>
          </w:p>
        </w:tc>
      </w:tr>
      <w:tr w:rsidR="003158E0" w:rsidRPr="003158E0" w:rsidTr="003158E0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sz w:val="20"/>
                <w:szCs w:val="20"/>
              </w:rPr>
              <w:t xml:space="preserve">Gilmour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 al.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158E0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Combined Practice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Reduction in number of tests: fT4 (</w:t>
            </w: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&lt; 0.0001) and fT3 (</w:t>
            </w: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&lt; 0.0002)</w:t>
            </w:r>
          </w:p>
        </w:tc>
      </w:tr>
      <w:tr w:rsidR="003158E0" w:rsidRPr="003158E0" w:rsidTr="003158E0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Hutton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 al.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Combined Practice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Reduction in number of tests (</w:t>
            </w: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&lt; 0.005)</w:t>
            </w:r>
          </w:p>
        </w:tc>
      </w:tr>
      <w:tr w:rsidR="003158E0" w:rsidRPr="003158E0" w:rsidTr="003158E0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Larochelle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 al.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Combined Practice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 not reported</w:t>
            </w:r>
          </w:p>
        </w:tc>
      </w:tr>
      <w:tr w:rsidR="003158E0" w:rsidRPr="003158E0" w:rsidTr="003158E0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Lum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 al.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Combined Practice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 not reported</w:t>
            </w:r>
          </w:p>
        </w:tc>
      </w:tr>
      <w:tr w:rsidR="003158E0" w:rsidRPr="003158E0" w:rsidTr="003158E0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MacPherson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 al.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Combined Practice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Reduction in number of tests </w:t>
            </w: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values ranging from 0.051 to &lt; 0.0001</w:t>
            </w:r>
          </w:p>
        </w:tc>
      </w:tr>
      <w:tr w:rsidR="003158E0" w:rsidRPr="003158E0" w:rsidTr="003158E0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Riley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 al.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Combined Practice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 not reported</w:t>
            </w:r>
          </w:p>
        </w:tc>
      </w:tr>
      <w:tr w:rsidR="003158E0" w:rsidRPr="003158E0" w:rsidTr="003158E0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Roggeman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 al.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Combined Practice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 not reported</w:t>
            </w:r>
          </w:p>
        </w:tc>
      </w:tr>
      <w:tr w:rsidR="003158E0" w:rsidRPr="003158E0" w:rsidTr="003158E0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Rosenbloom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 al.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Combined Practice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Reduction of number of tests ( </w:t>
            </w: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=  0.04),                                              Reduction in expenditures (</w:t>
            </w: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&lt; 0.001)</w:t>
            </w:r>
          </w:p>
        </w:tc>
      </w:tr>
      <w:tr w:rsidR="003158E0" w:rsidRPr="003158E0" w:rsidTr="003158E0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Spiegel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 al.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Combined Practice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Reduction in number of tests (2 of 4 repeat lab testing) (</w:t>
            </w: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&lt; 0.005)</w:t>
            </w:r>
          </w:p>
        </w:tc>
      </w:tr>
      <w:tr w:rsidR="003158E0" w:rsidRPr="003158E0" w:rsidTr="003158E0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Vegting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 al.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Combined Practice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Reduction in costs spent on laboratory tests (</w:t>
            </w: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&lt;  0.02)</w:t>
            </w:r>
          </w:p>
        </w:tc>
      </w:tr>
      <w:tr w:rsidR="003158E0" w:rsidRPr="003158E0" w:rsidTr="003158E0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Vidyarthi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 al.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Combined Practice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 not reported</w:t>
            </w:r>
          </w:p>
        </w:tc>
      </w:tr>
      <w:tr w:rsidR="003158E0" w:rsidRPr="003158E0" w:rsidTr="003158E0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Wang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 al.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Combined Practice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 not reported</w:t>
            </w:r>
          </w:p>
        </w:tc>
      </w:tr>
      <w:tr w:rsidR="003158E0" w:rsidRPr="003158E0" w:rsidTr="003158E0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Warren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 al.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Combined Practice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E0" w:rsidRPr="003158E0" w:rsidRDefault="003158E0" w:rsidP="0031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8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3158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 not reported</w:t>
            </w:r>
          </w:p>
        </w:tc>
      </w:tr>
    </w:tbl>
    <w:p w:rsidR="003158E0" w:rsidRPr="003158E0" w:rsidRDefault="003158E0" w:rsidP="003158E0">
      <w:pPr>
        <w:rPr>
          <w:b/>
          <w:sz w:val="24"/>
        </w:rPr>
      </w:pPr>
    </w:p>
    <w:sectPr w:rsidR="003158E0" w:rsidRPr="003158E0" w:rsidSect="00F523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72B" w:rsidRDefault="0077572B" w:rsidP="0077572B">
      <w:pPr>
        <w:spacing w:after="0" w:line="240" w:lineRule="auto"/>
      </w:pPr>
      <w:r>
        <w:separator/>
      </w:r>
    </w:p>
  </w:endnote>
  <w:endnote w:type="continuationSeparator" w:id="0">
    <w:p w:rsidR="0077572B" w:rsidRDefault="0077572B" w:rsidP="0077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72B" w:rsidRDefault="0077572B" w:rsidP="0077572B">
      <w:pPr>
        <w:spacing w:after="0" w:line="240" w:lineRule="auto"/>
      </w:pPr>
      <w:r>
        <w:separator/>
      </w:r>
    </w:p>
  </w:footnote>
  <w:footnote w:type="continuationSeparator" w:id="0">
    <w:p w:rsidR="0077572B" w:rsidRDefault="0077572B" w:rsidP="00775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E7723"/>
    <w:multiLevelType w:val="hybridMultilevel"/>
    <w:tmpl w:val="ADA8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90EC9"/>
    <w:multiLevelType w:val="hybridMultilevel"/>
    <w:tmpl w:val="E4C4C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B5CAC"/>
    <w:multiLevelType w:val="hybridMultilevel"/>
    <w:tmpl w:val="B0369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F4CE1"/>
    <w:multiLevelType w:val="hybridMultilevel"/>
    <w:tmpl w:val="E2A6B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37597"/>
    <w:multiLevelType w:val="hybridMultilevel"/>
    <w:tmpl w:val="58C4EC52"/>
    <w:lvl w:ilvl="0" w:tplc="4928D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5E6178"/>
    <w:multiLevelType w:val="hybridMultilevel"/>
    <w:tmpl w:val="910AC96A"/>
    <w:lvl w:ilvl="0" w:tplc="F84058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BD326C"/>
    <w:multiLevelType w:val="hybridMultilevel"/>
    <w:tmpl w:val="237835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2B"/>
    <w:rsid w:val="001B04E8"/>
    <w:rsid w:val="003158E0"/>
    <w:rsid w:val="0077572B"/>
    <w:rsid w:val="00822BC7"/>
    <w:rsid w:val="00F5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383B"/>
  <w15:chartTrackingRefBased/>
  <w15:docId w15:val="{12A003CA-29EC-473B-98D0-9D583C7E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72B"/>
  </w:style>
  <w:style w:type="paragraph" w:styleId="Footer">
    <w:name w:val="footer"/>
    <w:basedOn w:val="Normal"/>
    <w:link w:val="FooterChar"/>
    <w:uiPriority w:val="99"/>
    <w:unhideWhenUsed/>
    <w:rsid w:val="00775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72B"/>
  </w:style>
  <w:style w:type="paragraph" w:styleId="ListParagraph">
    <w:name w:val="List Paragraph"/>
    <w:basedOn w:val="Normal"/>
    <w:uiPriority w:val="34"/>
    <w:qFormat/>
    <w:rsid w:val="007757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Rubinstein, Matthew L. (CDC/OPHSS/CSELS/DLS)</dc:creator>
  <cp:keywords/>
  <dc:description/>
  <cp:lastModifiedBy>Rubinstein, Matthew L. (CDC/OPHSS/CSELS/DLS)</cp:lastModifiedBy>
  <cp:revision>3</cp:revision>
  <dcterms:created xsi:type="dcterms:W3CDTF">2017-12-11T19:04:00Z</dcterms:created>
  <dcterms:modified xsi:type="dcterms:W3CDTF">2017-12-11T19:22:00Z</dcterms:modified>
</cp:coreProperties>
</file>