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E8" w:rsidRPr="00F11D89" w:rsidRDefault="00F11D89">
      <w:pPr>
        <w:rPr>
          <w:rFonts w:ascii="Arial" w:hAnsi="Arial" w:cs="Arial"/>
          <w:b/>
          <w:sz w:val="24"/>
          <w:szCs w:val="24"/>
        </w:rPr>
      </w:pPr>
      <w:r w:rsidRPr="00F11D89">
        <w:rPr>
          <w:rFonts w:ascii="Arial" w:hAnsi="Arial" w:cs="Arial"/>
          <w:b/>
          <w:sz w:val="24"/>
          <w:szCs w:val="24"/>
        </w:rPr>
        <w:t>Supplemental Table 2</w:t>
      </w:r>
    </w:p>
    <w:p w:rsidR="00F11D89" w:rsidRDefault="00F11D89">
      <w:pPr>
        <w:rPr>
          <w:rFonts w:ascii="Arial" w:hAnsi="Arial" w:cs="Arial"/>
          <w:b/>
          <w:sz w:val="24"/>
          <w:szCs w:val="24"/>
        </w:rPr>
      </w:pPr>
      <w:r>
        <w:rPr>
          <w:rFonts w:ascii="Arial" w:hAnsi="Arial" w:cs="Arial"/>
          <w:b/>
          <w:sz w:val="24"/>
          <w:szCs w:val="24"/>
        </w:rPr>
        <w:t>LMBP</w:t>
      </w:r>
      <w:r>
        <w:rPr>
          <w:rFonts w:ascii="Arial" w:hAnsi="Arial" w:cs="Arial"/>
          <w:b/>
          <w:sz w:val="24"/>
          <w:szCs w:val="24"/>
          <w:vertAlign w:val="superscript"/>
        </w:rPr>
        <w:t>TM</w:t>
      </w:r>
      <w:r>
        <w:rPr>
          <w:rFonts w:ascii="Arial" w:hAnsi="Arial" w:cs="Arial"/>
          <w:b/>
          <w:sz w:val="24"/>
          <w:szCs w:val="24"/>
        </w:rPr>
        <w:t xml:space="preserve"> Workgroup and Expert Panel</w:t>
      </w:r>
    </w:p>
    <w:p w:rsidR="00F11D89" w:rsidRDefault="00F11D89" w:rsidP="00F11D89">
      <w:pPr>
        <w:spacing w:line="480" w:lineRule="auto"/>
        <w:rPr>
          <w:rFonts w:ascii="Arial" w:hAnsi="Arial" w:cs="Arial"/>
          <w:sz w:val="24"/>
          <w:szCs w:val="24"/>
        </w:rPr>
      </w:pPr>
      <w:bookmarkStart w:id="0" w:name="_GoBack"/>
      <w:bookmarkEnd w:id="0"/>
    </w:p>
    <w:p w:rsidR="00F11D89" w:rsidRPr="009E264B" w:rsidRDefault="00F11D89" w:rsidP="00F11D89">
      <w:pPr>
        <w:spacing w:line="480" w:lineRule="auto"/>
        <w:ind w:firstLine="720"/>
        <w:rPr>
          <w:rFonts w:ascii="Arial" w:hAnsi="Arial" w:cs="Arial"/>
          <w:b/>
          <w:sz w:val="24"/>
          <w:szCs w:val="24"/>
        </w:rPr>
      </w:pPr>
      <w:r w:rsidRPr="009E264B">
        <w:rPr>
          <w:rFonts w:ascii="Arial" w:hAnsi="Arial" w:cs="Arial"/>
          <w:sz w:val="24"/>
          <w:szCs w:val="24"/>
        </w:rPr>
        <w:t xml:space="preserve">The expert panel assisted the review team with development of the review question and analytic framework, identification of the relevant practice categories, and development of the literature search strategy.  The expert panel also reviewed results of the systematic review, and were involved in drafting </w:t>
      </w:r>
      <w:r>
        <w:rPr>
          <w:rFonts w:ascii="Arial" w:hAnsi="Arial" w:cs="Arial"/>
          <w:sz w:val="24"/>
          <w:szCs w:val="24"/>
        </w:rPr>
        <w:t xml:space="preserve">the </w:t>
      </w:r>
      <w:r w:rsidRPr="009E264B">
        <w:rPr>
          <w:rFonts w:ascii="Arial" w:hAnsi="Arial" w:cs="Arial"/>
          <w:sz w:val="24"/>
          <w:szCs w:val="24"/>
        </w:rPr>
        <w:t>evidence-based best practice recommendations, subsequently approved by the LMBP</w:t>
      </w:r>
      <w:r w:rsidRPr="009E264B">
        <w:rPr>
          <w:rFonts w:ascii="Arial" w:hAnsi="Arial" w:cs="Arial"/>
          <w:sz w:val="24"/>
          <w:szCs w:val="24"/>
          <w:vertAlign w:val="superscript"/>
        </w:rPr>
        <w:t>TM</w:t>
      </w:r>
      <w:r w:rsidRPr="009E264B">
        <w:rPr>
          <w:rFonts w:ascii="Arial" w:hAnsi="Arial" w:cs="Arial"/>
          <w:sz w:val="24"/>
          <w:szCs w:val="24"/>
        </w:rPr>
        <w:t xml:space="preserve"> Workgroup. The LMBP</w:t>
      </w:r>
      <w:r w:rsidRPr="009E264B">
        <w:rPr>
          <w:rFonts w:ascii="Arial" w:hAnsi="Arial" w:cs="Arial"/>
          <w:sz w:val="24"/>
          <w:szCs w:val="24"/>
          <w:vertAlign w:val="superscript"/>
        </w:rPr>
        <w:t>TM</w:t>
      </w:r>
      <w:r w:rsidRPr="009E264B">
        <w:rPr>
          <w:rFonts w:ascii="Arial" w:hAnsi="Arial" w:cs="Arial"/>
          <w:sz w:val="24"/>
          <w:szCs w:val="24"/>
        </w:rPr>
        <w:t xml:space="preserve"> Workgroup is an independent, multi-disciplinary group composed of 15 members (13 invited and 2 ex-officio representatives) from federal agencies (the Center for Medicare and Medicaid Services and the Food and Drug Administration) – with expertise in laboratory medicine, clinical practice, systematic reviews, health services research and health policy.</w:t>
      </w:r>
    </w:p>
    <w:p w:rsidR="00F11D89" w:rsidRPr="00FD2475" w:rsidRDefault="00F11D89" w:rsidP="00F11D89">
      <w:pPr>
        <w:rPr>
          <w:rFonts w:ascii="Arial" w:hAnsi="Arial" w:cs="Arial"/>
          <w:b/>
          <w:sz w:val="24"/>
          <w:szCs w:val="24"/>
        </w:rPr>
      </w:pPr>
      <w:r w:rsidRPr="00FD2475">
        <w:rPr>
          <w:rFonts w:ascii="Arial" w:hAnsi="Arial" w:cs="Arial"/>
          <w:b/>
          <w:sz w:val="24"/>
          <w:szCs w:val="24"/>
        </w:rPr>
        <w:t>LMBP</w:t>
      </w:r>
      <w:r w:rsidRPr="00FD2475">
        <w:rPr>
          <w:rFonts w:ascii="Arial" w:hAnsi="Arial" w:cs="Arial"/>
          <w:b/>
          <w:sz w:val="24"/>
          <w:szCs w:val="24"/>
          <w:vertAlign w:val="superscript"/>
        </w:rPr>
        <w:t>TM</w:t>
      </w:r>
      <w:r w:rsidRPr="00FD2475">
        <w:rPr>
          <w:rFonts w:ascii="Arial" w:hAnsi="Arial" w:cs="Arial"/>
          <w:b/>
          <w:sz w:val="24"/>
          <w:szCs w:val="24"/>
        </w:rPr>
        <w:t xml:space="preserve"> Workgroup Members</w:t>
      </w:r>
    </w:p>
    <w:p w:rsidR="00F11D89" w:rsidRDefault="00F11D89" w:rsidP="00F11D89">
      <w:pPr>
        <w:ind w:left="720"/>
        <w:rPr>
          <w:rFonts w:ascii="Arial" w:hAnsi="Arial" w:cs="Arial"/>
          <w:sz w:val="24"/>
          <w:szCs w:val="24"/>
        </w:rPr>
      </w:pPr>
      <w:r w:rsidRPr="00FD2475">
        <w:rPr>
          <w:rFonts w:ascii="Arial" w:hAnsi="Arial" w:cs="Arial"/>
          <w:b/>
          <w:sz w:val="24"/>
          <w:szCs w:val="24"/>
        </w:rPr>
        <w:t>Sajal Chattopadhyay</w:t>
      </w:r>
      <w:r>
        <w:rPr>
          <w:rFonts w:ascii="Arial" w:hAnsi="Arial" w:cs="Arial"/>
          <w:b/>
          <w:sz w:val="24"/>
          <w:szCs w:val="24"/>
        </w:rPr>
        <w:t>, PhD</w:t>
      </w:r>
      <w:r>
        <w:rPr>
          <w:rFonts w:ascii="Arial" w:hAnsi="Arial" w:cs="Arial"/>
          <w:sz w:val="24"/>
          <w:szCs w:val="24"/>
        </w:rPr>
        <w:t>, Economic Advisor, Community Guide Branch, Centers for Disease Control and Prevention, Atlanta, GA</w:t>
      </w:r>
    </w:p>
    <w:p w:rsidR="00F11D89" w:rsidRDefault="00F11D89" w:rsidP="00F11D89">
      <w:pPr>
        <w:ind w:left="720"/>
        <w:rPr>
          <w:rFonts w:ascii="Arial" w:hAnsi="Arial" w:cs="Arial"/>
          <w:sz w:val="24"/>
          <w:szCs w:val="24"/>
        </w:rPr>
      </w:pPr>
      <w:r>
        <w:rPr>
          <w:rFonts w:ascii="Arial" w:hAnsi="Arial" w:cs="Arial"/>
          <w:b/>
          <w:sz w:val="24"/>
          <w:szCs w:val="24"/>
        </w:rPr>
        <w:t xml:space="preserve">Robert </w:t>
      </w:r>
      <w:r w:rsidRPr="008A38CF">
        <w:rPr>
          <w:rFonts w:ascii="Arial" w:hAnsi="Arial" w:cs="Arial"/>
          <w:b/>
          <w:sz w:val="24"/>
          <w:szCs w:val="24"/>
        </w:rPr>
        <w:t>Christenson, PhD, DABCC, FACB</w:t>
      </w:r>
      <w:r>
        <w:rPr>
          <w:rFonts w:ascii="Arial" w:hAnsi="Arial" w:cs="Arial"/>
          <w:sz w:val="24"/>
          <w:szCs w:val="24"/>
        </w:rPr>
        <w:t>, Professor of Medical and Research Technology, Director Rapid Response Laboratories, University of Maryland School of Medicine, Baltimore, MD</w:t>
      </w:r>
    </w:p>
    <w:p w:rsidR="00F11D89" w:rsidRDefault="00F11D89" w:rsidP="00F11D89">
      <w:pPr>
        <w:ind w:left="720"/>
        <w:rPr>
          <w:rFonts w:ascii="Arial" w:hAnsi="Arial" w:cs="Arial"/>
          <w:sz w:val="24"/>
          <w:szCs w:val="24"/>
        </w:rPr>
      </w:pPr>
      <w:r w:rsidRPr="008A38CF">
        <w:rPr>
          <w:rFonts w:ascii="Arial" w:hAnsi="Arial" w:cs="Arial"/>
          <w:b/>
          <w:sz w:val="24"/>
          <w:szCs w:val="24"/>
        </w:rPr>
        <w:t xml:space="preserve">Julie </w:t>
      </w:r>
      <w:proofErr w:type="spellStart"/>
      <w:r w:rsidRPr="008A38CF">
        <w:rPr>
          <w:rFonts w:ascii="Arial" w:hAnsi="Arial" w:cs="Arial"/>
          <w:b/>
          <w:sz w:val="24"/>
          <w:szCs w:val="24"/>
        </w:rPr>
        <w:t>Gayken</w:t>
      </w:r>
      <w:proofErr w:type="spellEnd"/>
      <w:r w:rsidRPr="008A38CF">
        <w:rPr>
          <w:rFonts w:ascii="Arial" w:hAnsi="Arial" w:cs="Arial"/>
          <w:b/>
          <w:sz w:val="24"/>
          <w:szCs w:val="24"/>
        </w:rPr>
        <w:t xml:space="preserve">, </w:t>
      </w:r>
      <w:proofErr w:type="gramStart"/>
      <w:r w:rsidRPr="008A38CF">
        <w:rPr>
          <w:rFonts w:ascii="Arial" w:hAnsi="Arial" w:cs="Arial"/>
          <w:b/>
          <w:sz w:val="24"/>
          <w:szCs w:val="24"/>
        </w:rPr>
        <w:t>MT(</w:t>
      </w:r>
      <w:proofErr w:type="gramEnd"/>
      <w:r w:rsidRPr="008A38CF">
        <w:rPr>
          <w:rFonts w:ascii="Arial" w:hAnsi="Arial" w:cs="Arial"/>
          <w:b/>
          <w:sz w:val="24"/>
          <w:szCs w:val="24"/>
        </w:rPr>
        <w:t>ASCP)</w:t>
      </w:r>
      <w:r>
        <w:rPr>
          <w:rFonts w:ascii="Arial" w:hAnsi="Arial" w:cs="Arial"/>
          <w:b/>
          <w:sz w:val="24"/>
          <w:szCs w:val="24"/>
        </w:rPr>
        <w:t>, CLS(AMT)</w:t>
      </w:r>
      <w:r>
        <w:rPr>
          <w:rFonts w:ascii="Arial" w:hAnsi="Arial" w:cs="Arial"/>
          <w:sz w:val="24"/>
          <w:szCs w:val="24"/>
        </w:rPr>
        <w:t xml:space="preserve">, Director of Laboratory Services (Retired), Anatomic &amp; Clinical Pathology, Regions Hospital, St. Paul, MN </w:t>
      </w:r>
    </w:p>
    <w:p w:rsidR="00F11D89" w:rsidRDefault="00F11D89" w:rsidP="00F11D89">
      <w:pPr>
        <w:ind w:left="720"/>
        <w:rPr>
          <w:rFonts w:ascii="Arial" w:hAnsi="Arial" w:cs="Arial"/>
          <w:sz w:val="24"/>
          <w:szCs w:val="24"/>
        </w:rPr>
      </w:pPr>
      <w:r w:rsidRPr="008A38CF">
        <w:rPr>
          <w:rFonts w:ascii="Arial" w:hAnsi="Arial" w:cs="Arial"/>
          <w:b/>
          <w:sz w:val="24"/>
          <w:szCs w:val="24"/>
        </w:rPr>
        <w:t xml:space="preserve">Sharon </w:t>
      </w:r>
      <w:proofErr w:type="spellStart"/>
      <w:r w:rsidRPr="008A38CF">
        <w:rPr>
          <w:rFonts w:ascii="Arial" w:hAnsi="Arial" w:cs="Arial"/>
          <w:b/>
          <w:sz w:val="24"/>
          <w:szCs w:val="24"/>
        </w:rPr>
        <w:t>Geaghan</w:t>
      </w:r>
      <w:proofErr w:type="spellEnd"/>
      <w:r w:rsidRPr="008A38CF">
        <w:rPr>
          <w:rFonts w:ascii="Arial" w:hAnsi="Arial" w:cs="Arial"/>
          <w:b/>
          <w:sz w:val="24"/>
          <w:szCs w:val="24"/>
        </w:rPr>
        <w:t>, MD</w:t>
      </w:r>
      <w:r>
        <w:rPr>
          <w:rFonts w:ascii="Arial" w:hAnsi="Arial" w:cs="Arial"/>
          <w:sz w:val="24"/>
          <w:szCs w:val="24"/>
        </w:rPr>
        <w:t>, Associate Professor, Department of Pathology, Pediatrics Division, Stanford University School of Medicine, Stanford, CA</w:t>
      </w:r>
    </w:p>
    <w:p w:rsidR="00F11D89" w:rsidRDefault="00F11D89" w:rsidP="00F11D89">
      <w:pPr>
        <w:ind w:left="720"/>
        <w:rPr>
          <w:rFonts w:ascii="Arial" w:hAnsi="Arial" w:cs="Arial"/>
          <w:sz w:val="24"/>
          <w:szCs w:val="24"/>
        </w:rPr>
      </w:pPr>
      <w:r w:rsidRPr="00FD2475">
        <w:rPr>
          <w:rFonts w:ascii="Arial" w:hAnsi="Arial" w:cs="Arial"/>
          <w:b/>
          <w:sz w:val="24"/>
          <w:szCs w:val="24"/>
        </w:rPr>
        <w:t>Brian Jackson, MD</w:t>
      </w:r>
      <w:r>
        <w:rPr>
          <w:rFonts w:ascii="Arial" w:hAnsi="Arial" w:cs="Arial"/>
          <w:sz w:val="24"/>
          <w:szCs w:val="24"/>
        </w:rPr>
        <w:t>, Associate Professor of Pathology (Clinical), University of Utah, Medical Director of Informatics, ARUP Laboratories, Salt Lake City, UT</w:t>
      </w:r>
    </w:p>
    <w:p w:rsidR="00F11D89" w:rsidRDefault="00F11D89" w:rsidP="00F11D89">
      <w:pPr>
        <w:ind w:left="720"/>
        <w:rPr>
          <w:rFonts w:ascii="Arial" w:hAnsi="Arial" w:cs="Arial"/>
          <w:sz w:val="24"/>
          <w:szCs w:val="24"/>
        </w:rPr>
      </w:pPr>
      <w:r>
        <w:rPr>
          <w:rFonts w:ascii="Arial" w:hAnsi="Arial" w:cs="Arial"/>
          <w:b/>
          <w:sz w:val="24"/>
          <w:szCs w:val="24"/>
        </w:rPr>
        <w:t xml:space="preserve">Christine </w:t>
      </w:r>
      <w:proofErr w:type="spellStart"/>
      <w:r w:rsidRPr="008A38CF">
        <w:rPr>
          <w:rFonts w:ascii="Arial" w:hAnsi="Arial" w:cs="Arial"/>
          <w:b/>
          <w:sz w:val="24"/>
          <w:szCs w:val="24"/>
        </w:rPr>
        <w:t>Litwin</w:t>
      </w:r>
      <w:proofErr w:type="spellEnd"/>
      <w:r w:rsidRPr="008A38CF">
        <w:rPr>
          <w:rFonts w:ascii="Arial" w:hAnsi="Arial" w:cs="Arial"/>
          <w:b/>
          <w:sz w:val="24"/>
          <w:szCs w:val="24"/>
        </w:rPr>
        <w:t>, MD</w:t>
      </w:r>
      <w:r>
        <w:rPr>
          <w:rFonts w:ascii="Arial" w:hAnsi="Arial" w:cs="Arial"/>
          <w:sz w:val="24"/>
          <w:szCs w:val="24"/>
        </w:rPr>
        <w:t>, Professor, Pathology and Laboratory Medicine, Medical Director, Clinical Immunology and Referral Testing, Medical University of South Carolina, Charleston, SC</w:t>
      </w:r>
    </w:p>
    <w:p w:rsidR="00F11D89" w:rsidRDefault="00F11D89" w:rsidP="00F11D89">
      <w:pPr>
        <w:ind w:left="720"/>
        <w:rPr>
          <w:rFonts w:ascii="Arial" w:hAnsi="Arial" w:cs="Arial"/>
          <w:sz w:val="24"/>
          <w:szCs w:val="24"/>
        </w:rPr>
      </w:pPr>
      <w:r w:rsidRPr="008A38CF">
        <w:rPr>
          <w:rFonts w:ascii="Arial" w:hAnsi="Arial" w:cs="Arial"/>
          <w:b/>
          <w:sz w:val="24"/>
          <w:szCs w:val="24"/>
        </w:rPr>
        <w:lastRenderedPageBreak/>
        <w:t xml:space="preserve">Thomas </w:t>
      </w:r>
      <w:proofErr w:type="spellStart"/>
      <w:r w:rsidRPr="008A38CF">
        <w:rPr>
          <w:rFonts w:ascii="Arial" w:hAnsi="Arial" w:cs="Arial"/>
          <w:b/>
          <w:sz w:val="24"/>
          <w:szCs w:val="24"/>
        </w:rPr>
        <w:t>Lorey</w:t>
      </w:r>
      <w:proofErr w:type="spellEnd"/>
      <w:r w:rsidRPr="008A38CF">
        <w:rPr>
          <w:rFonts w:ascii="Arial" w:hAnsi="Arial" w:cs="Arial"/>
          <w:b/>
          <w:sz w:val="24"/>
          <w:szCs w:val="24"/>
        </w:rPr>
        <w:t>, MD</w:t>
      </w:r>
      <w:r>
        <w:rPr>
          <w:rFonts w:ascii="Arial" w:hAnsi="Arial" w:cs="Arial"/>
          <w:sz w:val="24"/>
          <w:szCs w:val="24"/>
        </w:rPr>
        <w:t>, Medical Director, TPMG  Regional Reference Laboratory, Kaiser Permanente, Northern California Region, Berkeley, CA</w:t>
      </w:r>
    </w:p>
    <w:p w:rsidR="00F11D89" w:rsidRDefault="00F11D89" w:rsidP="00F11D89">
      <w:pPr>
        <w:ind w:left="720"/>
        <w:rPr>
          <w:rFonts w:ascii="Arial" w:hAnsi="Arial" w:cs="Arial"/>
          <w:sz w:val="24"/>
          <w:szCs w:val="24"/>
        </w:rPr>
      </w:pPr>
      <w:r w:rsidRPr="008A38CF">
        <w:rPr>
          <w:rFonts w:ascii="Arial" w:hAnsi="Arial" w:cs="Arial"/>
          <w:b/>
          <w:sz w:val="24"/>
          <w:szCs w:val="24"/>
        </w:rPr>
        <w:t>James Nichols, PhD</w:t>
      </w:r>
      <w:r>
        <w:rPr>
          <w:rFonts w:ascii="Arial" w:hAnsi="Arial" w:cs="Arial"/>
          <w:sz w:val="24"/>
          <w:szCs w:val="24"/>
        </w:rPr>
        <w:t xml:space="preserve">, </w:t>
      </w:r>
      <w:r w:rsidRPr="006C6181">
        <w:rPr>
          <w:rFonts w:ascii="Arial" w:hAnsi="Arial" w:cs="Arial"/>
          <w:b/>
          <w:sz w:val="24"/>
          <w:szCs w:val="24"/>
        </w:rPr>
        <w:t>DABCC, FACB</w:t>
      </w:r>
      <w:r>
        <w:rPr>
          <w:rFonts w:ascii="Arial" w:hAnsi="Arial" w:cs="Arial"/>
          <w:sz w:val="24"/>
          <w:szCs w:val="24"/>
        </w:rPr>
        <w:t>, Professor of Pathology, Microbiology and Immunology, Medical Director of Clinical Chemistry, Point-of-Care Testing, Vanderbilt University School of Medicine, Nashville, TN</w:t>
      </w:r>
    </w:p>
    <w:p w:rsidR="00F11D89" w:rsidRDefault="00F11D89" w:rsidP="00F11D89">
      <w:pPr>
        <w:ind w:left="720"/>
        <w:rPr>
          <w:rFonts w:ascii="Arial" w:hAnsi="Arial" w:cs="Arial"/>
          <w:sz w:val="24"/>
          <w:szCs w:val="24"/>
        </w:rPr>
      </w:pPr>
      <w:r w:rsidRPr="008A38CF">
        <w:rPr>
          <w:rFonts w:ascii="Arial" w:hAnsi="Arial" w:cs="Arial"/>
          <w:b/>
          <w:sz w:val="24"/>
          <w:szCs w:val="24"/>
        </w:rPr>
        <w:t xml:space="preserve">Mary Nix, MS, </w:t>
      </w:r>
      <w:r>
        <w:rPr>
          <w:rFonts w:ascii="Arial" w:hAnsi="Arial" w:cs="Arial"/>
          <w:b/>
          <w:sz w:val="24"/>
          <w:szCs w:val="24"/>
        </w:rPr>
        <w:t>PMP</w:t>
      </w:r>
      <w:r>
        <w:rPr>
          <w:rFonts w:ascii="Arial" w:hAnsi="Arial" w:cs="Arial"/>
          <w:sz w:val="24"/>
          <w:szCs w:val="24"/>
        </w:rPr>
        <w:t>, Project Officer, National Guideline Clearinghouse, Agency for Healthcare Research and Quality, Rockville, MD</w:t>
      </w:r>
    </w:p>
    <w:p w:rsidR="00F11D89" w:rsidRDefault="00F11D89" w:rsidP="00F11D89">
      <w:pPr>
        <w:ind w:left="720"/>
        <w:rPr>
          <w:rFonts w:ascii="Arial" w:hAnsi="Arial" w:cs="Arial"/>
          <w:sz w:val="24"/>
          <w:szCs w:val="24"/>
        </w:rPr>
      </w:pPr>
      <w:r w:rsidRPr="008A38CF">
        <w:rPr>
          <w:rFonts w:ascii="Arial" w:hAnsi="Arial" w:cs="Arial"/>
          <w:b/>
          <w:sz w:val="24"/>
          <w:szCs w:val="24"/>
        </w:rPr>
        <w:t xml:space="preserve">Jennifer </w:t>
      </w:r>
      <w:proofErr w:type="spellStart"/>
      <w:r w:rsidRPr="008A38CF">
        <w:rPr>
          <w:rFonts w:ascii="Arial" w:hAnsi="Arial" w:cs="Arial"/>
          <w:b/>
          <w:sz w:val="24"/>
          <w:szCs w:val="24"/>
        </w:rPr>
        <w:t>Rhamy</w:t>
      </w:r>
      <w:proofErr w:type="spellEnd"/>
      <w:r w:rsidRPr="008A38CF">
        <w:rPr>
          <w:rFonts w:ascii="Arial" w:hAnsi="Arial" w:cs="Arial"/>
          <w:b/>
          <w:sz w:val="24"/>
          <w:szCs w:val="24"/>
        </w:rPr>
        <w:t>, MBA, MA, MT(ASCP)SBB, HP</w:t>
      </w:r>
      <w:r>
        <w:rPr>
          <w:rFonts w:ascii="Arial" w:hAnsi="Arial" w:cs="Arial"/>
          <w:sz w:val="24"/>
          <w:szCs w:val="24"/>
        </w:rPr>
        <w:t>, Director, Regional Blood Donor Center, St. Mary’s Hospital, Grand Junction, CO</w:t>
      </w:r>
    </w:p>
    <w:p w:rsidR="00F11D89" w:rsidRDefault="00F11D89" w:rsidP="00F11D89">
      <w:pPr>
        <w:ind w:left="720"/>
        <w:rPr>
          <w:rFonts w:ascii="Arial" w:hAnsi="Arial" w:cs="Arial"/>
          <w:sz w:val="24"/>
          <w:szCs w:val="24"/>
        </w:rPr>
      </w:pPr>
      <w:r w:rsidRPr="008A38CF">
        <w:rPr>
          <w:rFonts w:ascii="Arial" w:hAnsi="Arial" w:cs="Arial"/>
          <w:b/>
          <w:sz w:val="24"/>
          <w:szCs w:val="24"/>
        </w:rPr>
        <w:t xml:space="preserve">Melissa Singer, </w:t>
      </w:r>
      <w:proofErr w:type="gramStart"/>
      <w:r w:rsidRPr="008A38CF">
        <w:rPr>
          <w:rFonts w:ascii="Arial" w:hAnsi="Arial" w:cs="Arial"/>
          <w:b/>
          <w:sz w:val="24"/>
          <w:szCs w:val="24"/>
        </w:rPr>
        <w:t>MT(</w:t>
      </w:r>
      <w:proofErr w:type="gramEnd"/>
      <w:r w:rsidRPr="008A38CF">
        <w:rPr>
          <w:rFonts w:ascii="Arial" w:hAnsi="Arial" w:cs="Arial"/>
          <w:b/>
          <w:sz w:val="24"/>
          <w:szCs w:val="24"/>
        </w:rPr>
        <w:t>ASCP)</w:t>
      </w:r>
      <w:r>
        <w:rPr>
          <w:rFonts w:ascii="Arial" w:hAnsi="Arial" w:cs="Arial"/>
          <w:sz w:val="24"/>
          <w:szCs w:val="24"/>
        </w:rPr>
        <w:t>, Centers for Medicare and Medicaid Services, Center for Medicaid and State Operations, Survey and Certification Group, Division of Laboratory Services, Baltimore, MD</w:t>
      </w:r>
    </w:p>
    <w:p w:rsidR="00F11D89" w:rsidRDefault="00F11D89" w:rsidP="00F11D89">
      <w:pPr>
        <w:rPr>
          <w:rFonts w:ascii="Arial" w:hAnsi="Arial" w:cs="Arial"/>
          <w:b/>
          <w:sz w:val="24"/>
          <w:szCs w:val="24"/>
        </w:rPr>
      </w:pPr>
    </w:p>
    <w:p w:rsidR="00F11D89" w:rsidRDefault="00F11D89" w:rsidP="00F11D89">
      <w:pPr>
        <w:rPr>
          <w:rFonts w:ascii="Arial" w:hAnsi="Arial" w:cs="Arial"/>
          <w:b/>
          <w:sz w:val="24"/>
          <w:szCs w:val="24"/>
        </w:rPr>
      </w:pPr>
      <w:r>
        <w:rPr>
          <w:rFonts w:ascii="Arial" w:hAnsi="Arial" w:cs="Arial"/>
          <w:b/>
          <w:sz w:val="24"/>
          <w:szCs w:val="24"/>
        </w:rPr>
        <w:t>LMBP</w:t>
      </w:r>
      <w:r>
        <w:rPr>
          <w:rFonts w:ascii="Arial" w:hAnsi="Arial" w:cs="Arial"/>
          <w:b/>
          <w:sz w:val="24"/>
          <w:szCs w:val="24"/>
          <w:vertAlign w:val="superscript"/>
        </w:rPr>
        <w:t>TM</w:t>
      </w:r>
      <w:r>
        <w:rPr>
          <w:rFonts w:ascii="Arial" w:hAnsi="Arial" w:cs="Arial"/>
          <w:b/>
          <w:sz w:val="24"/>
          <w:szCs w:val="24"/>
        </w:rPr>
        <w:t xml:space="preserve"> Test Utilization Systematic Review Expert Panel Members</w:t>
      </w:r>
    </w:p>
    <w:p w:rsidR="00F11D89" w:rsidRDefault="00F11D89" w:rsidP="00F11D89">
      <w:pPr>
        <w:ind w:left="720" w:firstLine="60"/>
        <w:rPr>
          <w:rFonts w:ascii="Arial" w:hAnsi="Arial" w:cs="Arial"/>
          <w:sz w:val="24"/>
          <w:szCs w:val="24"/>
        </w:rPr>
      </w:pPr>
      <w:proofErr w:type="spellStart"/>
      <w:r w:rsidRPr="00785DAA">
        <w:rPr>
          <w:rFonts w:ascii="Arial" w:hAnsi="Arial" w:cs="Arial"/>
          <w:b/>
          <w:sz w:val="24"/>
          <w:szCs w:val="24"/>
        </w:rPr>
        <w:t>Ramy</w:t>
      </w:r>
      <w:proofErr w:type="spellEnd"/>
      <w:r w:rsidRPr="00785DAA">
        <w:rPr>
          <w:rFonts w:ascii="Arial" w:hAnsi="Arial" w:cs="Arial"/>
          <w:b/>
          <w:sz w:val="24"/>
          <w:szCs w:val="24"/>
        </w:rPr>
        <w:t xml:space="preserve"> Arnaout, MD, DPhil</w:t>
      </w:r>
      <w:r>
        <w:rPr>
          <w:rFonts w:ascii="Arial" w:hAnsi="Arial" w:cs="Arial"/>
          <w:sz w:val="24"/>
          <w:szCs w:val="24"/>
        </w:rPr>
        <w:t>, Associate Director, Clinical Microbiology, and Member, Division of Clinical Informatics, Department of Medicine, Beth Israel Deaconess Medical Center, Assistant Professor, Pathology, Harvard Medical School, Member, Boston, MA</w:t>
      </w:r>
    </w:p>
    <w:p w:rsidR="00F11D89" w:rsidRDefault="00F11D89" w:rsidP="00F11D89">
      <w:pPr>
        <w:ind w:left="720"/>
        <w:rPr>
          <w:rFonts w:ascii="Arial" w:hAnsi="Arial" w:cs="Arial"/>
          <w:sz w:val="24"/>
          <w:szCs w:val="24"/>
        </w:rPr>
      </w:pPr>
      <w:r w:rsidRPr="00FC1EBA">
        <w:rPr>
          <w:rFonts w:ascii="Arial" w:hAnsi="Arial" w:cs="Arial"/>
          <w:b/>
          <w:sz w:val="24"/>
          <w:szCs w:val="24"/>
        </w:rPr>
        <w:t>Geoffrey Baird, MD, PhD</w:t>
      </w:r>
      <w:r>
        <w:rPr>
          <w:rFonts w:ascii="Arial" w:hAnsi="Arial" w:cs="Arial"/>
          <w:sz w:val="24"/>
          <w:szCs w:val="24"/>
        </w:rPr>
        <w:t>, Director, Clinical Chemistry, Harborview Medical Center; Laboratory Medical Director, Northwest Hospital; Associate Professor, Department of Laboratory Medicine, Adjunct Associate Professor, Department of Pathology, University of Washington, Seattle, WA</w:t>
      </w:r>
    </w:p>
    <w:p w:rsidR="00F11D89" w:rsidRPr="001F587C" w:rsidRDefault="00F11D89" w:rsidP="00F11D89">
      <w:pPr>
        <w:ind w:left="720"/>
        <w:rPr>
          <w:rFonts w:ascii="Arial" w:hAnsi="Arial" w:cs="Arial"/>
          <w:sz w:val="24"/>
          <w:szCs w:val="24"/>
        </w:rPr>
      </w:pPr>
      <w:proofErr w:type="spellStart"/>
      <w:r w:rsidRPr="00FC1EBA">
        <w:rPr>
          <w:rFonts w:ascii="Arial" w:hAnsi="Arial" w:cs="Arial"/>
          <w:b/>
          <w:sz w:val="24"/>
          <w:szCs w:val="24"/>
        </w:rPr>
        <w:t>Anand</w:t>
      </w:r>
      <w:proofErr w:type="spellEnd"/>
      <w:r w:rsidRPr="00FC1EBA">
        <w:rPr>
          <w:rFonts w:ascii="Arial" w:hAnsi="Arial" w:cs="Arial"/>
          <w:b/>
          <w:sz w:val="24"/>
          <w:szCs w:val="24"/>
        </w:rPr>
        <w:t xml:space="preserve"> </w:t>
      </w:r>
      <w:proofErr w:type="spellStart"/>
      <w:r w:rsidRPr="00FC1EBA">
        <w:rPr>
          <w:rFonts w:ascii="Arial" w:hAnsi="Arial" w:cs="Arial"/>
          <w:b/>
          <w:sz w:val="24"/>
          <w:szCs w:val="24"/>
        </w:rPr>
        <w:t>Dighe</w:t>
      </w:r>
      <w:proofErr w:type="spellEnd"/>
      <w:r w:rsidRPr="00FC1EBA">
        <w:rPr>
          <w:rFonts w:ascii="Arial" w:hAnsi="Arial" w:cs="Arial"/>
          <w:b/>
          <w:sz w:val="24"/>
          <w:szCs w:val="24"/>
        </w:rPr>
        <w:t>, MD, PhD</w:t>
      </w:r>
      <w:r>
        <w:rPr>
          <w:rFonts w:ascii="Arial" w:hAnsi="Arial" w:cs="Arial"/>
          <w:sz w:val="24"/>
          <w:szCs w:val="24"/>
        </w:rPr>
        <w:t>, Department of Pathology, Massachusetts General Hospital, Boston, MA</w:t>
      </w:r>
    </w:p>
    <w:p w:rsidR="00F11D89" w:rsidRDefault="00F11D89" w:rsidP="00F11D89">
      <w:pPr>
        <w:ind w:left="720"/>
        <w:rPr>
          <w:rFonts w:ascii="Arial" w:hAnsi="Arial" w:cs="Arial"/>
          <w:sz w:val="24"/>
          <w:szCs w:val="24"/>
        </w:rPr>
      </w:pPr>
      <w:r w:rsidRPr="00FC1EBA">
        <w:rPr>
          <w:rFonts w:ascii="Arial" w:hAnsi="Arial" w:cs="Arial"/>
          <w:b/>
          <w:sz w:val="24"/>
          <w:szCs w:val="24"/>
        </w:rPr>
        <w:t>Keri Donaldson, MD, FCAP</w:t>
      </w:r>
      <w:r>
        <w:rPr>
          <w:rFonts w:ascii="Arial" w:hAnsi="Arial" w:cs="Arial"/>
          <w:sz w:val="24"/>
          <w:szCs w:val="24"/>
        </w:rPr>
        <w:t>, Medical Director, Hematology and Thrombosis, Medical Director, Molecular Diagnostics, Assistant Professor, Pathology, Penn State Milton S. Hershey Medical Center, Hershey, PA</w:t>
      </w:r>
    </w:p>
    <w:p w:rsidR="00F11D89" w:rsidRDefault="00F11D89" w:rsidP="00F11D89">
      <w:pPr>
        <w:ind w:left="720"/>
        <w:rPr>
          <w:rFonts w:ascii="Arial" w:hAnsi="Arial" w:cs="Arial"/>
          <w:sz w:val="24"/>
          <w:szCs w:val="24"/>
        </w:rPr>
      </w:pPr>
      <w:proofErr w:type="spellStart"/>
      <w:r w:rsidRPr="00FC1EBA">
        <w:rPr>
          <w:rFonts w:ascii="Arial" w:hAnsi="Arial" w:cs="Arial"/>
          <w:b/>
          <w:sz w:val="24"/>
          <w:szCs w:val="24"/>
        </w:rPr>
        <w:t>Felicitas</w:t>
      </w:r>
      <w:proofErr w:type="spellEnd"/>
      <w:r w:rsidRPr="00FC1EBA">
        <w:rPr>
          <w:rFonts w:ascii="Arial" w:hAnsi="Arial" w:cs="Arial"/>
          <w:b/>
          <w:sz w:val="24"/>
          <w:szCs w:val="24"/>
        </w:rPr>
        <w:t xml:space="preserve"> </w:t>
      </w:r>
      <w:proofErr w:type="spellStart"/>
      <w:r w:rsidRPr="00FC1EBA">
        <w:rPr>
          <w:rFonts w:ascii="Arial" w:hAnsi="Arial" w:cs="Arial"/>
          <w:b/>
          <w:sz w:val="24"/>
          <w:szCs w:val="24"/>
        </w:rPr>
        <w:t>Lacbawan</w:t>
      </w:r>
      <w:proofErr w:type="spellEnd"/>
      <w:r w:rsidRPr="00FC1EBA">
        <w:rPr>
          <w:rFonts w:ascii="Arial" w:hAnsi="Arial" w:cs="Arial"/>
          <w:b/>
          <w:sz w:val="24"/>
          <w:szCs w:val="24"/>
        </w:rPr>
        <w:t>, MD, FCP, FACMG</w:t>
      </w:r>
      <w:r>
        <w:rPr>
          <w:rFonts w:ascii="Arial" w:hAnsi="Arial" w:cs="Arial"/>
          <w:sz w:val="24"/>
          <w:szCs w:val="24"/>
        </w:rPr>
        <w:t>, Section Head, Molecular Genetics Pathology, Cleveland Clinic, Cleveland, OH</w:t>
      </w:r>
    </w:p>
    <w:p w:rsidR="00F11D89" w:rsidRDefault="00F11D89" w:rsidP="00F11D89">
      <w:pPr>
        <w:ind w:left="720"/>
        <w:rPr>
          <w:rFonts w:ascii="Arial" w:hAnsi="Arial" w:cs="Arial"/>
          <w:sz w:val="24"/>
          <w:szCs w:val="24"/>
        </w:rPr>
      </w:pPr>
      <w:r w:rsidRPr="008A38CF">
        <w:rPr>
          <w:rFonts w:ascii="Arial" w:hAnsi="Arial" w:cs="Arial"/>
          <w:b/>
          <w:sz w:val="24"/>
          <w:szCs w:val="24"/>
        </w:rPr>
        <w:t xml:space="preserve">Mary Nix, MS, </w:t>
      </w:r>
      <w:proofErr w:type="gramStart"/>
      <w:r w:rsidRPr="008A38CF">
        <w:rPr>
          <w:rFonts w:ascii="Arial" w:hAnsi="Arial" w:cs="Arial"/>
          <w:b/>
          <w:sz w:val="24"/>
          <w:szCs w:val="24"/>
        </w:rPr>
        <w:t>MT(</w:t>
      </w:r>
      <w:proofErr w:type="gramEnd"/>
      <w:r w:rsidRPr="008A38CF">
        <w:rPr>
          <w:rFonts w:ascii="Arial" w:hAnsi="Arial" w:cs="Arial"/>
          <w:b/>
          <w:sz w:val="24"/>
          <w:szCs w:val="24"/>
        </w:rPr>
        <w:t>ASCP)SBB</w:t>
      </w:r>
      <w:r>
        <w:rPr>
          <w:rFonts w:ascii="Arial" w:hAnsi="Arial" w:cs="Arial"/>
          <w:sz w:val="24"/>
          <w:szCs w:val="24"/>
        </w:rPr>
        <w:t>, Project Officer, National Guideline Clearinghouse, Agency for Healthcare Research and Quality, Rockville, MD</w:t>
      </w:r>
    </w:p>
    <w:p w:rsidR="00F11D89" w:rsidRPr="008B104A" w:rsidRDefault="00F11D89" w:rsidP="00F11D89">
      <w:pPr>
        <w:ind w:left="720"/>
        <w:rPr>
          <w:rFonts w:ascii="Arial" w:hAnsi="Arial" w:cs="Arial"/>
          <w:sz w:val="24"/>
          <w:szCs w:val="24"/>
        </w:rPr>
      </w:pPr>
      <w:r w:rsidRPr="00785DAA">
        <w:rPr>
          <w:rFonts w:ascii="Arial" w:hAnsi="Arial" w:cs="Arial"/>
          <w:b/>
          <w:sz w:val="24"/>
          <w:szCs w:val="24"/>
        </w:rPr>
        <w:t>Robert Schmidt, MD, PhD, MBA</w:t>
      </w:r>
      <w:r>
        <w:rPr>
          <w:rFonts w:ascii="Arial" w:hAnsi="Arial" w:cs="Arial"/>
          <w:sz w:val="24"/>
          <w:szCs w:val="24"/>
        </w:rPr>
        <w:t>, Department of Pathology and ARUP Laboratories, University of Utah Health Sciences Center, Salt Lake City, UT</w:t>
      </w:r>
    </w:p>
    <w:p w:rsidR="00F11D89" w:rsidRPr="00F11D89" w:rsidRDefault="00F11D89">
      <w:pPr>
        <w:rPr>
          <w:rFonts w:ascii="Arial" w:hAnsi="Arial" w:cs="Arial"/>
          <w:b/>
          <w:sz w:val="24"/>
          <w:szCs w:val="24"/>
        </w:rPr>
      </w:pPr>
    </w:p>
    <w:sectPr w:rsidR="00F11D89" w:rsidRPr="00F11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89"/>
    <w:rsid w:val="001B04E8"/>
    <w:rsid w:val="00F1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4EB6"/>
  <w15:chartTrackingRefBased/>
  <w15:docId w15:val="{3E2D944B-7FAD-4AEE-98A2-9435E6E1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Rubinstein, Matthew L. (CDC/OPHSS/CSELS/DLS)</dc:creator>
  <cp:keywords/>
  <dc:description/>
  <cp:lastModifiedBy>Rubinstein, Matthew L. (CDC/OPHSS/CSELS/DLS)</cp:lastModifiedBy>
  <cp:revision>1</cp:revision>
  <dcterms:created xsi:type="dcterms:W3CDTF">2017-12-11T17:56:00Z</dcterms:created>
  <dcterms:modified xsi:type="dcterms:W3CDTF">2017-12-11T17:59:00Z</dcterms:modified>
</cp:coreProperties>
</file>