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A401" w14:textId="77777777" w:rsidR="00BF5041" w:rsidRPr="00283DA6" w:rsidRDefault="00BF5041" w:rsidP="00BF5041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283DA6">
        <w:rPr>
          <w:rFonts w:ascii="Arial" w:hAnsi="Arial" w:cs="Arial"/>
          <w:sz w:val="24"/>
          <w:szCs w:val="24"/>
        </w:rPr>
        <w:object w:dxaOrig="11100" w:dyaOrig="4519" w14:anchorId="34FB3B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8.8pt;height:158.4pt" o:ole="" filled="t">
            <v:imagedata r:id="rId4" o:title=""/>
          </v:shape>
          <o:OLEObject Type="Embed" ProgID="Prism6.Document" ShapeID="_x0000_i1028" DrawAspect="Content" ObjectID="_1590483487" r:id="rId5"/>
        </w:object>
      </w:r>
    </w:p>
    <w:p w14:paraId="1C4D7ABB" w14:textId="77777777" w:rsidR="00BF5041" w:rsidRPr="00283DA6" w:rsidRDefault="00BF5041" w:rsidP="00BF5041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14:paraId="636A0C88" w14:textId="77777777" w:rsidR="00BF5041" w:rsidRPr="00283DA6" w:rsidRDefault="00BF5041" w:rsidP="00BF5041">
      <w:pPr>
        <w:spacing w:after="0" w:line="360" w:lineRule="auto"/>
        <w:jc w:val="both"/>
        <w:rPr>
          <w:rFonts w:ascii="Palatino Linotype" w:eastAsia="Times New Roman" w:hAnsi="Palatino Linotype"/>
          <w:b/>
          <w:bCs/>
          <w:sz w:val="24"/>
          <w:szCs w:val="24"/>
        </w:rPr>
      </w:pPr>
      <w:r w:rsidRPr="00283DA6">
        <w:rPr>
          <w:rFonts w:ascii="Palatino Linotype" w:hAnsi="Palatino Linotype" w:cs="Arial"/>
          <w:b/>
          <w:sz w:val="24"/>
          <w:szCs w:val="24"/>
        </w:rPr>
        <w:t xml:space="preserve">Figure S2. </w:t>
      </w:r>
      <w:r w:rsidRPr="00283DA6">
        <w:rPr>
          <w:rFonts w:ascii="Palatino Linotype" w:hAnsi="Palatino Linotype" w:cs="Arial"/>
          <w:sz w:val="24"/>
          <w:szCs w:val="24"/>
        </w:rPr>
        <w:t xml:space="preserve">Time-dependent </w:t>
      </w:r>
      <w:r>
        <w:rPr>
          <w:rFonts w:ascii="Palatino Linotype" w:hAnsi="Palatino Linotype" w:cs="Arial"/>
          <w:i/>
          <w:sz w:val="24"/>
          <w:szCs w:val="24"/>
        </w:rPr>
        <w:t>SELENO</w:t>
      </w:r>
      <w:r w:rsidRPr="00283DA6">
        <w:rPr>
          <w:rFonts w:ascii="Palatino Linotype" w:hAnsi="Palatino Linotype" w:cs="Arial"/>
          <w:i/>
          <w:sz w:val="24"/>
          <w:szCs w:val="24"/>
        </w:rPr>
        <w:t>O</w:t>
      </w:r>
      <w:r w:rsidRPr="00283DA6">
        <w:rPr>
          <w:rFonts w:ascii="Palatino Linotype" w:hAnsi="Palatino Linotype" w:cs="Arial"/>
          <w:sz w:val="24"/>
          <w:szCs w:val="24"/>
        </w:rPr>
        <w:t xml:space="preserve"> (a) and </w:t>
      </w:r>
      <w:r>
        <w:rPr>
          <w:rFonts w:ascii="Palatino Linotype" w:hAnsi="Palatino Linotype" w:cs="Arial"/>
          <w:i/>
          <w:sz w:val="24"/>
          <w:szCs w:val="24"/>
        </w:rPr>
        <w:t>SELENO</w:t>
      </w:r>
      <w:r w:rsidRPr="00283DA6">
        <w:rPr>
          <w:rFonts w:ascii="Palatino Linotype" w:hAnsi="Palatino Linotype" w:cs="Arial"/>
          <w:i/>
          <w:sz w:val="24"/>
          <w:szCs w:val="24"/>
        </w:rPr>
        <w:t>S</w:t>
      </w:r>
      <w:r w:rsidRPr="00283DA6">
        <w:rPr>
          <w:rFonts w:ascii="Palatino Linotype" w:hAnsi="Palatino Linotype" w:cs="Arial"/>
          <w:sz w:val="24"/>
          <w:szCs w:val="24"/>
        </w:rPr>
        <w:t xml:space="preserve"> (b) transcriptional expression levels in uninfected (na</w:t>
      </w:r>
      <w:bookmarkStart w:id="0" w:name="OLE_LINK3"/>
      <w:r w:rsidRPr="00283DA6">
        <w:rPr>
          <w:rFonts w:ascii="Palatino Linotype" w:hAnsi="Palatino Linotype" w:cs="Arial"/>
          <w:sz w:val="24"/>
          <w:szCs w:val="24"/>
        </w:rPr>
        <w:t>ï</w:t>
      </w:r>
      <w:bookmarkEnd w:id="0"/>
      <w:r>
        <w:rPr>
          <w:rFonts w:ascii="Palatino Linotype" w:hAnsi="Palatino Linotype" w:cs="Arial"/>
          <w:sz w:val="24"/>
          <w:szCs w:val="24"/>
        </w:rPr>
        <w:t>ve) tick midguts and salivary gland</w:t>
      </w:r>
      <w:r w:rsidRPr="00283DA6">
        <w:rPr>
          <w:rFonts w:ascii="Palatino Linotype" w:hAnsi="Palatino Linotype" w:cs="Arial"/>
          <w:sz w:val="24"/>
          <w:szCs w:val="24"/>
        </w:rPr>
        <w:t xml:space="preserve"> tissues during </w:t>
      </w:r>
      <w:r>
        <w:rPr>
          <w:rFonts w:ascii="Palatino Linotype" w:hAnsi="Palatino Linotype" w:cs="Arial"/>
          <w:sz w:val="24"/>
          <w:szCs w:val="24"/>
        </w:rPr>
        <w:t>the</w:t>
      </w:r>
      <w:r w:rsidRPr="00283DA6">
        <w:rPr>
          <w:rFonts w:ascii="Palatino Linotype" w:hAnsi="Palatino Linotype" w:cs="Arial"/>
          <w:sz w:val="24"/>
          <w:szCs w:val="24"/>
        </w:rPr>
        <w:t xml:space="preserve"> adult female blood meal. </w:t>
      </w:r>
      <w:r w:rsidRPr="00283DA6">
        <w:rPr>
          <w:rFonts w:ascii="Palatino Linotype" w:eastAsia="Times New Roman" w:hAnsi="Palatino Linotype"/>
          <w:bCs/>
          <w:sz w:val="24"/>
          <w:szCs w:val="24"/>
        </w:rPr>
        <w:t xml:space="preserve">The change in transcriptional activity of (a) </w:t>
      </w:r>
      <w:r>
        <w:rPr>
          <w:rFonts w:ascii="Palatino Linotype" w:eastAsia="Times New Roman" w:hAnsi="Palatino Linotype"/>
          <w:bCs/>
          <w:i/>
          <w:iCs/>
          <w:sz w:val="24"/>
          <w:szCs w:val="24"/>
        </w:rPr>
        <w:t>SELENO</w:t>
      </w:r>
      <w:r w:rsidRPr="00283DA6">
        <w:rPr>
          <w:rFonts w:ascii="Palatino Linotype" w:eastAsia="Times New Roman" w:hAnsi="Palatino Linotype"/>
          <w:bCs/>
          <w:i/>
          <w:iCs/>
          <w:sz w:val="24"/>
          <w:szCs w:val="24"/>
        </w:rPr>
        <w:t xml:space="preserve">O </w:t>
      </w:r>
      <w:r w:rsidRPr="00283DA6">
        <w:rPr>
          <w:rFonts w:ascii="Palatino Linotype" w:eastAsia="Times New Roman" w:hAnsi="Palatino Linotype"/>
          <w:bCs/>
          <w:iCs/>
          <w:sz w:val="24"/>
          <w:szCs w:val="24"/>
        </w:rPr>
        <w:t>and</w:t>
      </w:r>
      <w:r w:rsidRPr="00283DA6">
        <w:rPr>
          <w:rFonts w:ascii="Palatino Linotype" w:eastAsia="Times New Roman" w:hAnsi="Palatino Linotype"/>
          <w:bCs/>
          <w:i/>
          <w:iCs/>
          <w:sz w:val="24"/>
          <w:szCs w:val="24"/>
        </w:rPr>
        <w:t xml:space="preserve"> </w:t>
      </w:r>
      <w:r w:rsidRPr="00283DA6">
        <w:rPr>
          <w:rFonts w:ascii="Palatino Linotype" w:eastAsia="Times New Roman" w:hAnsi="Palatino Linotype"/>
          <w:bCs/>
          <w:iCs/>
          <w:sz w:val="24"/>
          <w:szCs w:val="24"/>
        </w:rPr>
        <w:t>(b)</w:t>
      </w:r>
      <w:r>
        <w:rPr>
          <w:rFonts w:ascii="Palatino Linotype" w:eastAsia="Times New Roman" w:hAnsi="Palatino Linotype"/>
          <w:bCs/>
          <w:i/>
          <w:iCs/>
          <w:sz w:val="24"/>
          <w:szCs w:val="24"/>
        </w:rPr>
        <w:t xml:space="preserve"> SELENO</w:t>
      </w:r>
      <w:r w:rsidRPr="00283DA6">
        <w:rPr>
          <w:rFonts w:ascii="Palatino Linotype" w:eastAsia="Times New Roman" w:hAnsi="Palatino Linotype"/>
          <w:bCs/>
          <w:i/>
          <w:iCs/>
          <w:sz w:val="24"/>
          <w:szCs w:val="24"/>
        </w:rPr>
        <w:t>S</w:t>
      </w:r>
      <w:r w:rsidRPr="00283DA6">
        <w:rPr>
          <w:rFonts w:ascii="Palatino Linotype" w:eastAsia="Times New Roman" w:hAnsi="Palatino Linotype"/>
          <w:bCs/>
          <w:sz w:val="24"/>
          <w:szCs w:val="24"/>
        </w:rPr>
        <w:t xml:space="preserve"> in </w:t>
      </w:r>
      <w:r w:rsidRPr="00283DA6">
        <w:rPr>
          <w:rFonts w:ascii="Palatino Linotype" w:eastAsia="Times New Roman" w:hAnsi="Palatino Linotype"/>
          <w:bCs/>
          <w:i/>
          <w:iCs/>
          <w:sz w:val="24"/>
          <w:szCs w:val="24"/>
        </w:rPr>
        <w:t>A</w:t>
      </w:r>
      <w:r w:rsidRPr="00283DA6">
        <w:rPr>
          <w:rFonts w:ascii="Palatino Linotype" w:eastAsia="Times New Roman" w:hAnsi="Palatino Linotype"/>
          <w:bCs/>
          <w:sz w:val="24"/>
          <w:szCs w:val="24"/>
        </w:rPr>
        <w:t xml:space="preserve">. </w:t>
      </w:r>
      <w:r w:rsidRPr="00283DA6">
        <w:rPr>
          <w:rFonts w:ascii="Palatino Linotype" w:eastAsia="Times New Roman" w:hAnsi="Palatino Linotype"/>
          <w:bCs/>
          <w:i/>
          <w:iCs/>
          <w:sz w:val="24"/>
          <w:szCs w:val="24"/>
        </w:rPr>
        <w:t xml:space="preserve">maculatum </w:t>
      </w:r>
      <w:r w:rsidRPr="00283DA6">
        <w:rPr>
          <w:rFonts w:ascii="Palatino Linotype" w:eastAsia="Times New Roman" w:hAnsi="Palatino Linotype"/>
          <w:bCs/>
          <w:sz w:val="24"/>
          <w:szCs w:val="24"/>
        </w:rPr>
        <w:t xml:space="preserve">midgut and salivary gland tissues was normalized to that of the unfed tick using </w:t>
      </w:r>
      <w:r w:rsidRPr="00283DA6">
        <w:rPr>
          <w:rFonts w:ascii="Palatino Linotype" w:eastAsia="Times New Roman" w:hAnsi="Palatino Linotype"/>
          <w:bCs/>
          <w:i/>
          <w:iCs/>
          <w:sz w:val="24"/>
          <w:szCs w:val="24"/>
        </w:rPr>
        <w:t>β-actin</w:t>
      </w:r>
      <w:r w:rsidRPr="00283DA6">
        <w:rPr>
          <w:rFonts w:ascii="Palatino Linotype" w:eastAsia="Times New Roman" w:hAnsi="Palatino Linotype"/>
          <w:bCs/>
          <w:sz w:val="24"/>
          <w:szCs w:val="24"/>
        </w:rPr>
        <w:t xml:space="preserve"> as a reference gene.</w:t>
      </w:r>
      <w:bookmarkStart w:id="1" w:name="_GoBack"/>
      <w:bookmarkEnd w:id="1"/>
    </w:p>
    <w:p w14:paraId="766FAAE0" w14:textId="77777777" w:rsidR="00FF1791" w:rsidRDefault="00FF1791"/>
    <w:sectPr w:rsidR="00FF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41"/>
    <w:rsid w:val="00AB5ADA"/>
    <w:rsid w:val="00BF5041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DAFE"/>
  <w15:chartTrackingRefBased/>
  <w15:docId w15:val="{3738EF96-BB04-4A6B-88BC-438C8516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41"/>
    <w:pPr>
      <w:spacing w:after="200" w:line="276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Crispell</dc:creator>
  <cp:keywords/>
  <dc:description/>
  <cp:lastModifiedBy>Gary Crispell</cp:lastModifiedBy>
  <cp:revision>1</cp:revision>
  <dcterms:created xsi:type="dcterms:W3CDTF">2018-06-14T17:09:00Z</dcterms:created>
  <dcterms:modified xsi:type="dcterms:W3CDTF">2018-06-14T17:11:00Z</dcterms:modified>
</cp:coreProperties>
</file>