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6E9" w:rsidRPr="0070707C" w:rsidRDefault="009F0411" w:rsidP="000F76E9">
      <w:pPr>
        <w:spacing w:after="0"/>
        <w:rPr>
          <w:rFonts w:cstheme="minorHAnsi"/>
          <w:b/>
          <w:sz w:val="16"/>
          <w:szCs w:val="16"/>
        </w:rPr>
      </w:pPr>
      <w:bookmarkStart w:id="0" w:name="_GoBack"/>
      <w:bookmarkEnd w:id="0"/>
      <w:r w:rsidRPr="0070707C">
        <w:rPr>
          <w:rFonts w:cstheme="minorHAnsi"/>
          <w:b/>
          <w:sz w:val="16"/>
          <w:szCs w:val="16"/>
        </w:rPr>
        <w:t xml:space="preserve">SUPPLEMENTARY TABLE </w:t>
      </w:r>
      <w:r w:rsidR="000F76E9" w:rsidRPr="0070707C">
        <w:rPr>
          <w:rFonts w:cstheme="minorHAnsi"/>
          <w:b/>
          <w:sz w:val="16"/>
          <w:szCs w:val="16"/>
        </w:rPr>
        <w:t xml:space="preserve">3. Estimated vaccination coverage with ≥1 HPV vaccine* among adolescents aged 13–17 years by HHS Region, state, selected local area, and territory </w:t>
      </w:r>
      <w:r w:rsidRPr="0070707C">
        <w:rPr>
          <w:rFonts w:cstheme="minorHAnsi"/>
          <w:b/>
          <w:sz w:val="16"/>
          <w:szCs w:val="16"/>
        </w:rPr>
        <w:t>—</w:t>
      </w:r>
      <w:r w:rsidR="000F76E9" w:rsidRPr="0070707C">
        <w:rPr>
          <w:rFonts w:cstheme="minorHAnsi"/>
          <w:b/>
          <w:sz w:val="16"/>
          <w:szCs w:val="16"/>
        </w:rPr>
        <w:t xml:space="preserve"> National Immunization Survey–Teen (NIS-Teen), United States, 2013 - 2017.</w:t>
      </w:r>
    </w:p>
    <w:p w:rsidR="000F76E9" w:rsidRPr="0070707C" w:rsidRDefault="000F76E9" w:rsidP="000F76E9">
      <w:pPr>
        <w:spacing w:after="0"/>
        <w:rPr>
          <w:rFonts w:cstheme="minorHAnsi"/>
          <w:b/>
          <w:sz w:val="16"/>
          <w:szCs w:val="16"/>
        </w:rPr>
      </w:pPr>
    </w:p>
    <w:tbl>
      <w:tblPr>
        <w:tblW w:w="11340" w:type="dxa"/>
        <w:tblCellMar>
          <w:left w:w="58" w:type="dxa"/>
          <w:right w:w="58" w:type="dxa"/>
        </w:tblCellMar>
        <w:tblLook w:val="04A0" w:firstRow="1" w:lastRow="0" w:firstColumn="1" w:lastColumn="0" w:noHBand="0" w:noVBand="1"/>
      </w:tblPr>
      <w:tblGrid>
        <w:gridCol w:w="2250"/>
        <w:gridCol w:w="1440"/>
        <w:gridCol w:w="1530"/>
        <w:gridCol w:w="1440"/>
        <w:gridCol w:w="1530"/>
        <w:gridCol w:w="1530"/>
        <w:gridCol w:w="1620"/>
      </w:tblGrid>
      <w:tr w:rsidR="00D85520" w:rsidRPr="0070707C" w:rsidTr="00D85520">
        <w:trPr>
          <w:trHeight w:val="395"/>
        </w:trPr>
        <w:tc>
          <w:tcPr>
            <w:tcW w:w="2250" w:type="dxa"/>
            <w:vMerge w:val="restart"/>
            <w:tcBorders>
              <w:top w:val="single" w:sz="4" w:space="0" w:color="auto"/>
            </w:tcBorders>
            <w:shd w:val="clear" w:color="auto" w:fill="auto"/>
            <w:noWrap/>
            <w:hideMark/>
          </w:tcPr>
          <w:p w:rsidR="001077E3" w:rsidRPr="0070707C" w:rsidRDefault="001077E3" w:rsidP="00D85520">
            <w:pPr>
              <w:spacing w:after="0" w:line="240" w:lineRule="auto"/>
              <w:rPr>
                <w:rFonts w:eastAsia="Times New Roman" w:cstheme="minorHAnsi"/>
                <w:b/>
                <w:bCs/>
                <w:color w:val="000000"/>
                <w:sz w:val="16"/>
                <w:szCs w:val="16"/>
              </w:rPr>
            </w:pPr>
            <w:r w:rsidRPr="0070707C">
              <w:rPr>
                <w:rFonts w:eastAsia="Times New Roman" w:cstheme="minorHAnsi"/>
                <w:b/>
                <w:color w:val="000000"/>
                <w:sz w:val="16"/>
                <w:szCs w:val="16"/>
              </w:rPr>
              <w:t>Region</w:t>
            </w:r>
          </w:p>
        </w:tc>
        <w:tc>
          <w:tcPr>
            <w:tcW w:w="1440" w:type="dxa"/>
            <w:tcBorders>
              <w:top w:val="single" w:sz="4" w:space="0" w:color="auto"/>
            </w:tcBorders>
            <w:shd w:val="clear" w:color="auto" w:fill="auto"/>
            <w:vAlign w:val="bottom"/>
          </w:tcPr>
          <w:p w:rsidR="001077E3" w:rsidRPr="0070707C" w:rsidRDefault="001077E3" w:rsidP="00D85520">
            <w:pPr>
              <w:spacing w:after="0" w:line="240" w:lineRule="auto"/>
              <w:jc w:val="center"/>
              <w:rPr>
                <w:rFonts w:eastAsia="Times New Roman" w:cstheme="minorHAnsi"/>
                <w:b/>
                <w:bCs/>
                <w:color w:val="000000"/>
                <w:sz w:val="16"/>
                <w:szCs w:val="16"/>
              </w:rPr>
            </w:pPr>
            <w:r w:rsidRPr="0070707C">
              <w:rPr>
                <w:rFonts w:eastAsia="Times New Roman" w:cstheme="minorHAnsi"/>
                <w:b/>
                <w:bCs/>
                <w:sz w:val="16"/>
                <w:szCs w:val="16"/>
              </w:rPr>
              <w:t xml:space="preserve">NIS-TEEN 2013 </w:t>
            </w:r>
          </w:p>
        </w:tc>
        <w:tc>
          <w:tcPr>
            <w:tcW w:w="1530" w:type="dxa"/>
            <w:tcBorders>
              <w:top w:val="single" w:sz="4" w:space="0" w:color="auto"/>
            </w:tcBorders>
            <w:shd w:val="clear" w:color="auto" w:fill="auto"/>
            <w:vAlign w:val="bottom"/>
          </w:tcPr>
          <w:p w:rsidR="001077E3" w:rsidRPr="0070707C" w:rsidRDefault="001077E3" w:rsidP="00D85520">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NIS-TEEN 2014</w:t>
            </w:r>
          </w:p>
        </w:tc>
        <w:tc>
          <w:tcPr>
            <w:tcW w:w="1440" w:type="dxa"/>
            <w:tcBorders>
              <w:top w:val="single" w:sz="4" w:space="0" w:color="auto"/>
            </w:tcBorders>
            <w:shd w:val="clear" w:color="auto" w:fill="auto"/>
            <w:vAlign w:val="bottom"/>
          </w:tcPr>
          <w:p w:rsidR="001077E3" w:rsidRPr="0070707C" w:rsidRDefault="001077E3" w:rsidP="00D85520">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 xml:space="preserve">NIS-TEEN 2015 </w:t>
            </w:r>
          </w:p>
        </w:tc>
        <w:tc>
          <w:tcPr>
            <w:tcW w:w="1530" w:type="dxa"/>
            <w:tcBorders>
              <w:top w:val="single" w:sz="4" w:space="0" w:color="auto"/>
            </w:tcBorders>
            <w:shd w:val="clear" w:color="auto" w:fill="auto"/>
            <w:vAlign w:val="bottom"/>
          </w:tcPr>
          <w:p w:rsidR="001077E3" w:rsidRPr="0070707C" w:rsidRDefault="001077E3" w:rsidP="00D85520">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 xml:space="preserve">NIS-TEEN 2016 </w:t>
            </w:r>
          </w:p>
        </w:tc>
        <w:tc>
          <w:tcPr>
            <w:tcW w:w="1530" w:type="dxa"/>
            <w:tcBorders>
              <w:top w:val="single" w:sz="4" w:space="0" w:color="auto"/>
            </w:tcBorders>
            <w:shd w:val="clear" w:color="auto" w:fill="auto"/>
            <w:vAlign w:val="bottom"/>
          </w:tcPr>
          <w:p w:rsidR="001077E3" w:rsidRPr="0070707C" w:rsidRDefault="001077E3" w:rsidP="00D85520">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 xml:space="preserve">NIS-TEEN 2017 </w:t>
            </w:r>
          </w:p>
        </w:tc>
        <w:tc>
          <w:tcPr>
            <w:tcW w:w="1620" w:type="dxa"/>
            <w:vMerge w:val="restart"/>
            <w:tcBorders>
              <w:top w:val="single" w:sz="4" w:space="0" w:color="auto"/>
            </w:tcBorders>
            <w:shd w:val="clear" w:color="auto" w:fill="auto"/>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Most current 5-year annual average increase</w:t>
            </w:r>
            <w:r w:rsidRPr="0070707C">
              <w:rPr>
                <w:rFonts w:eastAsia="Times New Roman" w:cstheme="minorHAnsi"/>
                <w:b/>
                <w:bCs/>
                <w:color w:val="000000"/>
                <w:sz w:val="16"/>
                <w:szCs w:val="16"/>
                <w:vertAlign w:val="superscript"/>
              </w:rPr>
              <w:t>†</w:t>
            </w:r>
          </w:p>
        </w:tc>
      </w:tr>
      <w:tr w:rsidR="00D85520" w:rsidRPr="0070707C" w:rsidTr="00D85520">
        <w:trPr>
          <w:trHeight w:val="70"/>
        </w:trPr>
        <w:tc>
          <w:tcPr>
            <w:tcW w:w="2250" w:type="dxa"/>
            <w:vMerge/>
            <w:shd w:val="clear" w:color="auto" w:fill="auto"/>
            <w:noWrap/>
            <w:vAlign w:val="bottom"/>
          </w:tcPr>
          <w:p w:rsidR="001077E3" w:rsidRPr="0070707C" w:rsidRDefault="001077E3" w:rsidP="001077E3">
            <w:pPr>
              <w:spacing w:after="0" w:line="240" w:lineRule="auto"/>
              <w:rPr>
                <w:rFonts w:eastAsia="Times New Roman" w:cstheme="minorHAnsi"/>
                <w:color w:val="000000"/>
                <w:sz w:val="16"/>
                <w:szCs w:val="16"/>
              </w:rPr>
            </w:pPr>
          </w:p>
        </w:tc>
        <w:tc>
          <w:tcPr>
            <w:tcW w:w="1440" w:type="dxa"/>
            <w:shd w:val="clear" w:color="auto" w:fill="auto"/>
            <w:vAlign w:val="bottom"/>
          </w:tcPr>
          <w:p w:rsidR="001077E3" w:rsidRPr="0070707C" w:rsidRDefault="001077E3" w:rsidP="001077E3">
            <w:pPr>
              <w:spacing w:after="0" w:line="240" w:lineRule="auto"/>
              <w:jc w:val="center"/>
              <w:rPr>
                <w:rFonts w:eastAsia="Times New Roman" w:cstheme="minorHAnsi"/>
                <w:b/>
                <w:bCs/>
                <w:sz w:val="16"/>
                <w:szCs w:val="16"/>
              </w:rPr>
            </w:pPr>
            <w:r w:rsidRPr="0070707C">
              <w:rPr>
                <w:rFonts w:eastAsia="Times New Roman" w:cstheme="minorHAnsi"/>
                <w:b/>
                <w:bCs/>
                <w:sz w:val="16"/>
                <w:szCs w:val="16"/>
              </w:rPr>
              <w:t>(n = 18,948)</w:t>
            </w:r>
          </w:p>
        </w:tc>
        <w:tc>
          <w:tcPr>
            <w:tcW w:w="1530" w:type="dxa"/>
            <w:shd w:val="clear" w:color="auto" w:fill="auto"/>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(n = 20,827)</w:t>
            </w:r>
          </w:p>
        </w:tc>
        <w:tc>
          <w:tcPr>
            <w:tcW w:w="1440" w:type="dxa"/>
            <w:shd w:val="clear" w:color="auto" w:fill="auto"/>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(n = 21,875)</w:t>
            </w:r>
          </w:p>
        </w:tc>
        <w:tc>
          <w:tcPr>
            <w:tcW w:w="1530" w:type="dxa"/>
            <w:shd w:val="clear" w:color="auto" w:fill="auto"/>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(n = 20,475)</w:t>
            </w:r>
          </w:p>
        </w:tc>
        <w:tc>
          <w:tcPr>
            <w:tcW w:w="1530" w:type="dxa"/>
            <w:shd w:val="clear" w:color="auto" w:fill="auto"/>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(n = 20,949)</w:t>
            </w:r>
          </w:p>
        </w:tc>
        <w:tc>
          <w:tcPr>
            <w:tcW w:w="1620" w:type="dxa"/>
            <w:vMerge/>
            <w:shd w:val="clear" w:color="auto" w:fill="auto"/>
            <w:vAlign w:val="bottom"/>
          </w:tcPr>
          <w:p w:rsidR="001077E3" w:rsidRPr="0070707C" w:rsidRDefault="001077E3" w:rsidP="001077E3">
            <w:pPr>
              <w:spacing w:after="0" w:line="240" w:lineRule="auto"/>
              <w:jc w:val="center"/>
              <w:rPr>
                <w:rFonts w:eastAsia="Times New Roman" w:cstheme="minorHAnsi"/>
                <w:b/>
                <w:bCs/>
                <w:color w:val="000000"/>
                <w:sz w:val="16"/>
                <w:szCs w:val="16"/>
              </w:rPr>
            </w:pPr>
          </w:p>
        </w:tc>
      </w:tr>
      <w:tr w:rsidR="00D85520" w:rsidRPr="0070707C" w:rsidTr="00D85520">
        <w:trPr>
          <w:trHeight w:val="197"/>
        </w:trPr>
        <w:tc>
          <w:tcPr>
            <w:tcW w:w="2250" w:type="dxa"/>
            <w:vMerge/>
            <w:tcBorders>
              <w:bottom w:val="single" w:sz="4" w:space="0" w:color="auto"/>
            </w:tcBorders>
            <w:shd w:val="clear" w:color="auto" w:fill="auto"/>
            <w:noWrap/>
          </w:tcPr>
          <w:p w:rsidR="001077E3" w:rsidRPr="0070707C" w:rsidRDefault="001077E3" w:rsidP="001077E3">
            <w:pPr>
              <w:spacing w:after="0" w:line="240" w:lineRule="auto"/>
              <w:rPr>
                <w:rFonts w:eastAsia="Times New Roman" w:cstheme="minorHAnsi"/>
                <w:b/>
                <w:bCs/>
                <w:color w:val="000000"/>
                <w:sz w:val="16"/>
                <w:szCs w:val="16"/>
              </w:rPr>
            </w:pPr>
          </w:p>
        </w:tc>
        <w:tc>
          <w:tcPr>
            <w:tcW w:w="1440" w:type="dxa"/>
            <w:tcBorders>
              <w:bottom w:val="single" w:sz="4" w:space="0" w:color="auto"/>
            </w:tcBorders>
            <w:shd w:val="clear" w:color="auto" w:fill="auto"/>
            <w:noWrap/>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 (95% CI)</w:t>
            </w:r>
            <w:r w:rsidRPr="0070707C">
              <w:rPr>
                <w:rFonts w:eastAsia="Times New Roman" w:cstheme="minorHAnsi"/>
                <w:b/>
                <w:bCs/>
                <w:color w:val="000000"/>
                <w:sz w:val="16"/>
                <w:szCs w:val="16"/>
                <w:vertAlign w:val="superscript"/>
              </w:rPr>
              <w:t>§</w:t>
            </w:r>
          </w:p>
        </w:tc>
        <w:tc>
          <w:tcPr>
            <w:tcW w:w="1530" w:type="dxa"/>
            <w:tcBorders>
              <w:bottom w:val="single" w:sz="4" w:space="0" w:color="auto"/>
            </w:tcBorders>
            <w:shd w:val="clear" w:color="auto" w:fill="auto"/>
            <w:noWrap/>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 (95% CI)</w:t>
            </w:r>
            <w:r w:rsidRPr="0070707C">
              <w:rPr>
                <w:rFonts w:eastAsia="Times New Roman" w:cstheme="minorHAnsi"/>
                <w:b/>
                <w:bCs/>
                <w:color w:val="000000"/>
                <w:sz w:val="16"/>
                <w:szCs w:val="16"/>
                <w:vertAlign w:val="superscript"/>
              </w:rPr>
              <w:t>§</w:t>
            </w:r>
          </w:p>
        </w:tc>
        <w:tc>
          <w:tcPr>
            <w:tcW w:w="1440" w:type="dxa"/>
            <w:tcBorders>
              <w:bottom w:val="single" w:sz="4" w:space="0" w:color="auto"/>
            </w:tcBorders>
            <w:shd w:val="clear" w:color="auto" w:fill="auto"/>
            <w:noWrap/>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 (95% CI)</w:t>
            </w:r>
            <w:r w:rsidRPr="0070707C">
              <w:rPr>
                <w:rFonts w:eastAsia="Times New Roman" w:cstheme="minorHAnsi"/>
                <w:b/>
                <w:bCs/>
                <w:color w:val="000000"/>
                <w:sz w:val="16"/>
                <w:szCs w:val="16"/>
                <w:vertAlign w:val="superscript"/>
              </w:rPr>
              <w:t>§</w:t>
            </w:r>
          </w:p>
        </w:tc>
        <w:tc>
          <w:tcPr>
            <w:tcW w:w="1530" w:type="dxa"/>
            <w:tcBorders>
              <w:bottom w:val="single" w:sz="4" w:space="0" w:color="auto"/>
            </w:tcBorders>
            <w:shd w:val="clear" w:color="auto" w:fill="auto"/>
            <w:noWrap/>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 (95% CI)</w:t>
            </w:r>
            <w:r w:rsidRPr="0070707C">
              <w:rPr>
                <w:rFonts w:eastAsia="Times New Roman" w:cstheme="minorHAnsi"/>
                <w:b/>
                <w:bCs/>
                <w:color w:val="000000"/>
                <w:sz w:val="16"/>
                <w:szCs w:val="16"/>
                <w:vertAlign w:val="superscript"/>
              </w:rPr>
              <w:t>§</w:t>
            </w:r>
          </w:p>
        </w:tc>
        <w:tc>
          <w:tcPr>
            <w:tcW w:w="1530" w:type="dxa"/>
            <w:tcBorders>
              <w:bottom w:val="single" w:sz="4" w:space="0" w:color="auto"/>
            </w:tcBorders>
            <w:shd w:val="clear" w:color="auto" w:fill="auto"/>
            <w:noWrap/>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 (95% CI)</w:t>
            </w:r>
            <w:r w:rsidRPr="0070707C">
              <w:rPr>
                <w:rFonts w:eastAsia="Times New Roman" w:cstheme="minorHAnsi"/>
                <w:b/>
                <w:bCs/>
                <w:color w:val="000000"/>
                <w:sz w:val="16"/>
                <w:szCs w:val="16"/>
                <w:vertAlign w:val="superscript"/>
              </w:rPr>
              <w:t>§</w:t>
            </w:r>
          </w:p>
        </w:tc>
        <w:tc>
          <w:tcPr>
            <w:tcW w:w="1620" w:type="dxa"/>
            <w:tcBorders>
              <w:bottom w:val="single" w:sz="4" w:space="0" w:color="auto"/>
            </w:tcBorders>
            <w:shd w:val="clear" w:color="auto" w:fill="auto"/>
            <w:noWrap/>
            <w:vAlign w:val="bottom"/>
          </w:tcPr>
          <w:p w:rsidR="001077E3" w:rsidRPr="0070707C" w:rsidRDefault="001077E3" w:rsidP="001077E3">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 (95% CI)</w:t>
            </w:r>
            <w:r w:rsidRPr="0070707C">
              <w:rPr>
                <w:rFonts w:eastAsia="Times New Roman" w:cstheme="minorHAnsi"/>
                <w:b/>
                <w:bCs/>
                <w:color w:val="000000"/>
                <w:sz w:val="16"/>
                <w:szCs w:val="16"/>
                <w:vertAlign w:val="superscript"/>
              </w:rPr>
              <w:t>§</w:t>
            </w:r>
          </w:p>
        </w:tc>
      </w:tr>
      <w:tr w:rsidR="00D85520" w:rsidRPr="0070707C" w:rsidTr="00D85520">
        <w:trPr>
          <w:trHeight w:val="332"/>
        </w:trPr>
        <w:tc>
          <w:tcPr>
            <w:tcW w:w="2250" w:type="dxa"/>
            <w:tcBorders>
              <w:top w:val="single" w:sz="4" w:space="0" w:color="auto"/>
            </w:tcBorders>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 xml:space="preserve">United States Overall </w:t>
            </w:r>
          </w:p>
        </w:tc>
        <w:tc>
          <w:tcPr>
            <w:tcW w:w="1440" w:type="dxa"/>
            <w:tcBorders>
              <w:top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44.9 (43.5</w:t>
            </w:r>
            <w:r w:rsidR="009F0411" w:rsidRPr="0070707C">
              <w:rPr>
                <w:rFonts w:eastAsia="Times New Roman" w:cstheme="minorHAnsi"/>
                <w:b/>
                <w:bCs/>
                <w:color w:val="000000"/>
                <w:sz w:val="16"/>
                <w:szCs w:val="16"/>
              </w:rPr>
              <w:t>–</w:t>
            </w:r>
            <w:r w:rsidRPr="0070707C">
              <w:rPr>
                <w:rFonts w:eastAsia="Times New Roman" w:cstheme="minorHAnsi"/>
                <w:b/>
                <w:bCs/>
                <w:color w:val="000000"/>
                <w:sz w:val="16"/>
                <w:szCs w:val="16"/>
              </w:rPr>
              <w:t>46.2)</w:t>
            </w:r>
          </w:p>
        </w:tc>
        <w:tc>
          <w:tcPr>
            <w:tcW w:w="1530" w:type="dxa"/>
            <w:tcBorders>
              <w:top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50.6 (49.3</w:t>
            </w:r>
            <w:r w:rsidR="009F0411" w:rsidRPr="0070707C">
              <w:rPr>
                <w:rFonts w:eastAsia="Times New Roman" w:cstheme="minorHAnsi"/>
                <w:b/>
                <w:bCs/>
                <w:color w:val="000000"/>
                <w:sz w:val="16"/>
                <w:szCs w:val="16"/>
              </w:rPr>
              <w:t>–</w:t>
            </w:r>
            <w:r w:rsidRPr="0070707C">
              <w:rPr>
                <w:rFonts w:eastAsia="Times New Roman" w:cstheme="minorHAnsi"/>
                <w:b/>
                <w:bCs/>
                <w:color w:val="000000"/>
                <w:sz w:val="16"/>
                <w:szCs w:val="16"/>
              </w:rPr>
              <w:t>52.0)</w:t>
            </w:r>
          </w:p>
        </w:tc>
        <w:tc>
          <w:tcPr>
            <w:tcW w:w="1440" w:type="dxa"/>
            <w:tcBorders>
              <w:top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56.1 (54.9</w:t>
            </w:r>
            <w:r w:rsidR="009F0411" w:rsidRPr="0070707C">
              <w:rPr>
                <w:rFonts w:eastAsia="Times New Roman" w:cstheme="minorHAnsi"/>
                <w:b/>
                <w:bCs/>
                <w:color w:val="000000"/>
                <w:sz w:val="16"/>
                <w:szCs w:val="16"/>
              </w:rPr>
              <w:t>–</w:t>
            </w:r>
            <w:r w:rsidRPr="0070707C">
              <w:rPr>
                <w:rFonts w:eastAsia="Times New Roman" w:cstheme="minorHAnsi"/>
                <w:b/>
                <w:bCs/>
                <w:color w:val="000000"/>
                <w:sz w:val="16"/>
                <w:szCs w:val="16"/>
              </w:rPr>
              <w:t>57.4)</w:t>
            </w:r>
          </w:p>
        </w:tc>
        <w:tc>
          <w:tcPr>
            <w:tcW w:w="1530" w:type="dxa"/>
            <w:tcBorders>
              <w:top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60.4 (59.2</w:t>
            </w:r>
            <w:r w:rsidR="009F0411" w:rsidRPr="0070707C">
              <w:rPr>
                <w:rFonts w:eastAsia="Times New Roman" w:cstheme="minorHAnsi"/>
                <w:b/>
                <w:bCs/>
                <w:color w:val="000000"/>
                <w:sz w:val="16"/>
                <w:szCs w:val="16"/>
              </w:rPr>
              <w:t>–</w:t>
            </w:r>
            <w:r w:rsidRPr="0070707C">
              <w:rPr>
                <w:rFonts w:eastAsia="Times New Roman" w:cstheme="minorHAnsi"/>
                <w:b/>
                <w:bCs/>
                <w:color w:val="000000"/>
                <w:sz w:val="16"/>
                <w:szCs w:val="16"/>
              </w:rPr>
              <w:t>61.6)</w:t>
            </w:r>
          </w:p>
        </w:tc>
        <w:tc>
          <w:tcPr>
            <w:tcW w:w="1530" w:type="dxa"/>
            <w:tcBorders>
              <w:top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65.5 (64.3</w:t>
            </w:r>
            <w:r w:rsidR="009F0411" w:rsidRPr="0070707C">
              <w:rPr>
                <w:rFonts w:eastAsia="Times New Roman" w:cstheme="minorHAnsi"/>
                <w:b/>
                <w:bCs/>
                <w:color w:val="000000"/>
                <w:sz w:val="16"/>
                <w:szCs w:val="16"/>
              </w:rPr>
              <w:t>–</w:t>
            </w:r>
            <w:r w:rsidRPr="0070707C">
              <w:rPr>
                <w:rFonts w:eastAsia="Times New Roman" w:cstheme="minorHAnsi"/>
                <w:b/>
                <w:bCs/>
                <w:color w:val="000000"/>
                <w:sz w:val="16"/>
                <w:szCs w:val="16"/>
              </w:rPr>
              <w:t>66.7)</w:t>
            </w:r>
          </w:p>
        </w:tc>
        <w:tc>
          <w:tcPr>
            <w:tcW w:w="1620" w:type="dxa"/>
            <w:tcBorders>
              <w:top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5.1 (4.6</w:t>
            </w:r>
            <w:r w:rsidR="009F0411" w:rsidRPr="0070707C">
              <w:rPr>
                <w:rFonts w:eastAsia="Times New Roman" w:cstheme="minorHAnsi"/>
                <w:b/>
                <w:bCs/>
                <w:color w:val="000000"/>
                <w:sz w:val="16"/>
                <w:szCs w:val="16"/>
              </w:rPr>
              <w:t>–</w:t>
            </w:r>
            <w:r w:rsidRPr="0070707C">
              <w:rPr>
                <w:rFonts w:eastAsia="Times New Roman" w:cstheme="minorHAnsi"/>
                <w:b/>
                <w:bCs/>
                <w:color w:val="000000"/>
                <w:sz w:val="16"/>
                <w:szCs w:val="16"/>
              </w:rPr>
              <w:t>5.5)</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I</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56.2 (52.9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60.8 (57.4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69.3 (65.9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69.9 (66.7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78.2 (75.4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80.8)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 (3.4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Connecticut</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54.0 (47.5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56.7 (50.3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62.9)</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68.0 (62.1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62.2 (55.8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68.2)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71.3 (64.9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76.9)</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4.0 (</w:t>
            </w:r>
            <w:r w:rsidR="009F0411" w:rsidRPr="0070707C">
              <w:rPr>
                <w:rFonts w:eastAsia="Times New Roman" w:cstheme="minorHAnsi"/>
                <w:color w:val="000000"/>
                <w:sz w:val="16"/>
                <w:szCs w:val="16"/>
              </w:rPr>
              <w:t>–</w:t>
            </w:r>
            <w:r w:rsidRPr="0070707C">
              <w:rPr>
                <w:rFonts w:eastAsia="Times New Roman" w:cstheme="minorHAnsi"/>
                <w:color w:val="000000"/>
                <w:sz w:val="16"/>
                <w:szCs w:val="16"/>
              </w:rPr>
              <w:t>0.4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8.5)</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Maine</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50.7 (44.6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59.8 (53.5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65.8)</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65.9 (59.9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71.4)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70.0 (63.9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75.8 (70.2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80.6)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 (4.4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Massachusetts</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56.9 (50.9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61.5 (55.3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67.4)</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68.1 (61.6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74.0)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71.4 (65.7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76.5)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81.9 (76.9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85.9)</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 (4.1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8.2)</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New Hampshire</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54.2 (48.1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63.3 (57.8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68.5)</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71.9 (65.7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69.9 (63.7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74.2 (68.5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79.2)</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 (0.8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8.3)</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Rhode Island</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72.5 (66.2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78.0)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72.4 (66.7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77.4)</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84.2 (79.9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87.7)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88.9 (84.7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92.1)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88.6 (83.3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92.4)</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 (0.8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8.9)</w:t>
            </w:r>
          </w:p>
        </w:tc>
      </w:tr>
      <w:tr w:rsidR="00D85520" w:rsidRPr="0070707C" w:rsidTr="00D85520">
        <w:trPr>
          <w:trHeight w:val="297"/>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Vermont</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50.4 (44.0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56.8 (50.2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63.1)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67.4 (61.6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70.3 (64.6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78.7 (73.2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83.3)</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7.0 (5.1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II</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45.8 (42.1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49.6)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50.1 (46.0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60.8 (57.1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67.2 (63.8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67.6 (64.1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71.0)</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 (2.9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9.1)</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New Jersey</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38.1 (31.8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44.8)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41.6 (34.9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48.6)</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59.7 (53.5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58.5 (52.4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65.8 (59.8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71.3)</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 (2.3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11.9)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New York</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49.6 (45.1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54.2 (49.2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59.2)</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61.3 (56.8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71.5 (67.3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68.5 (64.0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72.7)</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 (1.7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9.4)</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NY-City of New York</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55.0 (48.2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57.3 (50.1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68.9 (62.9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74.3)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76.8 (70.8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81.9)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73.3 (66.9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78.9)</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 (0.8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10.4)</w:t>
            </w:r>
          </w:p>
        </w:tc>
      </w:tr>
      <w:tr w:rsidR="00D85520" w:rsidRPr="0070707C" w:rsidTr="00D85520">
        <w:trPr>
          <w:trHeight w:val="342"/>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NY-Rest of State</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46.2 (40.3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52.2)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52.3 (45.4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56.4 (50.1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68.1 (62.3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65.5 (59.3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71.2)</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 (1.8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9.2)</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III</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44.8 (41.2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53.3 (49.8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56.7)</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57.0 (53.5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61.2 (57.9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70.3 (67.0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73.3)</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 (4.1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Delaware</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51.2 (44.9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57.4)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61.0 (54.2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67.4)</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65.2 (59.4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70.7 (64.9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75.3 (69.3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80.5)</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 (4.1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7.4)</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Dist. of Columbia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59.9 (49.4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71.7 (64.6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77.8)</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74.7 (68.9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79.8)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79.2 (73.5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84.0)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91.9 (87.6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94.8)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7.5 (4.0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10.9)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Maryland</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40.6 (33.3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52.3 (45.3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60.3 (53.7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64.5 (58.1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69.2 (62.1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6.8 (3.9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9.7)</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Pennsylvania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51.0 (45.5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56.9 (51.2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59.0 (53.7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64.4 (59.3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67.3 (62.2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72.1)</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4.0 (3.0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5.0)</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PA-Philadelphia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67.1 (60.6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71.5 (64.9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79.4 (74.0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83.9)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80.7 (75.4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85.0)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84.9 (80.0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88.7)</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 (2.5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PA-Rest of State</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49.0 (42.8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55.0 (48.7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56.3 (50.4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62.3 (56.6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65.0 (59.2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70.4)</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3.9 (2.7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5.2)</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Virginia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38.3 (30.3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47.0)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47.5 (40.1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50.4 (42.5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53.6 (46.0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75.6 (68.4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81.6)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8.5 (2.1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14.8)</w:t>
            </w:r>
          </w:p>
        </w:tc>
      </w:tr>
      <w:tr w:rsidR="00D85520" w:rsidRPr="0070707C" w:rsidTr="00D85520">
        <w:trPr>
          <w:trHeight w:val="333"/>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West Virginia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38.6 (32.6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45.0)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50.2 (43.7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56.6)</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53.5 (47.4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54.2 (47.5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60.9 (54.6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66.9)</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 (1.7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8.1)</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IV</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39.8 (37.0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42.7)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47.3 (44.5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50.1)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51.4 (48.6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55.8 (53.1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60.0 (57.3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 (3.7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Alabama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36.0 (30.2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42.3)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40.9 (35.0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47.1)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48.4 (42.1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51.7 (45.3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58.0 (52.0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63.9)</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 (4.5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Florida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38.0 (31.4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45.0)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48.9 (41.7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56.2)</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53.7 (46.7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55.9 (49.2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59.8 (53.1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66.1)</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 (2.2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Georgia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46.4 (38.7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53.0 (46.3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59.6)</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52.6 (46.3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67.3 (60.9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64.3 (57.5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 (0.2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Kentucky</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32.3 (26.4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39.0)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37.6 (31.3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44.3)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45.8 (39.7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52.0)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48.0 (41.7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49.6 (43.5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 (2.0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Mississippi</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31.8 (25.9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38.3)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35.9 (29.9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42.4)</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45.5 (39.5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45.6 (39.4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52.0)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49.6 (43.4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55.9)</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 (2.0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7.1)</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North Carolina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44.9 (38.5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57.9 (51.5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64.0)</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56.7 (50.5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57.5 (51.0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63.8)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66.8 (60.4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 (0.0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8.6)</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South Carolina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40.4 (33.5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47.7)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40.5 (34.2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47.2)</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44.2 (38.1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50.5)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44.2 (37.4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59.6 (52.7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66.0)</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 (</w:t>
            </w:r>
            <w:r w:rsidR="009F0411" w:rsidRPr="0070707C">
              <w:rPr>
                <w:rFonts w:eastAsia="Times New Roman" w:cstheme="minorHAnsi"/>
                <w:color w:val="000000"/>
                <w:sz w:val="16"/>
                <w:szCs w:val="16"/>
              </w:rPr>
              <w:t>–</w:t>
            </w:r>
            <w:r w:rsidRPr="0070707C">
              <w:rPr>
                <w:rFonts w:eastAsia="Times New Roman" w:cstheme="minorHAnsi"/>
                <w:color w:val="000000"/>
                <w:sz w:val="16"/>
                <w:szCs w:val="16"/>
              </w:rPr>
              <w:t>0.7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9.4)</w:t>
            </w:r>
          </w:p>
        </w:tc>
      </w:tr>
      <w:tr w:rsidR="00D85520" w:rsidRPr="0070707C" w:rsidTr="00D85520">
        <w:trPr>
          <w:trHeight w:val="315"/>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Tennessee</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38.0 (31.9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44.5)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38.9 (32.6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45.6)</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48.7 (42.3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55.3 (48.5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56.1 (49.3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 (2.4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8.1)</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V</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41.6 (39.1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44.2)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50.5 (48.0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53.1)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54.4 (51.8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58.4 (55.8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65.5 (63.2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 (4.1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7.1)</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Illinois</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42.4 (37.2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47.8)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54.3 (49.5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59.0)</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53.0 (48.5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57.4)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63.5 (58.6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68.1)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66.1 (61.5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70.4)</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 (2.1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9.0)</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IL-City of Chicago</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51.7 (43.3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71.4 (64.5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77.5)</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69.4 (63.0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73.1 (63.2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81.2)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81.9 (73.9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87.8)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 (</w:t>
            </w:r>
            <w:r w:rsidR="009F0411" w:rsidRPr="0070707C">
              <w:rPr>
                <w:rFonts w:eastAsia="Times New Roman" w:cstheme="minorHAnsi"/>
                <w:color w:val="000000"/>
                <w:sz w:val="16"/>
                <w:szCs w:val="16"/>
              </w:rPr>
              <w:t>–</w:t>
            </w:r>
            <w:r w:rsidRPr="0070707C">
              <w:rPr>
                <w:rFonts w:eastAsia="Times New Roman" w:cstheme="minorHAnsi"/>
                <w:color w:val="000000"/>
                <w:sz w:val="16"/>
                <w:szCs w:val="16"/>
              </w:rPr>
              <w:t>0.3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11.9)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IL-Rest of State</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40.2 (34.1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46.6)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50.4 (44.8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56.0)</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49.4 (44.2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61.4 (55.8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62.7 (57.4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67.7)</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 (2.0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9.1)</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Indiana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35.7 (30.3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41.5)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41.9 (35.8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48.4 (42.1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45.2 (38.9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59.3 (52.8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65.5)</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 (1.1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9.0)</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Michigan</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46.5 (40.1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53.0)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48.7 (42.0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55.4)</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59.8 (53.7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61.3 (54.2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67.3 (61.1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73.0)</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 (3.0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7.8)</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Minnesota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39.7 (33.9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45.9)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55.2 (48.2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61.2 (54.9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59.1 (53.0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68.1 (61.9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73.7)</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 (1.2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11.2)</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Ohio</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39.4 (33.3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45.8)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48.6 (42.5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54.8)</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52.2 (45.4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56.2 (49.5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64.1 (58.4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69.3)</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 (4.0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7.4)</w:t>
            </w:r>
          </w:p>
        </w:tc>
      </w:tr>
      <w:tr w:rsidR="00D85520" w:rsidRPr="0070707C" w:rsidTr="00D85520">
        <w:trPr>
          <w:trHeight w:val="333"/>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Wisconsin</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44.6 (38.3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55.0 (48.2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61.6)</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53.3 (47.3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61.9 (55.5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69.2 (63.0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74.8)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 (2.6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8.8)</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VI</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43.9 (40.4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47.4)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45.4 (42.0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48.9)</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52.1 (49.5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52.0 (49.3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59.7 (57.1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62.2)</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3.9 (1.7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Arkansas</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30.1 (24.5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36.4)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44.7 (38.4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53.6 (47.5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54.4 (48.1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61.1 (54.8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67.0)</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7.3 (2.8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11.7)</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Louisiana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42.7 (36.2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49.4)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48.9 (42.3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55.5)</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54.8 (48.9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60.5 (54.4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69.1 (63.3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74.4)</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 (5.5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New Mexico</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49.5 (43.5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50.7 (44.3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57.2)</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60.4 (54.5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60.5 (54.4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66.9 (60.9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72.4)</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 (2.1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6.8)</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Oklahoma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49.1 (43.5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54.0 (47.6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55.5 (48.8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56.9 (49.5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63.9)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58.5 (52.1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2.2 (1.0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3.5)</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Texas</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44.4 (39.5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49.4)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43.5 (38.7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50.6 (47.0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49.3 (45.6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53.0)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57.8 (54.3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61.2)</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3.4 (0.3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TX-Bexar County</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42.4 (36.3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41.7 (35.4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48.2 (42.0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53.4 (46.7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62.9 (56.6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68.8)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 (2.2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8.4)</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lastRenderedPageBreak/>
              <w:t>TX-City of Houston</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49.8 (42.5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57.1)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60.1 (53.1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66.7)</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62.7 (55.5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62.6 (53.6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73.0 (63.9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80.4)</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 (1.5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8.3)</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TX-Dallas County</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NA</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NA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NA</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45.7 (38.5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53.1)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54.5 (46.9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62.0)</w:t>
            </w:r>
          </w:p>
        </w:tc>
        <w:tc>
          <w:tcPr>
            <w:tcW w:w="1620" w:type="dxa"/>
            <w:shd w:val="clear" w:color="auto" w:fill="auto"/>
            <w:noWrap/>
            <w:hideMark/>
          </w:tcPr>
          <w:p w:rsidR="000F76E9" w:rsidRPr="0070707C" w:rsidRDefault="009F0411"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w:t>
            </w:r>
            <w:r w:rsidR="000F76E9" w:rsidRPr="0070707C">
              <w:rPr>
                <w:rFonts w:eastAsia="Times New Roman" w:cstheme="minorHAnsi"/>
                <w:color w:val="000000"/>
                <w:sz w:val="16"/>
                <w:szCs w:val="16"/>
                <w:vertAlign w:val="superscript"/>
              </w:rPr>
              <w:t>¶</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TX-El Paso County</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NA</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62.6 (55.1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69.6)</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67.9 (62.7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79.8 (73.6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84.9)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82.8 (77.2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87.2)</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7.3 (1.9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12.6)</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TX-Travis County</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NA</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NA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NA</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NA</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69.7 (63.3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75.4)</w:t>
            </w:r>
          </w:p>
        </w:tc>
        <w:tc>
          <w:tcPr>
            <w:tcW w:w="1620" w:type="dxa"/>
            <w:shd w:val="clear" w:color="auto" w:fill="auto"/>
            <w:noWrap/>
            <w:hideMark/>
          </w:tcPr>
          <w:p w:rsidR="000F76E9" w:rsidRPr="0070707C" w:rsidRDefault="009F0411"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w:t>
            </w:r>
            <w:r w:rsidR="000F76E9" w:rsidRPr="0070707C">
              <w:rPr>
                <w:rFonts w:eastAsia="Times New Roman" w:cstheme="minorHAnsi"/>
                <w:color w:val="000000"/>
                <w:sz w:val="16"/>
                <w:szCs w:val="16"/>
                <w:vertAlign w:val="superscript"/>
              </w:rPr>
              <w:t>¶</w:t>
            </w:r>
          </w:p>
        </w:tc>
      </w:tr>
      <w:tr w:rsidR="00D85520" w:rsidRPr="0070707C" w:rsidTr="00D85520">
        <w:trPr>
          <w:trHeight w:val="333"/>
        </w:trPr>
        <w:tc>
          <w:tcPr>
            <w:tcW w:w="2250" w:type="dxa"/>
            <w:shd w:val="clear" w:color="auto" w:fill="auto"/>
            <w:noWrap/>
            <w:hideMark/>
          </w:tcPr>
          <w:p w:rsidR="000F76E9" w:rsidRPr="0070707C" w:rsidRDefault="000F76E9" w:rsidP="009F0411">
            <w:pPr>
              <w:spacing w:after="0" w:line="240" w:lineRule="auto"/>
              <w:ind w:firstLineChars="200" w:firstLine="320"/>
              <w:rPr>
                <w:rFonts w:eastAsia="Times New Roman" w:cstheme="minorHAnsi"/>
                <w:b/>
                <w:bCs/>
                <w:color w:val="000000"/>
                <w:sz w:val="16"/>
                <w:szCs w:val="16"/>
              </w:rPr>
            </w:pPr>
            <w:r w:rsidRPr="0070707C">
              <w:rPr>
                <w:rFonts w:eastAsia="Times New Roman" w:cstheme="minorHAnsi"/>
                <w:b/>
                <w:bCs/>
                <w:color w:val="000000"/>
                <w:sz w:val="16"/>
                <w:szCs w:val="16"/>
              </w:rPr>
              <w:t>TX-Rest of State</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44.1 (38.5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49.8)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41.4 (35.9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47.1)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48.6 (44.1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53.0)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46.8 (42.0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54.5 (49.9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59.1)</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2.7 (</w:t>
            </w:r>
            <w:r w:rsidR="009F0411" w:rsidRPr="0070707C">
              <w:rPr>
                <w:rFonts w:eastAsia="Times New Roman" w:cstheme="minorHAnsi"/>
                <w:color w:val="000000"/>
                <w:sz w:val="16"/>
                <w:szCs w:val="16"/>
              </w:rPr>
              <w:t>–</w:t>
            </w:r>
            <w:r w:rsidRPr="0070707C">
              <w:rPr>
                <w:rFonts w:eastAsia="Times New Roman" w:cstheme="minorHAnsi"/>
                <w:color w:val="000000"/>
                <w:sz w:val="16"/>
                <w:szCs w:val="16"/>
              </w:rPr>
              <w:t>0.5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VII</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37.2 (33.7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40.8)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40.2 (36.7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43.8)</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52.3 (48.7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55.3 (51.8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61.5 (58.0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 (4.0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8.7)</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Iowa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42.8 (36.8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49.0)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44.5 (37.8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51.4)</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57.2 (51.0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63.1)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60.7 (54.8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71.4 (65.6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76.5)</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7.3 (4.5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10.1)</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Kansas</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32.5 (26.5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39.1)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35.5 (29.4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42.1)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43.2 (37.3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49.3)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51.8 (45.2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52.4 (46.0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 (3.2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8.0)</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Missouri</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32.6 (26.3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39.5)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37.5 (31.3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44.1)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51.8 (44.7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51.6 (45.0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57.8 (51.3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64.0)</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 (3.0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9.9)</w:t>
            </w:r>
          </w:p>
        </w:tc>
      </w:tr>
      <w:tr w:rsidR="00D85520" w:rsidRPr="0070707C" w:rsidTr="00D85520">
        <w:trPr>
          <w:trHeight w:val="333"/>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Nebraska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50.4 (44.0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49.3 (42.7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55.9)</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60.6 (54.9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63.7 (57.2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71.0 (64.8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76.5)</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 (2.6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8.5)</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VIII</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37.8 (34.5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41.3)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47.4 (44.1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50.8)</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54.8 (51.4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57.4 (53.6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65.7 (62.4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68.8)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6.6 (4.6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8.6)</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Colorado</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45.9 (39.8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52.2)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51.4 (45.3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57.3)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64.2 (58.2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63.5 (56.5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72.1 (66.2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77.3)</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 (3.3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9.7)</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Montana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34.1 (28.3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40.5)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44.9 (38.4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51.5)</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50.4 (44.6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55.3 (48.9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65.5 (58.9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71.5)</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7.4 (5.4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9.3)</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North Dakota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45.8 (39.4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52.4)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49.0 (42.3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55.7)</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66.3 (60.0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67.6 (60.9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72.5 (67.0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77.4)</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7.0 (2.7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11.2)</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South Dakota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37.6 (31.5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44.1)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47.3 (40.7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54.0)</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46.0 (39.8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52.3)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55.9 (49.2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62.3)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63.2 (56.7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69.2)</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 (2.9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9.1)</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Utah</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26.0 (20.8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32.0)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43.4 (37.4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49.6)</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44.2 (38.0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50.7)</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49.7 (43.1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58.8 (52.6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64.8)</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7.3 (3.0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11.7)</w:t>
            </w:r>
          </w:p>
        </w:tc>
      </w:tr>
      <w:tr w:rsidR="00D85520" w:rsidRPr="0070707C" w:rsidTr="00D85520">
        <w:trPr>
          <w:trHeight w:val="288"/>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Wyoming</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35.2 (29.5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41.4)</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39.5 (34.1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45.1)</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42.2 (35.8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43.4 (37.5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49.5)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46.9 (40.8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53.1)</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2.7 (1.8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3.6)</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IX</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55.0 (49.7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58.2 (52.8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63.4)</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62.0 (56.4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70.6 (65.6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70.4 (65.4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75.0)</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 (2.1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Arizona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52.9 (46.8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59.0)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49.3 (43.0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55.6)</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59.7 (53.9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63.1 (56.6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65.0 (58.4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71.2)</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3.8 (0.3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California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56.6 (49.9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63.0)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60.5 (53.6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67.0)</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62.5 (55.4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72.6 (66.1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78.2)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71.9 (65.4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77.5)</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 (1.7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Hawaii</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45.2 (38.6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58.4 (52.2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66.8 (60.9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64.8 (58.3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69.4 (63.0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75.1)</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5.3 (0.1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10.5)</w:t>
            </w:r>
          </w:p>
        </w:tc>
      </w:tr>
      <w:tr w:rsidR="00D85520" w:rsidRPr="0070707C" w:rsidTr="00D85520">
        <w:trPr>
          <w:trHeight w:val="342"/>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Nevada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41.7 (35.6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48.1)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48.7 (42.5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54.9)</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57.9 (51.5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64.1)</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64.9 (58.5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64.9 (58.3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70.9)</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6.3 (3.2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9.3)</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Region X</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46.1 (42.2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50.0)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54.1 (50.2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58.0)</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57.2 (53.6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60.8)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62.6 (58.8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69.9 (66.3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73.3)</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 (4.3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Alaska</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38.9 (32.9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45.2)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43.1 (37.1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49.4)</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49.1 (42.9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61.1 (55.0</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64.5 (58.4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70.1)</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6.9 (4.5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9.3)</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Idaho</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43.9 (36.8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51.2)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45.3 (38.6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52.3)</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50.6 (44.2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57.2 (50.9</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63.3)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62.4 (55.7</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68.6)</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 (3.3</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6.6)</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Oregon</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49.5 (43.6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55.3)</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50.5 (44.1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56.8)</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64.1 (58.1</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69.8)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61.7 (55.2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67.9)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71.2 (65.4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76.4)</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5.5 (1.8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9.2)</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ind w:firstLineChars="100" w:firstLine="160"/>
              <w:rPr>
                <w:rFonts w:eastAsia="Times New Roman" w:cstheme="minorHAnsi"/>
                <w:b/>
                <w:bCs/>
                <w:color w:val="000000"/>
                <w:sz w:val="16"/>
                <w:szCs w:val="16"/>
              </w:rPr>
            </w:pPr>
            <w:r w:rsidRPr="0070707C">
              <w:rPr>
                <w:rFonts w:eastAsia="Times New Roman" w:cstheme="minorHAnsi"/>
                <w:b/>
                <w:bCs/>
                <w:color w:val="000000"/>
                <w:sz w:val="16"/>
                <w:szCs w:val="16"/>
              </w:rPr>
              <w:t>Washington</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45.6 (39.2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52.0)</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59.6 (53.2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65.7)</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56.1 (50.2</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61.8)</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64.8 (58.5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70.6)</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71.9 (65.8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77.3)</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5.8 (1.6</w:t>
            </w:r>
            <w:r w:rsidR="009F0411" w:rsidRPr="0070707C">
              <w:rPr>
                <w:rFonts w:eastAsia="Times New Roman" w:cstheme="minorHAnsi"/>
                <w:color w:val="000000"/>
                <w:sz w:val="16"/>
                <w:szCs w:val="16"/>
              </w:rPr>
              <w:t>–</w:t>
            </w:r>
            <w:r w:rsidRPr="0070707C">
              <w:rPr>
                <w:rFonts w:eastAsia="Times New Roman" w:cstheme="minorHAnsi"/>
                <w:color w:val="000000"/>
                <w:sz w:val="16"/>
                <w:szCs w:val="16"/>
              </w:rPr>
              <w:t>9.9)</w:t>
            </w:r>
          </w:p>
        </w:tc>
      </w:tr>
      <w:tr w:rsidR="00D85520" w:rsidRPr="0070707C" w:rsidTr="00D85520">
        <w:trPr>
          <w:trHeight w:val="20"/>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Range**</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b/>
                <w:bCs/>
                <w:sz w:val="16"/>
                <w:szCs w:val="16"/>
              </w:rPr>
            </w:pPr>
            <w:r w:rsidRPr="0070707C">
              <w:rPr>
                <w:rFonts w:eastAsia="Times New Roman" w:cstheme="minorHAnsi"/>
                <w:b/>
                <w:bCs/>
                <w:sz w:val="16"/>
                <w:szCs w:val="16"/>
              </w:rPr>
              <w:t>(26.0</w:t>
            </w:r>
            <w:r w:rsidR="009F0411" w:rsidRPr="0070707C">
              <w:rPr>
                <w:rFonts w:eastAsia="Times New Roman" w:cstheme="minorHAnsi"/>
                <w:b/>
                <w:bCs/>
                <w:sz w:val="16"/>
                <w:szCs w:val="16"/>
              </w:rPr>
              <w:t>–</w:t>
            </w:r>
            <w:r w:rsidRPr="0070707C">
              <w:rPr>
                <w:rFonts w:eastAsia="Times New Roman" w:cstheme="minorHAnsi"/>
                <w:b/>
                <w:bCs/>
                <w:sz w:val="16"/>
                <w:szCs w:val="16"/>
              </w:rPr>
              <w:t>72.5)</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(35.5</w:t>
            </w:r>
            <w:r w:rsidR="009F0411" w:rsidRPr="0070707C">
              <w:rPr>
                <w:rFonts w:eastAsia="Times New Roman" w:cstheme="minorHAnsi"/>
                <w:b/>
                <w:bCs/>
                <w:color w:val="000000"/>
                <w:sz w:val="16"/>
                <w:szCs w:val="16"/>
              </w:rPr>
              <w:t>–</w:t>
            </w:r>
            <w:r w:rsidRPr="0070707C">
              <w:rPr>
                <w:rFonts w:eastAsia="Times New Roman" w:cstheme="minorHAnsi"/>
                <w:b/>
                <w:bCs/>
                <w:color w:val="000000"/>
                <w:sz w:val="16"/>
                <w:szCs w:val="16"/>
              </w:rPr>
              <w:t>72.4)</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b/>
                <w:bCs/>
                <w:sz w:val="16"/>
                <w:szCs w:val="16"/>
              </w:rPr>
            </w:pPr>
            <w:r w:rsidRPr="0070707C">
              <w:rPr>
                <w:rFonts w:eastAsia="Times New Roman" w:cstheme="minorHAnsi"/>
                <w:b/>
                <w:bCs/>
                <w:sz w:val="16"/>
                <w:szCs w:val="16"/>
              </w:rPr>
              <w:t>(42.2</w:t>
            </w:r>
            <w:r w:rsidR="009F0411" w:rsidRPr="0070707C">
              <w:rPr>
                <w:rFonts w:eastAsia="Times New Roman" w:cstheme="minorHAnsi"/>
                <w:b/>
                <w:bCs/>
                <w:sz w:val="16"/>
                <w:szCs w:val="16"/>
              </w:rPr>
              <w:t>–</w:t>
            </w:r>
            <w:r w:rsidRPr="0070707C">
              <w:rPr>
                <w:rFonts w:eastAsia="Times New Roman" w:cstheme="minorHAnsi"/>
                <w:b/>
                <w:bCs/>
                <w:sz w:val="16"/>
                <w:szCs w:val="16"/>
              </w:rPr>
              <w:t>84.2)</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b/>
                <w:bCs/>
                <w:color w:val="000000"/>
                <w:sz w:val="16"/>
                <w:szCs w:val="16"/>
              </w:rPr>
            </w:pPr>
            <w:r w:rsidRPr="0070707C">
              <w:rPr>
                <w:rFonts w:eastAsia="Times New Roman" w:cstheme="minorHAnsi"/>
                <w:b/>
                <w:bCs/>
                <w:color w:val="000000"/>
                <w:sz w:val="16"/>
                <w:szCs w:val="16"/>
              </w:rPr>
              <w:t>(43.4</w:t>
            </w:r>
            <w:r w:rsidR="009F0411" w:rsidRPr="0070707C">
              <w:rPr>
                <w:rFonts w:eastAsia="Times New Roman" w:cstheme="minorHAnsi"/>
                <w:b/>
                <w:bCs/>
                <w:color w:val="000000"/>
                <w:sz w:val="16"/>
                <w:szCs w:val="16"/>
              </w:rPr>
              <w:t>–</w:t>
            </w:r>
            <w:r w:rsidRPr="0070707C">
              <w:rPr>
                <w:rFonts w:eastAsia="Times New Roman" w:cstheme="minorHAnsi"/>
                <w:b/>
                <w:bCs/>
                <w:color w:val="000000"/>
                <w:sz w:val="16"/>
                <w:szCs w:val="16"/>
              </w:rPr>
              <w:t>88.9)</w:t>
            </w: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b/>
                <w:bCs/>
                <w:sz w:val="16"/>
                <w:szCs w:val="16"/>
              </w:rPr>
            </w:pPr>
            <w:r w:rsidRPr="0070707C">
              <w:rPr>
                <w:rFonts w:eastAsia="Times New Roman" w:cstheme="minorHAnsi"/>
                <w:b/>
                <w:bCs/>
                <w:sz w:val="16"/>
                <w:szCs w:val="16"/>
              </w:rPr>
              <w:t xml:space="preserve">(46. </w:t>
            </w:r>
            <w:r w:rsidR="009F0411" w:rsidRPr="0070707C">
              <w:rPr>
                <w:rFonts w:eastAsia="Times New Roman" w:cstheme="minorHAnsi"/>
                <w:b/>
                <w:bCs/>
                <w:sz w:val="16"/>
                <w:szCs w:val="16"/>
              </w:rPr>
              <w:t>–</w:t>
            </w:r>
            <w:r w:rsidRPr="0070707C">
              <w:rPr>
                <w:rFonts w:eastAsia="Times New Roman" w:cstheme="minorHAnsi"/>
                <w:b/>
                <w:bCs/>
                <w:sz w:val="16"/>
                <w:szCs w:val="16"/>
              </w:rPr>
              <w:t>91.9)</w:t>
            </w: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b/>
                <w:bCs/>
                <w:sz w:val="16"/>
                <w:szCs w:val="16"/>
              </w:rPr>
            </w:pPr>
            <w:r w:rsidRPr="0070707C">
              <w:rPr>
                <w:rFonts w:eastAsia="Times New Roman" w:cstheme="minorHAnsi"/>
                <w:b/>
                <w:bCs/>
                <w:sz w:val="16"/>
                <w:szCs w:val="16"/>
              </w:rPr>
              <w:t>(2.2</w:t>
            </w:r>
            <w:r w:rsidR="009F0411" w:rsidRPr="0070707C">
              <w:rPr>
                <w:rFonts w:eastAsia="Times New Roman" w:cstheme="minorHAnsi"/>
                <w:b/>
                <w:bCs/>
                <w:sz w:val="16"/>
                <w:szCs w:val="16"/>
              </w:rPr>
              <w:t>–</w:t>
            </w:r>
            <w:r w:rsidRPr="0070707C">
              <w:rPr>
                <w:rFonts w:eastAsia="Times New Roman" w:cstheme="minorHAnsi"/>
                <w:b/>
                <w:bCs/>
                <w:sz w:val="16"/>
                <w:szCs w:val="16"/>
              </w:rPr>
              <w:t>8.5)</w:t>
            </w:r>
          </w:p>
        </w:tc>
      </w:tr>
      <w:tr w:rsidR="00D85520" w:rsidRPr="0070707C" w:rsidTr="00D85520">
        <w:trPr>
          <w:trHeight w:val="153"/>
        </w:trPr>
        <w:tc>
          <w:tcPr>
            <w:tcW w:w="2250" w:type="dxa"/>
            <w:shd w:val="clear" w:color="auto" w:fill="auto"/>
            <w:noWrap/>
            <w:hideMark/>
          </w:tcPr>
          <w:p w:rsidR="000F76E9" w:rsidRPr="0070707C" w:rsidRDefault="000F76E9"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Territory</w:t>
            </w: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p>
        </w:tc>
        <w:tc>
          <w:tcPr>
            <w:tcW w:w="144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p>
        </w:tc>
        <w:tc>
          <w:tcPr>
            <w:tcW w:w="1530" w:type="dxa"/>
            <w:shd w:val="clear" w:color="auto" w:fill="auto"/>
            <w:noWrap/>
            <w:hideMark/>
          </w:tcPr>
          <w:p w:rsidR="000F76E9" w:rsidRPr="0070707C" w:rsidRDefault="000F76E9" w:rsidP="009F0411">
            <w:pPr>
              <w:spacing w:after="0" w:line="240" w:lineRule="auto"/>
              <w:jc w:val="center"/>
              <w:rPr>
                <w:rFonts w:eastAsia="Times New Roman" w:cstheme="minorHAnsi"/>
                <w:b/>
                <w:bCs/>
                <w:color w:val="FF0000"/>
                <w:sz w:val="16"/>
                <w:szCs w:val="16"/>
              </w:rPr>
            </w:pPr>
          </w:p>
        </w:tc>
        <w:tc>
          <w:tcPr>
            <w:tcW w:w="1620" w:type="dxa"/>
            <w:shd w:val="clear" w:color="auto" w:fill="auto"/>
            <w:noWrap/>
            <w:hideMark/>
          </w:tcPr>
          <w:p w:rsidR="000F76E9" w:rsidRPr="0070707C" w:rsidRDefault="000F76E9" w:rsidP="009F0411">
            <w:pPr>
              <w:spacing w:after="0" w:line="240" w:lineRule="auto"/>
              <w:jc w:val="center"/>
              <w:rPr>
                <w:rFonts w:eastAsia="Times New Roman" w:cstheme="minorHAnsi"/>
                <w:b/>
                <w:bCs/>
                <w:color w:val="FF0000"/>
                <w:sz w:val="16"/>
                <w:szCs w:val="16"/>
              </w:rPr>
            </w:pPr>
          </w:p>
        </w:tc>
      </w:tr>
      <w:tr w:rsidR="00D85520" w:rsidRPr="0070707C" w:rsidTr="00D85520">
        <w:trPr>
          <w:trHeight w:val="20"/>
        </w:trPr>
        <w:tc>
          <w:tcPr>
            <w:tcW w:w="2250" w:type="dxa"/>
            <w:tcBorders>
              <w:bottom w:val="single" w:sz="4" w:space="0" w:color="auto"/>
            </w:tcBorders>
            <w:shd w:val="clear" w:color="auto" w:fill="auto"/>
            <w:noWrap/>
            <w:hideMark/>
          </w:tcPr>
          <w:p w:rsidR="000F76E9" w:rsidRPr="0070707C" w:rsidRDefault="00E566C8" w:rsidP="009F0411">
            <w:pPr>
              <w:spacing w:after="0" w:line="240" w:lineRule="auto"/>
              <w:rPr>
                <w:rFonts w:eastAsia="Times New Roman" w:cstheme="minorHAnsi"/>
                <w:b/>
                <w:bCs/>
                <w:color w:val="000000"/>
                <w:sz w:val="16"/>
                <w:szCs w:val="16"/>
              </w:rPr>
            </w:pPr>
            <w:r w:rsidRPr="0070707C">
              <w:rPr>
                <w:rFonts w:eastAsia="Times New Roman" w:cstheme="minorHAnsi"/>
                <w:b/>
                <w:bCs/>
                <w:color w:val="000000"/>
                <w:sz w:val="16"/>
                <w:szCs w:val="16"/>
              </w:rPr>
              <w:t xml:space="preserve"> </w:t>
            </w:r>
            <w:r w:rsidR="000F76E9" w:rsidRPr="0070707C">
              <w:rPr>
                <w:rFonts w:eastAsia="Times New Roman" w:cstheme="minorHAnsi"/>
                <w:b/>
                <w:bCs/>
                <w:color w:val="000000"/>
                <w:sz w:val="16"/>
                <w:szCs w:val="16"/>
              </w:rPr>
              <w:t>Guam</w:t>
            </w:r>
          </w:p>
        </w:tc>
        <w:tc>
          <w:tcPr>
            <w:tcW w:w="1440" w:type="dxa"/>
            <w:tcBorders>
              <w:bottom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44.6 (38.8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50.5)</w:t>
            </w:r>
          </w:p>
        </w:tc>
        <w:tc>
          <w:tcPr>
            <w:tcW w:w="1530" w:type="dxa"/>
            <w:tcBorders>
              <w:bottom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NA</w:t>
            </w:r>
          </w:p>
        </w:tc>
        <w:tc>
          <w:tcPr>
            <w:tcW w:w="1440" w:type="dxa"/>
            <w:tcBorders>
              <w:bottom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60.2 (54.5</w:t>
            </w:r>
            <w:r w:rsidR="009F0411" w:rsidRPr="0070707C">
              <w:rPr>
                <w:rFonts w:eastAsia="Times New Roman" w:cstheme="minorHAnsi"/>
                <w:color w:val="000000"/>
                <w:sz w:val="16"/>
                <w:szCs w:val="16"/>
              </w:rPr>
              <w:t>–</w:t>
            </w:r>
            <w:r w:rsidRPr="0070707C">
              <w:rPr>
                <w:rFonts w:eastAsia="Times New Roman" w:cstheme="minorHAnsi"/>
                <w:color w:val="000000"/>
                <w:sz w:val="16"/>
                <w:szCs w:val="16"/>
              </w:rPr>
              <w:t>65.7)</w:t>
            </w:r>
          </w:p>
        </w:tc>
        <w:tc>
          <w:tcPr>
            <w:tcW w:w="1530" w:type="dxa"/>
            <w:tcBorders>
              <w:bottom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67.4 (62.4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72.1)</w:t>
            </w:r>
          </w:p>
        </w:tc>
        <w:tc>
          <w:tcPr>
            <w:tcW w:w="1530" w:type="dxa"/>
            <w:tcBorders>
              <w:bottom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67.5 (61.4</w:t>
            </w:r>
            <w:r w:rsidR="009F0411" w:rsidRPr="0070707C">
              <w:rPr>
                <w:rFonts w:eastAsia="Times New Roman" w:cstheme="minorHAnsi"/>
                <w:color w:val="000000"/>
                <w:sz w:val="16"/>
                <w:szCs w:val="16"/>
              </w:rPr>
              <w:t>–</w:t>
            </w:r>
            <w:r w:rsidRPr="0070707C">
              <w:rPr>
                <w:rFonts w:eastAsia="Times New Roman" w:cstheme="minorHAnsi"/>
                <w:color w:val="000000"/>
                <w:sz w:val="16"/>
                <w:szCs w:val="16"/>
              </w:rPr>
              <w:t>73.0)</w:t>
            </w:r>
          </w:p>
        </w:tc>
        <w:tc>
          <w:tcPr>
            <w:tcW w:w="1620" w:type="dxa"/>
            <w:tcBorders>
              <w:bottom w:val="single" w:sz="4" w:space="0" w:color="auto"/>
            </w:tcBorders>
            <w:shd w:val="clear" w:color="auto" w:fill="auto"/>
            <w:noWrap/>
            <w:hideMark/>
          </w:tcPr>
          <w:p w:rsidR="000F76E9" w:rsidRPr="0070707C" w:rsidRDefault="000F76E9" w:rsidP="009F0411">
            <w:pPr>
              <w:spacing w:after="0" w:line="240" w:lineRule="auto"/>
              <w:jc w:val="center"/>
              <w:rPr>
                <w:rFonts w:eastAsia="Times New Roman" w:cstheme="minorHAnsi"/>
                <w:color w:val="000000"/>
                <w:sz w:val="16"/>
                <w:szCs w:val="16"/>
              </w:rPr>
            </w:pPr>
            <w:r w:rsidRPr="0070707C">
              <w:rPr>
                <w:rFonts w:eastAsia="Times New Roman" w:cstheme="minorHAnsi"/>
                <w:color w:val="000000"/>
                <w:sz w:val="16"/>
                <w:szCs w:val="16"/>
              </w:rPr>
              <w:t>6.2 (0.8</w:t>
            </w:r>
            <w:r w:rsidR="009F0411" w:rsidRPr="0070707C">
              <w:rPr>
                <w:rFonts w:eastAsia="Times New Roman" w:cstheme="minorHAnsi"/>
                <w:color w:val="000000"/>
                <w:sz w:val="16"/>
                <w:szCs w:val="16"/>
              </w:rPr>
              <w:t>–</w:t>
            </w:r>
            <w:r w:rsidRPr="0070707C">
              <w:rPr>
                <w:rFonts w:eastAsia="Times New Roman" w:cstheme="minorHAnsi"/>
                <w:color w:val="000000"/>
                <w:sz w:val="16"/>
                <w:szCs w:val="16"/>
              </w:rPr>
              <w:t>11.5)</w:t>
            </w:r>
          </w:p>
        </w:tc>
      </w:tr>
    </w:tbl>
    <w:p w:rsidR="000F76E9" w:rsidRPr="0070707C" w:rsidRDefault="000F76E9" w:rsidP="00D85520">
      <w:pPr>
        <w:spacing w:after="120" w:line="240" w:lineRule="auto"/>
        <w:rPr>
          <w:rFonts w:cstheme="minorHAnsi"/>
          <w:sz w:val="16"/>
          <w:szCs w:val="16"/>
        </w:rPr>
      </w:pPr>
      <w:r w:rsidRPr="0070707C">
        <w:rPr>
          <w:rFonts w:cstheme="minorHAnsi"/>
          <w:sz w:val="16"/>
          <w:szCs w:val="16"/>
        </w:rPr>
        <w:t>Abbreviations: CI = confidence interval; HHS = U.S. Department of Health and Human Services; HPV = human papillomavirus; NA = not available (Data not collected for that survey year).</w:t>
      </w:r>
    </w:p>
    <w:p w:rsidR="000F76E9" w:rsidRPr="0070707C" w:rsidRDefault="000F76E9" w:rsidP="00D85520">
      <w:pPr>
        <w:spacing w:after="120" w:line="240" w:lineRule="auto"/>
        <w:rPr>
          <w:rFonts w:cstheme="minorHAnsi"/>
          <w:sz w:val="16"/>
          <w:szCs w:val="16"/>
        </w:rPr>
      </w:pPr>
      <w:r w:rsidRPr="0070707C">
        <w:rPr>
          <w:rFonts w:cstheme="minorHAnsi"/>
          <w:sz w:val="16"/>
          <w:szCs w:val="16"/>
        </w:rPr>
        <w:t>* HPV vaccine, nine-valent (9vHPV), quadrivalent (4vHPV), or bivalent (2vHPV) in females and males combined.</w:t>
      </w:r>
    </w:p>
    <w:p w:rsidR="001077E3" w:rsidRPr="0070707C" w:rsidRDefault="000F76E9" w:rsidP="00D85520">
      <w:pPr>
        <w:spacing w:after="120" w:line="240" w:lineRule="auto"/>
        <w:rPr>
          <w:rFonts w:cstheme="minorHAnsi"/>
          <w:sz w:val="16"/>
          <w:szCs w:val="16"/>
        </w:rPr>
      </w:pPr>
      <w:r w:rsidRPr="0070707C">
        <w:rPr>
          <w:rFonts w:cstheme="minorHAnsi"/>
          <w:sz w:val="16"/>
          <w:szCs w:val="16"/>
          <w:vertAlign w:val="superscript"/>
        </w:rPr>
        <w:t>†</w:t>
      </w:r>
      <w:r w:rsidRPr="0070707C">
        <w:rPr>
          <w:rFonts w:cstheme="minorHAnsi"/>
          <w:sz w:val="16"/>
          <w:szCs w:val="16"/>
        </w:rPr>
        <w:t xml:space="preserve"> </w:t>
      </w:r>
      <w:r w:rsidR="001077E3" w:rsidRPr="0070707C">
        <w:rPr>
          <w:rFonts w:cstheme="minorHAnsi"/>
          <w:sz w:val="16"/>
          <w:szCs w:val="16"/>
        </w:rPr>
        <w:t>The</w:t>
      </w:r>
      <w:r w:rsidR="00D85520" w:rsidRPr="0070707C">
        <w:rPr>
          <w:rFonts w:cstheme="minorHAnsi"/>
          <w:sz w:val="16"/>
          <w:szCs w:val="16"/>
        </w:rPr>
        <w:t xml:space="preserve"> m</w:t>
      </w:r>
      <w:r w:rsidR="001077E3" w:rsidRPr="0070707C">
        <w:rPr>
          <w:rFonts w:cstheme="minorHAnsi"/>
          <w:sz w:val="16"/>
          <w:szCs w:val="16"/>
        </w:rPr>
        <w:t xml:space="preserve">ost </w:t>
      </w:r>
      <w:r w:rsidR="00D85520" w:rsidRPr="0070707C">
        <w:rPr>
          <w:rFonts w:cstheme="minorHAnsi"/>
          <w:sz w:val="16"/>
          <w:szCs w:val="16"/>
        </w:rPr>
        <w:t xml:space="preserve">current </w:t>
      </w:r>
      <w:r w:rsidR="001077E3" w:rsidRPr="0070707C">
        <w:rPr>
          <w:rFonts w:cstheme="minorHAnsi"/>
          <w:sz w:val="16"/>
          <w:szCs w:val="16"/>
        </w:rPr>
        <w:t>5</w:t>
      </w:r>
      <w:r w:rsidR="00D85520" w:rsidRPr="0070707C">
        <w:rPr>
          <w:rFonts w:cstheme="minorHAnsi"/>
          <w:sz w:val="16"/>
          <w:szCs w:val="16"/>
        </w:rPr>
        <w:t>-y</w:t>
      </w:r>
      <w:r w:rsidR="001077E3" w:rsidRPr="0070707C">
        <w:rPr>
          <w:rFonts w:cstheme="minorHAnsi"/>
          <w:sz w:val="16"/>
          <w:szCs w:val="16"/>
        </w:rPr>
        <w:t xml:space="preserve">ear </w:t>
      </w:r>
      <w:r w:rsidR="00D85520" w:rsidRPr="0070707C">
        <w:rPr>
          <w:rFonts w:cstheme="minorHAnsi"/>
          <w:sz w:val="16"/>
          <w:szCs w:val="16"/>
        </w:rPr>
        <w:t>a</w:t>
      </w:r>
      <w:r w:rsidR="001077E3" w:rsidRPr="0070707C">
        <w:rPr>
          <w:rFonts w:cstheme="minorHAnsi"/>
          <w:sz w:val="16"/>
          <w:szCs w:val="16"/>
        </w:rPr>
        <w:t xml:space="preserve">nnual </w:t>
      </w:r>
      <w:r w:rsidR="00D85520" w:rsidRPr="0070707C">
        <w:rPr>
          <w:rFonts w:cstheme="minorHAnsi"/>
          <w:sz w:val="16"/>
          <w:szCs w:val="16"/>
        </w:rPr>
        <w:t>a</w:t>
      </w:r>
      <w:r w:rsidR="001077E3" w:rsidRPr="0070707C">
        <w:rPr>
          <w:rFonts w:cstheme="minorHAnsi"/>
          <w:sz w:val="16"/>
          <w:szCs w:val="16"/>
        </w:rPr>
        <w:t xml:space="preserve">verage </w:t>
      </w:r>
      <w:r w:rsidR="00D85520" w:rsidRPr="0070707C">
        <w:rPr>
          <w:rFonts w:cstheme="minorHAnsi"/>
          <w:sz w:val="16"/>
          <w:szCs w:val="16"/>
        </w:rPr>
        <w:t>i</w:t>
      </w:r>
      <w:r w:rsidR="001077E3" w:rsidRPr="0070707C">
        <w:rPr>
          <w:rFonts w:cstheme="minorHAnsi"/>
          <w:sz w:val="16"/>
          <w:szCs w:val="16"/>
        </w:rPr>
        <w:t xml:space="preserve">ncrease was computed by using weighted linear regression for each awardee, with weights inverse proportional to the estimated variance of each estimate. Estimates with confidence intervals that did not include zero were considered statistically significantly different from zero. </w:t>
      </w:r>
    </w:p>
    <w:p w:rsidR="001077E3" w:rsidRPr="0070707C" w:rsidRDefault="000F76E9" w:rsidP="00D85520">
      <w:pPr>
        <w:spacing w:after="120" w:line="240" w:lineRule="auto"/>
        <w:rPr>
          <w:rFonts w:cstheme="minorHAnsi"/>
          <w:sz w:val="16"/>
          <w:szCs w:val="16"/>
        </w:rPr>
      </w:pPr>
      <w:r w:rsidRPr="0070707C">
        <w:rPr>
          <w:rFonts w:cstheme="minorHAnsi"/>
          <w:sz w:val="16"/>
          <w:szCs w:val="16"/>
          <w:vertAlign w:val="superscript"/>
        </w:rPr>
        <w:t xml:space="preserve">§ </w:t>
      </w:r>
      <w:r w:rsidR="001077E3" w:rsidRPr="0070707C">
        <w:rPr>
          <w:rFonts w:cstheme="minorHAnsi"/>
          <w:sz w:val="16"/>
          <w:szCs w:val="16"/>
        </w:rPr>
        <w:t xml:space="preserve">Estimates with 95% confidence intervals &gt;20 </w:t>
      </w:r>
      <w:r w:rsidR="00D85520" w:rsidRPr="0070707C">
        <w:rPr>
          <w:rFonts w:cstheme="minorHAnsi"/>
          <w:sz w:val="16"/>
          <w:szCs w:val="16"/>
        </w:rPr>
        <w:t>might be un</w:t>
      </w:r>
      <w:r w:rsidR="001077E3" w:rsidRPr="0070707C">
        <w:rPr>
          <w:rFonts w:cstheme="minorHAnsi"/>
          <w:sz w:val="16"/>
          <w:szCs w:val="16"/>
        </w:rPr>
        <w:t>reliable.</w:t>
      </w:r>
    </w:p>
    <w:p w:rsidR="000F76E9" w:rsidRPr="0070707C" w:rsidRDefault="000F76E9" w:rsidP="00D85520">
      <w:pPr>
        <w:spacing w:after="120" w:line="240" w:lineRule="auto"/>
        <w:rPr>
          <w:rFonts w:cstheme="minorHAnsi"/>
          <w:sz w:val="16"/>
          <w:szCs w:val="16"/>
        </w:rPr>
      </w:pPr>
      <w:r w:rsidRPr="0070707C">
        <w:rPr>
          <w:rFonts w:cstheme="minorHAnsi"/>
          <w:sz w:val="16"/>
          <w:szCs w:val="16"/>
          <w:vertAlign w:val="superscript"/>
        </w:rPr>
        <w:t xml:space="preserve">¶ </w:t>
      </w:r>
      <w:r w:rsidRPr="0070707C">
        <w:rPr>
          <w:rFonts w:cstheme="minorHAnsi"/>
          <w:sz w:val="16"/>
          <w:szCs w:val="16"/>
        </w:rPr>
        <w:t>Estimates for jurisdictions have been suppressed if data for either 2013 or 2017 are not available or if data are available for fewer than three of the five years.</w:t>
      </w:r>
    </w:p>
    <w:p w:rsidR="00CC0ED5" w:rsidRPr="0070707C" w:rsidRDefault="000F76E9" w:rsidP="00D85520">
      <w:pPr>
        <w:spacing w:after="120" w:line="240" w:lineRule="auto"/>
        <w:rPr>
          <w:rFonts w:cstheme="minorHAnsi"/>
          <w:sz w:val="16"/>
          <w:szCs w:val="16"/>
        </w:rPr>
      </w:pPr>
      <w:r w:rsidRPr="0070707C">
        <w:rPr>
          <w:rFonts w:cstheme="minorHAnsi"/>
          <w:sz w:val="16"/>
          <w:szCs w:val="16"/>
        </w:rPr>
        <w:t>** Range excludes selected local areas an</w:t>
      </w:r>
      <w:r w:rsidR="00D85520" w:rsidRPr="0070707C">
        <w:rPr>
          <w:rFonts w:cstheme="minorHAnsi"/>
          <w:sz w:val="16"/>
          <w:szCs w:val="16"/>
        </w:rPr>
        <w:t>d territories.</w:t>
      </w:r>
    </w:p>
    <w:sectPr w:rsidR="00CC0ED5" w:rsidRPr="0070707C" w:rsidSect="00D8552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39" w:rsidRDefault="00C51039" w:rsidP="00FE2D99">
      <w:pPr>
        <w:spacing w:after="0" w:line="240" w:lineRule="auto"/>
      </w:pPr>
      <w:r>
        <w:separator/>
      </w:r>
    </w:p>
  </w:endnote>
  <w:endnote w:type="continuationSeparator" w:id="0">
    <w:p w:rsidR="00C51039" w:rsidRDefault="00C51039" w:rsidP="00FE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39" w:rsidRDefault="00C51039" w:rsidP="00FE2D99">
      <w:pPr>
        <w:spacing w:after="0" w:line="240" w:lineRule="auto"/>
      </w:pPr>
      <w:r>
        <w:separator/>
      </w:r>
    </w:p>
  </w:footnote>
  <w:footnote w:type="continuationSeparator" w:id="0">
    <w:p w:rsidR="00C51039" w:rsidRDefault="00C51039" w:rsidP="00FE2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7A"/>
    <w:rsid w:val="00004F56"/>
    <w:rsid w:val="00007C10"/>
    <w:rsid w:val="0001451B"/>
    <w:rsid w:val="00030B58"/>
    <w:rsid w:val="0003128F"/>
    <w:rsid w:val="000461C9"/>
    <w:rsid w:val="00054F9C"/>
    <w:rsid w:val="00056022"/>
    <w:rsid w:val="00061547"/>
    <w:rsid w:val="000912F8"/>
    <w:rsid w:val="000A2927"/>
    <w:rsid w:val="000C5393"/>
    <w:rsid w:val="000D0B86"/>
    <w:rsid w:val="000F7574"/>
    <w:rsid w:val="000F76E9"/>
    <w:rsid w:val="001077E3"/>
    <w:rsid w:val="00146A92"/>
    <w:rsid w:val="00162565"/>
    <w:rsid w:val="001677F3"/>
    <w:rsid w:val="00177DD9"/>
    <w:rsid w:val="001B5F8E"/>
    <w:rsid w:val="001B6F26"/>
    <w:rsid w:val="001B7EA4"/>
    <w:rsid w:val="00203AE7"/>
    <w:rsid w:val="00210976"/>
    <w:rsid w:val="002163E8"/>
    <w:rsid w:val="0023474A"/>
    <w:rsid w:val="00256406"/>
    <w:rsid w:val="00256979"/>
    <w:rsid w:val="00274A30"/>
    <w:rsid w:val="00274FCE"/>
    <w:rsid w:val="002D23E6"/>
    <w:rsid w:val="002D2B91"/>
    <w:rsid w:val="00310F20"/>
    <w:rsid w:val="00347CAE"/>
    <w:rsid w:val="00357875"/>
    <w:rsid w:val="0038394A"/>
    <w:rsid w:val="0039752E"/>
    <w:rsid w:val="003A74F0"/>
    <w:rsid w:val="003C22FA"/>
    <w:rsid w:val="003E29FA"/>
    <w:rsid w:val="00441F75"/>
    <w:rsid w:val="00473128"/>
    <w:rsid w:val="004817BE"/>
    <w:rsid w:val="004B73F1"/>
    <w:rsid w:val="004D073A"/>
    <w:rsid w:val="004F4B8B"/>
    <w:rsid w:val="00510F70"/>
    <w:rsid w:val="00544EB0"/>
    <w:rsid w:val="00545B53"/>
    <w:rsid w:val="00545D77"/>
    <w:rsid w:val="005566B8"/>
    <w:rsid w:val="00576D1D"/>
    <w:rsid w:val="005D0DEA"/>
    <w:rsid w:val="00604DD7"/>
    <w:rsid w:val="0061005C"/>
    <w:rsid w:val="00616B1D"/>
    <w:rsid w:val="00626AE8"/>
    <w:rsid w:val="00657401"/>
    <w:rsid w:val="00692099"/>
    <w:rsid w:val="00697DFE"/>
    <w:rsid w:val="006B2B9F"/>
    <w:rsid w:val="006C1FF5"/>
    <w:rsid w:val="006C43D6"/>
    <w:rsid w:val="006E70F9"/>
    <w:rsid w:val="006F61D4"/>
    <w:rsid w:val="0070707C"/>
    <w:rsid w:val="00707E3E"/>
    <w:rsid w:val="007210B5"/>
    <w:rsid w:val="007368E3"/>
    <w:rsid w:val="00744C27"/>
    <w:rsid w:val="0076177A"/>
    <w:rsid w:val="00762053"/>
    <w:rsid w:val="007647F7"/>
    <w:rsid w:val="007864CC"/>
    <w:rsid w:val="007B45AE"/>
    <w:rsid w:val="007C18AF"/>
    <w:rsid w:val="007E0279"/>
    <w:rsid w:val="007E2C73"/>
    <w:rsid w:val="007F2311"/>
    <w:rsid w:val="008113FD"/>
    <w:rsid w:val="008160E6"/>
    <w:rsid w:val="00896ADA"/>
    <w:rsid w:val="008D335F"/>
    <w:rsid w:val="008D7AE0"/>
    <w:rsid w:val="0098564D"/>
    <w:rsid w:val="009861C9"/>
    <w:rsid w:val="00986F38"/>
    <w:rsid w:val="00992D00"/>
    <w:rsid w:val="00994FF3"/>
    <w:rsid w:val="009A74DF"/>
    <w:rsid w:val="009D46FC"/>
    <w:rsid w:val="009E4C52"/>
    <w:rsid w:val="009F0411"/>
    <w:rsid w:val="00A13CD6"/>
    <w:rsid w:val="00A506BF"/>
    <w:rsid w:val="00A6148C"/>
    <w:rsid w:val="00A902C7"/>
    <w:rsid w:val="00A91EA6"/>
    <w:rsid w:val="00A946F1"/>
    <w:rsid w:val="00AA785A"/>
    <w:rsid w:val="00AC3BED"/>
    <w:rsid w:val="00AD1B11"/>
    <w:rsid w:val="00AD7AE6"/>
    <w:rsid w:val="00AF6826"/>
    <w:rsid w:val="00B1104F"/>
    <w:rsid w:val="00B52A53"/>
    <w:rsid w:val="00B530DD"/>
    <w:rsid w:val="00B53346"/>
    <w:rsid w:val="00B60CD1"/>
    <w:rsid w:val="00B74337"/>
    <w:rsid w:val="00B841A8"/>
    <w:rsid w:val="00B857B7"/>
    <w:rsid w:val="00B85D16"/>
    <w:rsid w:val="00BB5167"/>
    <w:rsid w:val="00C05577"/>
    <w:rsid w:val="00C33B38"/>
    <w:rsid w:val="00C51039"/>
    <w:rsid w:val="00C632DE"/>
    <w:rsid w:val="00C75B9F"/>
    <w:rsid w:val="00C902DE"/>
    <w:rsid w:val="00CA4EF9"/>
    <w:rsid w:val="00CC0ED5"/>
    <w:rsid w:val="00D003A7"/>
    <w:rsid w:val="00D019CE"/>
    <w:rsid w:val="00D26908"/>
    <w:rsid w:val="00D3415B"/>
    <w:rsid w:val="00D47F4D"/>
    <w:rsid w:val="00D85520"/>
    <w:rsid w:val="00D85B0A"/>
    <w:rsid w:val="00D903C3"/>
    <w:rsid w:val="00DB5525"/>
    <w:rsid w:val="00DB67CE"/>
    <w:rsid w:val="00DC0DE8"/>
    <w:rsid w:val="00DF3DA0"/>
    <w:rsid w:val="00E20BDF"/>
    <w:rsid w:val="00E338C0"/>
    <w:rsid w:val="00E4178F"/>
    <w:rsid w:val="00E4756C"/>
    <w:rsid w:val="00E5616C"/>
    <w:rsid w:val="00E566C8"/>
    <w:rsid w:val="00E6362B"/>
    <w:rsid w:val="00E91178"/>
    <w:rsid w:val="00EC41EE"/>
    <w:rsid w:val="00ED56E4"/>
    <w:rsid w:val="00F0159F"/>
    <w:rsid w:val="00F13BF9"/>
    <w:rsid w:val="00F523FD"/>
    <w:rsid w:val="00F5481E"/>
    <w:rsid w:val="00F6509E"/>
    <w:rsid w:val="00FA55C1"/>
    <w:rsid w:val="00FA5785"/>
    <w:rsid w:val="00FC560D"/>
    <w:rsid w:val="00FC70C6"/>
    <w:rsid w:val="00FE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B9E62C-1B87-4D94-9317-26C39E24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09E"/>
    <w:rPr>
      <w:color w:val="0563C1" w:themeColor="hyperlink"/>
      <w:u w:val="single"/>
    </w:rPr>
  </w:style>
  <w:style w:type="paragraph" w:styleId="BalloonText">
    <w:name w:val="Balloon Text"/>
    <w:basedOn w:val="Normal"/>
    <w:link w:val="BalloonTextChar"/>
    <w:uiPriority w:val="99"/>
    <w:semiHidden/>
    <w:unhideWhenUsed/>
    <w:rsid w:val="0061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5C"/>
    <w:rPr>
      <w:rFonts w:ascii="Segoe UI" w:hAnsi="Segoe UI" w:cs="Segoe UI"/>
      <w:sz w:val="18"/>
      <w:szCs w:val="18"/>
    </w:rPr>
  </w:style>
  <w:style w:type="paragraph" w:styleId="Header">
    <w:name w:val="header"/>
    <w:basedOn w:val="Normal"/>
    <w:link w:val="HeaderChar"/>
    <w:uiPriority w:val="99"/>
    <w:unhideWhenUsed/>
    <w:rsid w:val="00FE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D99"/>
  </w:style>
  <w:style w:type="paragraph" w:styleId="Footer">
    <w:name w:val="footer"/>
    <w:basedOn w:val="Normal"/>
    <w:link w:val="FooterChar"/>
    <w:uiPriority w:val="99"/>
    <w:unhideWhenUsed/>
    <w:rsid w:val="00FE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99"/>
  </w:style>
  <w:style w:type="character" w:styleId="CommentReference">
    <w:name w:val="annotation reference"/>
    <w:basedOn w:val="DefaultParagraphFont"/>
    <w:uiPriority w:val="99"/>
    <w:semiHidden/>
    <w:unhideWhenUsed/>
    <w:rsid w:val="004D073A"/>
    <w:rPr>
      <w:sz w:val="16"/>
      <w:szCs w:val="16"/>
    </w:rPr>
  </w:style>
  <w:style w:type="paragraph" w:styleId="CommentText">
    <w:name w:val="annotation text"/>
    <w:basedOn w:val="Normal"/>
    <w:link w:val="CommentTextChar"/>
    <w:uiPriority w:val="99"/>
    <w:semiHidden/>
    <w:unhideWhenUsed/>
    <w:rsid w:val="004D073A"/>
    <w:pPr>
      <w:spacing w:line="240" w:lineRule="auto"/>
    </w:pPr>
    <w:rPr>
      <w:sz w:val="20"/>
      <w:szCs w:val="20"/>
    </w:rPr>
  </w:style>
  <w:style w:type="character" w:customStyle="1" w:styleId="CommentTextChar">
    <w:name w:val="Comment Text Char"/>
    <w:basedOn w:val="DefaultParagraphFont"/>
    <w:link w:val="CommentText"/>
    <w:uiPriority w:val="99"/>
    <w:semiHidden/>
    <w:rsid w:val="004D073A"/>
    <w:rPr>
      <w:sz w:val="20"/>
      <w:szCs w:val="20"/>
    </w:rPr>
  </w:style>
  <w:style w:type="paragraph" w:styleId="CommentSubject">
    <w:name w:val="annotation subject"/>
    <w:basedOn w:val="CommentText"/>
    <w:next w:val="CommentText"/>
    <w:link w:val="CommentSubjectChar"/>
    <w:uiPriority w:val="99"/>
    <w:semiHidden/>
    <w:unhideWhenUsed/>
    <w:rsid w:val="004D073A"/>
    <w:rPr>
      <w:b/>
      <w:bCs/>
    </w:rPr>
  </w:style>
  <w:style w:type="character" w:customStyle="1" w:styleId="CommentSubjectChar">
    <w:name w:val="Comment Subject Char"/>
    <w:basedOn w:val="CommentTextChar"/>
    <w:link w:val="CommentSubject"/>
    <w:uiPriority w:val="99"/>
    <w:semiHidden/>
    <w:rsid w:val="004D073A"/>
    <w:rPr>
      <w:b/>
      <w:bCs/>
      <w:sz w:val="20"/>
      <w:szCs w:val="20"/>
    </w:rPr>
  </w:style>
  <w:style w:type="table" w:styleId="TableGrid">
    <w:name w:val="Table Grid"/>
    <w:basedOn w:val="TableNormal"/>
    <w:uiPriority w:val="39"/>
    <w:rsid w:val="0061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B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9F0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5633">
      <w:bodyDiv w:val="1"/>
      <w:marLeft w:val="0"/>
      <w:marRight w:val="0"/>
      <w:marTop w:val="0"/>
      <w:marBottom w:val="0"/>
      <w:divBdr>
        <w:top w:val="none" w:sz="0" w:space="0" w:color="auto"/>
        <w:left w:val="none" w:sz="0" w:space="0" w:color="auto"/>
        <w:bottom w:val="none" w:sz="0" w:space="0" w:color="auto"/>
        <w:right w:val="none" w:sz="0" w:space="0" w:color="auto"/>
      </w:divBdr>
    </w:div>
    <w:div w:id="533809236">
      <w:bodyDiv w:val="1"/>
      <w:marLeft w:val="0"/>
      <w:marRight w:val="0"/>
      <w:marTop w:val="0"/>
      <w:marBottom w:val="0"/>
      <w:divBdr>
        <w:top w:val="none" w:sz="0" w:space="0" w:color="auto"/>
        <w:left w:val="none" w:sz="0" w:space="0" w:color="auto"/>
        <w:bottom w:val="none" w:sz="0" w:space="0" w:color="auto"/>
        <w:right w:val="none" w:sz="0" w:space="0" w:color="auto"/>
      </w:divBdr>
    </w:div>
    <w:div w:id="707484605">
      <w:bodyDiv w:val="1"/>
      <w:marLeft w:val="0"/>
      <w:marRight w:val="0"/>
      <w:marTop w:val="0"/>
      <w:marBottom w:val="0"/>
      <w:divBdr>
        <w:top w:val="none" w:sz="0" w:space="0" w:color="auto"/>
        <w:left w:val="none" w:sz="0" w:space="0" w:color="auto"/>
        <w:bottom w:val="none" w:sz="0" w:space="0" w:color="auto"/>
        <w:right w:val="none" w:sz="0" w:space="0" w:color="auto"/>
      </w:divBdr>
    </w:div>
    <w:div w:id="764805440">
      <w:bodyDiv w:val="1"/>
      <w:marLeft w:val="0"/>
      <w:marRight w:val="0"/>
      <w:marTop w:val="0"/>
      <w:marBottom w:val="0"/>
      <w:divBdr>
        <w:top w:val="none" w:sz="0" w:space="0" w:color="auto"/>
        <w:left w:val="none" w:sz="0" w:space="0" w:color="auto"/>
        <w:bottom w:val="none" w:sz="0" w:space="0" w:color="auto"/>
        <w:right w:val="none" w:sz="0" w:space="0" w:color="auto"/>
      </w:divBdr>
    </w:div>
    <w:div w:id="849485566">
      <w:bodyDiv w:val="1"/>
      <w:marLeft w:val="0"/>
      <w:marRight w:val="0"/>
      <w:marTop w:val="0"/>
      <w:marBottom w:val="0"/>
      <w:divBdr>
        <w:top w:val="none" w:sz="0" w:space="0" w:color="auto"/>
        <w:left w:val="none" w:sz="0" w:space="0" w:color="auto"/>
        <w:bottom w:val="none" w:sz="0" w:space="0" w:color="auto"/>
        <w:right w:val="none" w:sz="0" w:space="0" w:color="auto"/>
      </w:divBdr>
    </w:div>
    <w:div w:id="888416772">
      <w:bodyDiv w:val="1"/>
      <w:marLeft w:val="0"/>
      <w:marRight w:val="0"/>
      <w:marTop w:val="0"/>
      <w:marBottom w:val="0"/>
      <w:divBdr>
        <w:top w:val="none" w:sz="0" w:space="0" w:color="auto"/>
        <w:left w:val="none" w:sz="0" w:space="0" w:color="auto"/>
        <w:bottom w:val="none" w:sz="0" w:space="0" w:color="auto"/>
        <w:right w:val="none" w:sz="0" w:space="0" w:color="auto"/>
      </w:divBdr>
    </w:div>
    <w:div w:id="967315759">
      <w:bodyDiv w:val="1"/>
      <w:marLeft w:val="0"/>
      <w:marRight w:val="0"/>
      <w:marTop w:val="0"/>
      <w:marBottom w:val="0"/>
      <w:divBdr>
        <w:top w:val="none" w:sz="0" w:space="0" w:color="auto"/>
        <w:left w:val="none" w:sz="0" w:space="0" w:color="auto"/>
        <w:bottom w:val="none" w:sz="0" w:space="0" w:color="auto"/>
        <w:right w:val="none" w:sz="0" w:space="0" w:color="auto"/>
      </w:divBdr>
    </w:div>
    <w:div w:id="1538854528">
      <w:bodyDiv w:val="1"/>
      <w:marLeft w:val="0"/>
      <w:marRight w:val="0"/>
      <w:marTop w:val="0"/>
      <w:marBottom w:val="0"/>
      <w:divBdr>
        <w:top w:val="none" w:sz="0" w:space="0" w:color="auto"/>
        <w:left w:val="none" w:sz="0" w:space="0" w:color="auto"/>
        <w:bottom w:val="none" w:sz="0" w:space="0" w:color="auto"/>
        <w:right w:val="none" w:sz="0" w:space="0" w:color="auto"/>
      </w:divBdr>
    </w:div>
    <w:div w:id="21167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5B67-F60B-4BBE-A5FB-CFB4280B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Tanja Y. (CDC/OID/NCIRD)</dc:creator>
  <cp:keywords/>
  <dc:description/>
  <cp:lastModifiedBy>Walker, Tanja Y. (CDC/OID/NCIRD)</cp:lastModifiedBy>
  <cp:revision>2</cp:revision>
  <cp:lastPrinted>2018-08-10T13:47:00Z</cp:lastPrinted>
  <dcterms:created xsi:type="dcterms:W3CDTF">2018-08-14T14:54:00Z</dcterms:created>
  <dcterms:modified xsi:type="dcterms:W3CDTF">2018-08-14T14:54:00Z</dcterms:modified>
</cp:coreProperties>
</file>