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0FDB2" w14:textId="6C1AC47F" w:rsidR="00047EDF" w:rsidRPr="009F5F00" w:rsidRDefault="00047EDF" w:rsidP="00047EDF">
      <w:pPr>
        <w:spacing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Supplemental Web </w:t>
      </w:r>
      <w:r w:rsidRPr="009F5F00">
        <w:rPr>
          <w:rFonts w:ascii="Times New Roman" w:hAnsi="Times New Roman"/>
          <w:b/>
          <w:sz w:val="24"/>
          <w:szCs w:val="24"/>
        </w:rPr>
        <w:t xml:space="preserve">Table. </w:t>
      </w:r>
      <w:r w:rsidRPr="009F5F00">
        <w:rPr>
          <w:rFonts w:ascii="Times New Roman" w:hAnsi="Times New Roman"/>
          <w:sz w:val="24"/>
          <w:szCs w:val="24"/>
        </w:rPr>
        <w:t xml:space="preserve">National Violent Death Reporting System Definitions of Precipitating and Preceding Circumstances of Suicide 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6300"/>
      </w:tblGrid>
      <w:tr w:rsidR="00047EDF" w:rsidRPr="009F5F00" w14:paraId="1D34A08D" w14:textId="77777777" w:rsidTr="00C5273C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18948" w14:textId="77777777" w:rsidR="00047EDF" w:rsidRPr="009F5F00" w:rsidRDefault="00047EDF" w:rsidP="00C5273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F5F00">
              <w:rPr>
                <w:rFonts w:ascii="Times New Roman" w:hAnsi="Times New Roman"/>
                <w:sz w:val="24"/>
                <w:szCs w:val="24"/>
              </w:rPr>
              <w:t>Precipitating Circumstance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2F4C4D0C" w14:textId="77777777" w:rsidR="00047EDF" w:rsidRPr="009F5F00" w:rsidRDefault="00047EDF" w:rsidP="00C5273C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00">
              <w:rPr>
                <w:rFonts w:ascii="Times New Roman" w:hAnsi="Times New Roman"/>
                <w:sz w:val="24"/>
                <w:szCs w:val="24"/>
              </w:rPr>
              <w:t>Definition</w:t>
            </w:r>
          </w:p>
        </w:tc>
      </w:tr>
      <w:tr w:rsidR="00047EDF" w:rsidRPr="009F5F00" w14:paraId="5AFAD33F" w14:textId="77777777" w:rsidTr="00C5273C">
        <w:tc>
          <w:tcPr>
            <w:tcW w:w="30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FFF6E0" w14:textId="77777777" w:rsidR="00047EDF" w:rsidRPr="009F5F00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00">
              <w:rPr>
                <w:rFonts w:ascii="Times New Roman" w:hAnsi="Times New Roman"/>
                <w:sz w:val="24"/>
                <w:szCs w:val="24"/>
              </w:rPr>
              <w:t>Mental Health Problems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AEA4F3" w14:textId="77777777" w:rsidR="00047EDF" w:rsidRPr="009F5F00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00">
              <w:rPr>
                <w:rFonts w:ascii="Times New Roman" w:hAnsi="Times New Roman"/>
                <w:sz w:val="24"/>
                <w:szCs w:val="24"/>
              </w:rPr>
              <w:t>Decedent was perceived by self or others to be depressed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5F00">
              <w:rPr>
                <w:rFonts w:ascii="Times New Roman" w:hAnsi="Times New Roman"/>
                <w:sz w:val="24"/>
                <w:szCs w:val="24"/>
              </w:rPr>
              <w:t xml:space="preserve"> or had been identified as having a mental health disorder or syndrome listed in the Diagnostic and Statistical Manual of Mental Disorders, with the exception of alcohol and other substance dependence.</w:t>
            </w:r>
          </w:p>
        </w:tc>
      </w:tr>
      <w:tr w:rsidR="00047EDF" w:rsidRPr="009F5F00" w14:paraId="48448702" w14:textId="77777777" w:rsidTr="00C5273C">
        <w:tc>
          <w:tcPr>
            <w:tcW w:w="3060" w:type="dxa"/>
          </w:tcPr>
          <w:p w14:paraId="6386F0FA" w14:textId="77777777" w:rsidR="00047EDF" w:rsidRPr="009F5F00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Current Depressed Mood</w:t>
            </w:r>
          </w:p>
        </w:tc>
        <w:tc>
          <w:tcPr>
            <w:tcW w:w="6300" w:type="dxa"/>
          </w:tcPr>
          <w:p w14:paraId="4AD77F89" w14:textId="77777777" w:rsidR="00047EDF" w:rsidRPr="009F5F00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Decedent was perceived by self or others to be depressed at the time of death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7EDF" w:rsidRPr="009F5F00" w14:paraId="4D3BB923" w14:textId="77777777" w:rsidTr="00C5273C">
        <w:tc>
          <w:tcPr>
            <w:tcW w:w="3060" w:type="dxa"/>
            <w:shd w:val="clear" w:color="auto" w:fill="D9D9D9" w:themeFill="background1" w:themeFillShade="D9"/>
          </w:tcPr>
          <w:p w14:paraId="07FC2236" w14:textId="77777777" w:rsidR="00047EDF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History of Mental Health Treatment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14:paraId="6EB913DB" w14:textId="77777777" w:rsidR="00047EDF" w:rsidRPr="009F5F00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Decedent had a history of mental health treatments, such as having been hospitalized for psychiatric problems or receiving therapy for mental health problems.</w:t>
            </w:r>
          </w:p>
        </w:tc>
      </w:tr>
      <w:tr w:rsidR="00047EDF" w:rsidRPr="009F5F00" w14:paraId="7DE6C06B" w14:textId="77777777" w:rsidTr="00C5273C">
        <w:tc>
          <w:tcPr>
            <w:tcW w:w="3060" w:type="dxa"/>
          </w:tcPr>
          <w:p w14:paraId="073A41DE" w14:textId="77777777" w:rsidR="00047EDF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Current Mental Health Treatment</w:t>
            </w:r>
          </w:p>
        </w:tc>
        <w:tc>
          <w:tcPr>
            <w:tcW w:w="6300" w:type="dxa"/>
          </w:tcPr>
          <w:p w14:paraId="60FDA66E" w14:textId="77777777" w:rsidR="00047EDF" w:rsidRPr="009F5F00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Decedent was receiving mental health treatment around the time of death.</w:t>
            </w:r>
          </w:p>
        </w:tc>
      </w:tr>
      <w:tr w:rsidR="00047EDF" w:rsidRPr="009F5F00" w14:paraId="057D4411" w14:textId="77777777" w:rsidTr="00C5273C">
        <w:tc>
          <w:tcPr>
            <w:tcW w:w="3060" w:type="dxa"/>
            <w:shd w:val="clear" w:color="auto" w:fill="D9D9D9" w:themeFill="background1" w:themeFillShade="D9"/>
          </w:tcPr>
          <w:p w14:paraId="1870CFBF" w14:textId="77777777" w:rsidR="00047EDF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History of Suicide Attempt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14:paraId="3ADE8411" w14:textId="77777777" w:rsidR="00047EDF" w:rsidRPr="009F5F00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Decedent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was known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to have made previous suicide attempts, regardless of the severity of those attempts.</w:t>
            </w:r>
          </w:p>
        </w:tc>
      </w:tr>
      <w:tr w:rsidR="00047EDF" w:rsidRPr="009F5F00" w14:paraId="7AE75244" w14:textId="77777777" w:rsidTr="00C5273C">
        <w:tc>
          <w:tcPr>
            <w:tcW w:w="3060" w:type="dxa"/>
          </w:tcPr>
          <w:p w14:paraId="31A8E305" w14:textId="77777777" w:rsidR="00047EDF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Alcohol Use Problems</w:t>
            </w:r>
          </w:p>
        </w:tc>
        <w:tc>
          <w:tcPr>
            <w:tcW w:w="6300" w:type="dxa"/>
          </w:tcPr>
          <w:p w14:paraId="3719FC0D" w14:textId="77777777" w:rsidR="00047EDF" w:rsidRPr="009F5F00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Decedent was perceived by self or others to have a problem with, or to be addicted to alcohol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7EDF" w:rsidRPr="009F5F00" w14:paraId="238DE520" w14:textId="77777777" w:rsidTr="00C5273C">
        <w:tc>
          <w:tcPr>
            <w:tcW w:w="3060" w:type="dxa"/>
            <w:shd w:val="clear" w:color="auto" w:fill="D9D9D9" w:themeFill="background1" w:themeFillShade="D9"/>
          </w:tcPr>
          <w:p w14:paraId="174BE8DA" w14:textId="77777777" w:rsidR="00047EDF" w:rsidRPr="009F5F00" w:rsidRDefault="00047EDF" w:rsidP="00C527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</w:t>
            </w:r>
            <w:r w:rsidRPr="009F5F00">
              <w:rPr>
                <w:rFonts w:ascii="Times New Roman" w:hAnsi="Times New Roman"/>
                <w:sz w:val="24"/>
                <w:szCs w:val="24"/>
              </w:rPr>
              <w:t xml:space="preserve"> Substance </w:t>
            </w:r>
            <w:r>
              <w:rPr>
                <w:rFonts w:ascii="Times New Roman" w:hAnsi="Times New Roman"/>
                <w:sz w:val="24"/>
                <w:szCs w:val="24"/>
              </w:rPr>
              <w:t>Abu</w:t>
            </w:r>
            <w:r w:rsidRPr="009F5F00">
              <w:rPr>
                <w:rFonts w:ascii="Times New Roman" w:hAnsi="Times New Roman"/>
                <w:sz w:val="24"/>
                <w:szCs w:val="24"/>
              </w:rPr>
              <w:t xml:space="preserve">se Problems 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14:paraId="5630A745" w14:textId="77777777" w:rsidR="00047EDF" w:rsidRPr="009F5F00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F00">
              <w:rPr>
                <w:rFonts w:ascii="Times New Roman" w:hAnsi="Times New Roman"/>
                <w:sz w:val="24"/>
                <w:szCs w:val="24"/>
              </w:rPr>
              <w:t>Decedent was perceived by self or others to have a problem with, or to be addicted to drugs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substances other than alcohol or tobacco</w:t>
            </w:r>
            <w:proofErr w:type="gramEnd"/>
            <w:r w:rsidRPr="009F5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47EDF" w:rsidRPr="00900C39" w14:paraId="11A25013" w14:textId="77777777" w:rsidTr="00C5273C">
        <w:tc>
          <w:tcPr>
            <w:tcW w:w="3060" w:type="dxa"/>
          </w:tcPr>
          <w:p w14:paraId="159BB50D" w14:textId="77777777" w:rsidR="00047EDF" w:rsidRDefault="00047EDF" w:rsidP="00C527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Alcohol Use Immediately Prior to Suicide</w:t>
            </w:r>
          </w:p>
        </w:tc>
        <w:tc>
          <w:tcPr>
            <w:tcW w:w="6300" w:type="dxa"/>
          </w:tcPr>
          <w:p w14:paraId="117D5E96" w14:textId="77777777" w:rsidR="00047EDF" w:rsidRPr="003F08A2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Witness or investigator reports (such as law enforcement notes) or circumstantial evidence (e.g., empty alcohol bottles around suicide decedent)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indicate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that the decedent had been using alcohol in the hours preceding the suicide.</w:t>
            </w:r>
          </w:p>
        </w:tc>
      </w:tr>
      <w:tr w:rsidR="00047EDF" w:rsidRPr="009F5F00" w14:paraId="29DA54E7" w14:textId="77777777" w:rsidTr="00C5273C">
        <w:tc>
          <w:tcPr>
            <w:tcW w:w="3060" w:type="dxa"/>
            <w:shd w:val="clear" w:color="auto" w:fill="D9D9D9" w:themeFill="background1" w:themeFillShade="D9"/>
          </w:tcPr>
          <w:p w14:paraId="1AE6A97E" w14:textId="77777777" w:rsidR="00047EDF" w:rsidRPr="009F5F00" w:rsidRDefault="00047EDF" w:rsidP="00C527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F00">
              <w:rPr>
                <w:rFonts w:ascii="Times New Roman" w:hAnsi="Times New Roman"/>
                <w:sz w:val="24"/>
                <w:szCs w:val="24"/>
              </w:rPr>
              <w:t>Intimate Partner Problems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14:paraId="1E011048" w14:textId="77777777" w:rsidR="00047EDF" w:rsidRPr="009F5F00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00">
              <w:rPr>
                <w:rFonts w:ascii="Times New Roman" w:hAnsi="Times New Roman"/>
                <w:sz w:val="24"/>
                <w:szCs w:val="24"/>
              </w:rPr>
              <w:t>Decedent was having problems with a current or former intimate partner, and these problems appeared to have contributed to the suicide.</w:t>
            </w:r>
          </w:p>
        </w:tc>
      </w:tr>
      <w:tr w:rsidR="00047EDF" w:rsidRPr="009F5F00" w14:paraId="0887B370" w14:textId="77777777" w:rsidTr="00C5273C">
        <w:tc>
          <w:tcPr>
            <w:tcW w:w="3060" w:type="dxa"/>
          </w:tcPr>
          <w:p w14:paraId="37F7E4FB" w14:textId="77777777" w:rsidR="00047EDF" w:rsidRPr="009F5F00" w:rsidRDefault="00047EDF" w:rsidP="00C527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F00">
              <w:rPr>
                <w:rFonts w:ascii="Times New Roman" w:hAnsi="Times New Roman"/>
                <w:sz w:val="24"/>
                <w:szCs w:val="24"/>
              </w:rPr>
              <w:t>Other Relationship Problems</w:t>
            </w:r>
          </w:p>
        </w:tc>
        <w:tc>
          <w:tcPr>
            <w:tcW w:w="6300" w:type="dxa"/>
          </w:tcPr>
          <w:p w14:paraId="3C183A77" w14:textId="77777777" w:rsidR="00047EDF" w:rsidRPr="009F5F00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00">
              <w:rPr>
                <w:rFonts w:ascii="Times New Roman" w:hAnsi="Times New Roman"/>
                <w:sz w:val="24"/>
                <w:szCs w:val="24"/>
              </w:rPr>
              <w:t>Decedent was having problems with a family member, friend, or associate (other than a current or former intimate partner), and these problems appeared to have contributed to the suicide.</w:t>
            </w:r>
          </w:p>
        </w:tc>
      </w:tr>
      <w:tr w:rsidR="00047EDF" w:rsidRPr="009F5F00" w14:paraId="313F0C0D" w14:textId="77777777" w:rsidTr="00C5273C">
        <w:tc>
          <w:tcPr>
            <w:tcW w:w="3060" w:type="dxa"/>
            <w:shd w:val="clear" w:color="auto" w:fill="D9D9D9" w:themeFill="background1" w:themeFillShade="D9"/>
          </w:tcPr>
          <w:p w14:paraId="58FB78BF" w14:textId="77777777" w:rsidR="00047EDF" w:rsidRPr="009F5F00" w:rsidRDefault="00047EDF" w:rsidP="00C527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F00">
              <w:rPr>
                <w:rFonts w:ascii="Times New Roman" w:hAnsi="Times New Roman"/>
                <w:sz w:val="24"/>
                <w:szCs w:val="24"/>
              </w:rPr>
              <w:t>Financial Problems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14:paraId="425425E8" w14:textId="77777777" w:rsidR="00047EDF" w:rsidRPr="009F5F00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00">
              <w:rPr>
                <w:rFonts w:ascii="Times New Roman" w:hAnsi="Times New Roman"/>
                <w:sz w:val="24"/>
                <w:szCs w:val="24"/>
              </w:rPr>
              <w:t>Decedent was experiencing problems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5F00">
              <w:rPr>
                <w:rFonts w:ascii="Times New Roman" w:hAnsi="Times New Roman"/>
                <w:sz w:val="24"/>
                <w:szCs w:val="24"/>
              </w:rPr>
              <w:t xml:space="preserve"> such as bankruptcy, overwhelming debt, or foreclosure of a home or business.</w:t>
            </w:r>
          </w:p>
        </w:tc>
      </w:tr>
      <w:tr w:rsidR="00047EDF" w:rsidRPr="009F5F00" w14:paraId="738CE6E4" w14:textId="77777777" w:rsidTr="00C5273C">
        <w:tc>
          <w:tcPr>
            <w:tcW w:w="3060" w:type="dxa"/>
          </w:tcPr>
          <w:p w14:paraId="5ABE0F3C" w14:textId="77777777" w:rsidR="00047EDF" w:rsidRDefault="00047EDF" w:rsidP="00C527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Eviction or Loss of Housing</w:t>
            </w:r>
          </w:p>
        </w:tc>
        <w:tc>
          <w:tcPr>
            <w:tcW w:w="6300" w:type="dxa"/>
          </w:tcPr>
          <w:p w14:paraId="485B59B2" w14:textId="77777777" w:rsidR="00047EDF" w:rsidRPr="009F5F00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recent eviction or other loss of housing, or the threat of it, appears to have contributed to the decedent’s death.</w:t>
            </w:r>
          </w:p>
        </w:tc>
      </w:tr>
      <w:tr w:rsidR="00047EDF" w:rsidRPr="009F5F00" w14:paraId="1012ABC2" w14:textId="77777777" w:rsidTr="00C5273C">
        <w:tc>
          <w:tcPr>
            <w:tcW w:w="3060" w:type="dxa"/>
            <w:shd w:val="clear" w:color="auto" w:fill="D9D9D9" w:themeFill="background1" w:themeFillShade="D9"/>
          </w:tcPr>
          <w:p w14:paraId="7F82A1E0" w14:textId="77777777" w:rsidR="00047EDF" w:rsidRPr="009F5F00" w:rsidRDefault="00047EDF" w:rsidP="00C527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F00">
              <w:rPr>
                <w:rFonts w:ascii="Times New Roman" w:hAnsi="Times New Roman"/>
                <w:sz w:val="24"/>
                <w:szCs w:val="24"/>
              </w:rPr>
              <w:t>Job Problems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14:paraId="518901B0" w14:textId="77777777" w:rsidR="00047EDF" w:rsidRPr="009F5F00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00">
              <w:rPr>
                <w:rFonts w:ascii="Times New Roman" w:hAnsi="Times New Roman"/>
                <w:sz w:val="24"/>
                <w:szCs w:val="24"/>
              </w:rPr>
              <w:t xml:space="preserve">Decedent </w:t>
            </w:r>
            <w:proofErr w:type="gramStart"/>
            <w:r w:rsidRPr="009F5F00">
              <w:rPr>
                <w:rFonts w:ascii="Times New Roman" w:hAnsi="Times New Roman"/>
                <w:sz w:val="24"/>
                <w:szCs w:val="24"/>
              </w:rPr>
              <w:t>was either</w:t>
            </w:r>
            <w:proofErr w:type="gramEnd"/>
            <w:r w:rsidRPr="009F5F00">
              <w:rPr>
                <w:rFonts w:ascii="Times New Roman" w:hAnsi="Times New Roman"/>
                <w:sz w:val="24"/>
                <w:szCs w:val="24"/>
              </w:rPr>
              <w:t xml:space="preserve"> experiencing a recent problem at work or was having a problem with joblessness. </w:t>
            </w:r>
          </w:p>
        </w:tc>
      </w:tr>
      <w:tr w:rsidR="00047EDF" w:rsidRPr="009F5F00" w14:paraId="61D25E42" w14:textId="77777777" w:rsidTr="00C5273C">
        <w:tc>
          <w:tcPr>
            <w:tcW w:w="3060" w:type="dxa"/>
          </w:tcPr>
          <w:p w14:paraId="3753FDC1" w14:textId="77777777" w:rsidR="00047EDF" w:rsidRPr="009F5F00" w:rsidRDefault="00047EDF" w:rsidP="00C527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5F00">
              <w:rPr>
                <w:rFonts w:ascii="Times New Roman" w:hAnsi="Times New Roman"/>
                <w:sz w:val="24"/>
                <w:szCs w:val="24"/>
              </w:rPr>
              <w:t>Criminal or Civil Legal Problems</w:t>
            </w:r>
          </w:p>
        </w:tc>
        <w:tc>
          <w:tcPr>
            <w:tcW w:w="6300" w:type="dxa"/>
          </w:tcPr>
          <w:p w14:paraId="2C3AAB82" w14:textId="77777777" w:rsidR="00047EDF" w:rsidRPr="009F5F00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00">
              <w:rPr>
                <w:rFonts w:ascii="Times New Roman" w:hAnsi="Times New Roman"/>
                <w:sz w:val="24"/>
                <w:szCs w:val="24"/>
              </w:rPr>
              <w:t>Decedent was facing criminal legal problems or civil legal problems (e.g., a child custody or civil lawsuit) that appeared to be associated with the suicide.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7EDF" w:rsidRPr="009F5F00" w14:paraId="603A9CED" w14:textId="77777777" w:rsidTr="00C5273C">
        <w:tc>
          <w:tcPr>
            <w:tcW w:w="3060" w:type="dxa"/>
            <w:shd w:val="clear" w:color="auto" w:fill="D9D9D9" w:themeFill="background1" w:themeFillShade="D9"/>
          </w:tcPr>
          <w:p w14:paraId="5E77077B" w14:textId="77777777" w:rsidR="00047EDF" w:rsidRDefault="00047EDF" w:rsidP="00C527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Recent Crisis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14:paraId="1766DD0B" w14:textId="77777777" w:rsidR="00047EDF" w:rsidRPr="009F5F00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Decedent experienced a crisis within 2 weeks of the death, or a crisis was imminent within 2 weeks of the incident that was not associated with another circumstance variable. For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example, a recent crisis could include having divorce papers delivered the morning of the suicide, or an elderly person finding out the day before the suicide that he has to go to a nursing home.</w:t>
            </w:r>
          </w:p>
        </w:tc>
      </w:tr>
      <w:tr w:rsidR="00047EDF" w:rsidRPr="009F5F00" w14:paraId="27ECC0F6" w14:textId="77777777" w:rsidTr="00C5273C">
        <w:tc>
          <w:tcPr>
            <w:tcW w:w="3060" w:type="dxa"/>
          </w:tcPr>
          <w:p w14:paraId="43A31733" w14:textId="77777777" w:rsidR="00047EDF" w:rsidRDefault="00047EDF" w:rsidP="00C527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Left a Suicide Note</w:t>
            </w:r>
          </w:p>
        </w:tc>
        <w:tc>
          <w:tcPr>
            <w:tcW w:w="6300" w:type="dxa"/>
          </w:tcPr>
          <w:p w14:paraId="62BDD6F8" w14:textId="77777777" w:rsidR="00047EDF" w:rsidRPr="009F5F00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Decedent</w:t>
            </w:r>
            <w:r w:rsidRPr="00F83DEB">
              <w:rPr>
                <w:rFonts w:ascii="Times New Roman" w:hAnsi="Times New Roman"/>
                <w:sz w:val="24"/>
                <w:szCs w:val="24"/>
              </w:rPr>
              <w:t xml:space="preserve"> left a suicide note (or other recorded communication).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suicide</w:t>
            </w:r>
            <w:r w:rsidRPr="00F83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83DEB">
              <w:rPr>
                <w:rFonts w:ascii="Times New Roman" w:hAnsi="Times New Roman"/>
                <w:sz w:val="24"/>
                <w:szCs w:val="24"/>
              </w:rPr>
              <w:t>ote can be written or electronic.</w:t>
            </w:r>
          </w:p>
        </w:tc>
      </w:tr>
      <w:tr w:rsidR="00047EDF" w:rsidRPr="009F5F00" w14:paraId="766CAAA1" w14:textId="77777777" w:rsidTr="00C5273C">
        <w:tc>
          <w:tcPr>
            <w:tcW w:w="3060" w:type="dxa"/>
            <w:shd w:val="clear" w:color="auto" w:fill="D9D9D9" w:themeFill="background1" w:themeFillShade="D9"/>
          </w:tcPr>
          <w:p w14:paraId="40B3612D" w14:textId="77777777" w:rsidR="00047EDF" w:rsidRDefault="00047EDF" w:rsidP="00C527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Disclosed History of Suicidal Thoughts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14:paraId="3CA3E3F3" w14:textId="77777777" w:rsidR="00047EDF" w:rsidRPr="009F5F00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Decedent</w:t>
            </w:r>
            <w:r w:rsidRPr="00F83DEB">
              <w:rPr>
                <w:rFonts w:ascii="Times New Roman" w:hAnsi="Times New Roman"/>
                <w:sz w:val="24"/>
                <w:szCs w:val="24"/>
              </w:rPr>
              <w:t xml:space="preserve"> disclosed </w:t>
            </w:r>
            <w:proofErr w:type="gramStart"/>
            <w:r w:rsidRPr="00F83DEB">
              <w:rPr>
                <w:rFonts w:ascii="Times New Roman" w:hAnsi="Times New Roman"/>
                <w:sz w:val="24"/>
                <w:szCs w:val="24"/>
              </w:rPr>
              <w:t>their thoughts or plans to commit suicide to another person</w:t>
            </w:r>
            <w:proofErr w:type="gramEnd"/>
            <w:r w:rsidRPr="00F83DEB">
              <w:rPr>
                <w:rFonts w:ascii="Times New Roman" w:hAnsi="Times New Roman"/>
                <w:sz w:val="24"/>
                <w:szCs w:val="24"/>
              </w:rPr>
              <w:t>. Disclosure of suicidal thoughts or plan can be verbal, written or electronic.</w:t>
            </w:r>
          </w:p>
        </w:tc>
      </w:tr>
      <w:tr w:rsidR="00047EDF" w:rsidRPr="00900C39" w14:paraId="64A72651" w14:textId="77777777" w:rsidTr="00C5273C">
        <w:tc>
          <w:tcPr>
            <w:tcW w:w="3060" w:type="dxa"/>
            <w:tcBorders>
              <w:bottom w:val="single" w:sz="4" w:space="0" w:color="auto"/>
            </w:tcBorders>
          </w:tcPr>
          <w:p w14:paraId="41DADC06" w14:textId="77777777" w:rsidR="00047EDF" w:rsidRDefault="00047EDF" w:rsidP="00C527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Disclosed History of Suicidal Intent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04379DA3" w14:textId="77777777" w:rsidR="00047EDF" w:rsidRPr="003F08A2" w:rsidRDefault="00047EDF" w:rsidP="00C5273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Decedent disclosed intentions to commit suicide to another person. Not coded if this intent was only at the moment of the suicide. Not coded if this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was only disclosed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in a suicide note (coded as “Left a Suicide Note”). </w:t>
            </w:r>
          </w:p>
        </w:tc>
      </w:tr>
    </w:tbl>
    <w:p w14:paraId="1BFB8B12" w14:textId="5E91280F" w:rsidR="00047EDF" w:rsidRPr="004C4D1F" w:rsidRDefault="00047EDF" w:rsidP="00246CD5">
      <w:pPr>
        <w:autoSpaceDE w:val="0"/>
        <w:autoSpaceDN w:val="0"/>
        <w:adjustRightInd w:val="0"/>
        <w:spacing w:after="0" w:line="240" w:lineRule="auto"/>
        <w:ind w:left="-360"/>
        <w:rPr>
          <w:sz w:val="20"/>
          <w:szCs w:val="20"/>
        </w:rPr>
      </w:pPr>
    </w:p>
    <w:sectPr w:rsidR="00047EDF" w:rsidRPr="004C4D1F" w:rsidSect="00047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2A91E" w14:textId="77777777" w:rsidR="006E673D" w:rsidRDefault="006E673D" w:rsidP="008B5D54">
      <w:pPr>
        <w:spacing w:after="0" w:line="240" w:lineRule="auto"/>
      </w:pPr>
      <w:r>
        <w:separator/>
      </w:r>
    </w:p>
  </w:endnote>
  <w:endnote w:type="continuationSeparator" w:id="0">
    <w:p w14:paraId="33C25A44" w14:textId="77777777" w:rsidR="006E673D" w:rsidRDefault="006E673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HLGB M+ Cheltenham">
    <w:altName w:val="Cheltenha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D5E5" w14:textId="77777777" w:rsidR="006E673D" w:rsidRDefault="006E6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A3376" w14:textId="77777777" w:rsidR="006E673D" w:rsidRDefault="006E67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65026" w14:textId="77777777" w:rsidR="006E673D" w:rsidRDefault="006E6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73675" w14:textId="77777777" w:rsidR="006E673D" w:rsidRDefault="006E673D" w:rsidP="008B5D54">
      <w:pPr>
        <w:spacing w:after="0" w:line="240" w:lineRule="auto"/>
      </w:pPr>
      <w:r>
        <w:separator/>
      </w:r>
    </w:p>
  </w:footnote>
  <w:footnote w:type="continuationSeparator" w:id="0">
    <w:p w14:paraId="2903E5B5" w14:textId="77777777" w:rsidR="006E673D" w:rsidRDefault="006E673D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17341" w14:textId="77777777" w:rsidR="006E673D" w:rsidRDefault="006E6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41885" w14:textId="77777777" w:rsidR="006E673D" w:rsidRDefault="006E67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57A26" w14:textId="77777777" w:rsidR="006E673D" w:rsidRDefault="006E6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6E0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B0B3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968E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BAD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BC09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9828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AE61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0E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F8E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3E1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1AF2"/>
    <w:multiLevelType w:val="hybridMultilevel"/>
    <w:tmpl w:val="AB426DA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33B9B"/>
    <w:multiLevelType w:val="multilevel"/>
    <w:tmpl w:val="CBBA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3C2DA9"/>
    <w:multiLevelType w:val="multilevel"/>
    <w:tmpl w:val="ADEC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3A3708"/>
    <w:multiLevelType w:val="hybridMultilevel"/>
    <w:tmpl w:val="FDDCA118"/>
    <w:lvl w:ilvl="0" w:tplc="413CEE6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A6179"/>
    <w:multiLevelType w:val="hybridMultilevel"/>
    <w:tmpl w:val="C4CC479C"/>
    <w:lvl w:ilvl="0" w:tplc="1EBC731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F071E1"/>
    <w:multiLevelType w:val="hybridMultilevel"/>
    <w:tmpl w:val="ACEA3C1A"/>
    <w:lvl w:ilvl="0" w:tplc="9604C5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041DF"/>
    <w:multiLevelType w:val="hybridMultilevel"/>
    <w:tmpl w:val="38C6676A"/>
    <w:lvl w:ilvl="0" w:tplc="7AE046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F4F19"/>
    <w:multiLevelType w:val="multilevel"/>
    <w:tmpl w:val="93E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920628"/>
    <w:multiLevelType w:val="multilevel"/>
    <w:tmpl w:val="DAF8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FF46D6"/>
    <w:multiLevelType w:val="hybridMultilevel"/>
    <w:tmpl w:val="00A2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E41D5"/>
    <w:multiLevelType w:val="hybridMultilevel"/>
    <w:tmpl w:val="A32C4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4D53EB"/>
    <w:multiLevelType w:val="hybridMultilevel"/>
    <w:tmpl w:val="A806901E"/>
    <w:lvl w:ilvl="0" w:tplc="EB9C61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10988"/>
    <w:multiLevelType w:val="hybridMultilevel"/>
    <w:tmpl w:val="1A92A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661B3C"/>
    <w:multiLevelType w:val="hybridMultilevel"/>
    <w:tmpl w:val="2BBC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91CB7"/>
    <w:multiLevelType w:val="hybridMultilevel"/>
    <w:tmpl w:val="0BDA020E"/>
    <w:lvl w:ilvl="0" w:tplc="B3EA9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94CFB"/>
    <w:multiLevelType w:val="multilevel"/>
    <w:tmpl w:val="FB5E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F5C7C"/>
    <w:multiLevelType w:val="hybridMultilevel"/>
    <w:tmpl w:val="C4163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56D1A"/>
    <w:multiLevelType w:val="hybridMultilevel"/>
    <w:tmpl w:val="E870D642"/>
    <w:lvl w:ilvl="0" w:tplc="89F60BAA"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1819F4"/>
    <w:multiLevelType w:val="hybridMultilevel"/>
    <w:tmpl w:val="94C48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7"/>
  </w:num>
  <w:num w:numId="4">
    <w:abstractNumId w:val="22"/>
  </w:num>
  <w:num w:numId="5">
    <w:abstractNumId w:val="26"/>
  </w:num>
  <w:num w:numId="6">
    <w:abstractNumId w:val="20"/>
  </w:num>
  <w:num w:numId="7">
    <w:abstractNumId w:val="14"/>
  </w:num>
  <w:num w:numId="8">
    <w:abstractNumId w:val="17"/>
  </w:num>
  <w:num w:numId="9">
    <w:abstractNumId w:val="12"/>
  </w:num>
  <w:num w:numId="10">
    <w:abstractNumId w:val="13"/>
  </w:num>
  <w:num w:numId="11">
    <w:abstractNumId w:val="18"/>
  </w:num>
  <w:num w:numId="12">
    <w:abstractNumId w:val="2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24"/>
  </w:num>
  <w:num w:numId="25">
    <w:abstractNumId w:val="19"/>
  </w:num>
  <w:num w:numId="26">
    <w:abstractNumId w:val="10"/>
  </w:num>
  <w:num w:numId="27">
    <w:abstractNumId w:val="28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5xf5a5f2f0we8e05fb50xv5wxtv99dxrta9&quot;&gt;Chronic disease library&lt;record-ids&gt;&lt;item&gt;178&lt;/item&gt;&lt;item&gt;179&lt;/item&gt;&lt;item&gt;180&lt;/item&gt;&lt;item&gt;181&lt;/item&gt;&lt;item&gt;182&lt;/item&gt;&lt;item&gt;183&lt;/item&gt;&lt;item&gt;184&lt;/item&gt;&lt;item&gt;185&lt;/item&gt;&lt;item&gt;186&lt;/item&gt;&lt;item&gt;187&lt;/item&gt;&lt;item&gt;188&lt;/item&gt;&lt;item&gt;189&lt;/item&gt;&lt;item&gt;206&lt;/item&gt;&lt;item&gt;207&lt;/item&gt;&lt;item&gt;209&lt;/item&gt;&lt;item&gt;210&lt;/item&gt;&lt;item&gt;211&lt;/item&gt;&lt;/record-ids&gt;&lt;/item&gt;&lt;/Libraries&gt;"/>
  </w:docVars>
  <w:rsids>
    <w:rsidRoot w:val="004C267C"/>
    <w:rsid w:val="000030BD"/>
    <w:rsid w:val="00006262"/>
    <w:rsid w:val="00007D10"/>
    <w:rsid w:val="00011305"/>
    <w:rsid w:val="00011535"/>
    <w:rsid w:val="00017A6E"/>
    <w:rsid w:val="00025B39"/>
    <w:rsid w:val="00036162"/>
    <w:rsid w:val="00037D33"/>
    <w:rsid w:val="00047EDF"/>
    <w:rsid w:val="00062ACF"/>
    <w:rsid w:val="00063E04"/>
    <w:rsid w:val="00067531"/>
    <w:rsid w:val="000726A6"/>
    <w:rsid w:val="0008315A"/>
    <w:rsid w:val="00091F04"/>
    <w:rsid w:val="000A254B"/>
    <w:rsid w:val="000A7B61"/>
    <w:rsid w:val="000B2112"/>
    <w:rsid w:val="000C0C6F"/>
    <w:rsid w:val="000C5CAE"/>
    <w:rsid w:val="000C6D99"/>
    <w:rsid w:val="000D3869"/>
    <w:rsid w:val="000E16FC"/>
    <w:rsid w:val="000E267A"/>
    <w:rsid w:val="000E5AEF"/>
    <w:rsid w:val="000E6EA8"/>
    <w:rsid w:val="000E738B"/>
    <w:rsid w:val="000F7A19"/>
    <w:rsid w:val="00105E00"/>
    <w:rsid w:val="001137A9"/>
    <w:rsid w:val="001144E8"/>
    <w:rsid w:val="00116082"/>
    <w:rsid w:val="001171D5"/>
    <w:rsid w:val="001344D0"/>
    <w:rsid w:val="00177343"/>
    <w:rsid w:val="001915D7"/>
    <w:rsid w:val="00193027"/>
    <w:rsid w:val="001A6C39"/>
    <w:rsid w:val="001B6C7E"/>
    <w:rsid w:val="001C5BF6"/>
    <w:rsid w:val="001D024A"/>
    <w:rsid w:val="001D3BAA"/>
    <w:rsid w:val="001D5275"/>
    <w:rsid w:val="001E0228"/>
    <w:rsid w:val="001F0F5E"/>
    <w:rsid w:val="001F5A35"/>
    <w:rsid w:val="001F7021"/>
    <w:rsid w:val="002074B8"/>
    <w:rsid w:val="0021154B"/>
    <w:rsid w:val="00226E83"/>
    <w:rsid w:val="002371B3"/>
    <w:rsid w:val="00246CD5"/>
    <w:rsid w:val="00277211"/>
    <w:rsid w:val="00295098"/>
    <w:rsid w:val="00295143"/>
    <w:rsid w:val="002A105C"/>
    <w:rsid w:val="002A3140"/>
    <w:rsid w:val="002C7997"/>
    <w:rsid w:val="002D0121"/>
    <w:rsid w:val="002D1AD9"/>
    <w:rsid w:val="002D67C5"/>
    <w:rsid w:val="002E094F"/>
    <w:rsid w:val="002E0FEA"/>
    <w:rsid w:val="002E4656"/>
    <w:rsid w:val="002F18DB"/>
    <w:rsid w:val="003022EE"/>
    <w:rsid w:val="003060B8"/>
    <w:rsid w:val="003121E7"/>
    <w:rsid w:val="00322952"/>
    <w:rsid w:val="0032537C"/>
    <w:rsid w:val="00335177"/>
    <w:rsid w:val="003520DE"/>
    <w:rsid w:val="00352B12"/>
    <w:rsid w:val="003606D8"/>
    <w:rsid w:val="0036494C"/>
    <w:rsid w:val="003726CD"/>
    <w:rsid w:val="0037350C"/>
    <w:rsid w:val="00384C45"/>
    <w:rsid w:val="00390662"/>
    <w:rsid w:val="003A0218"/>
    <w:rsid w:val="003A3630"/>
    <w:rsid w:val="003A3A16"/>
    <w:rsid w:val="003C124D"/>
    <w:rsid w:val="003E0704"/>
    <w:rsid w:val="003E29DC"/>
    <w:rsid w:val="003E5765"/>
    <w:rsid w:val="003E6BB5"/>
    <w:rsid w:val="00414098"/>
    <w:rsid w:val="004226EA"/>
    <w:rsid w:val="00427F1D"/>
    <w:rsid w:val="00427FCD"/>
    <w:rsid w:val="00436981"/>
    <w:rsid w:val="00446807"/>
    <w:rsid w:val="004630E3"/>
    <w:rsid w:val="0048079B"/>
    <w:rsid w:val="00492F7C"/>
    <w:rsid w:val="00494F5E"/>
    <w:rsid w:val="004B6917"/>
    <w:rsid w:val="004C11A7"/>
    <w:rsid w:val="004C267C"/>
    <w:rsid w:val="004C4D1F"/>
    <w:rsid w:val="004C4FAE"/>
    <w:rsid w:val="004D0CD2"/>
    <w:rsid w:val="004D31DF"/>
    <w:rsid w:val="004D5C6B"/>
    <w:rsid w:val="00510B63"/>
    <w:rsid w:val="0051320B"/>
    <w:rsid w:val="0051327E"/>
    <w:rsid w:val="00555A6E"/>
    <w:rsid w:val="00560B8B"/>
    <w:rsid w:val="0056551B"/>
    <w:rsid w:val="00570FC7"/>
    <w:rsid w:val="0057142E"/>
    <w:rsid w:val="0057499C"/>
    <w:rsid w:val="0058636B"/>
    <w:rsid w:val="00592834"/>
    <w:rsid w:val="005A3E7D"/>
    <w:rsid w:val="005B2FF9"/>
    <w:rsid w:val="005B352E"/>
    <w:rsid w:val="005B707D"/>
    <w:rsid w:val="005C6A05"/>
    <w:rsid w:val="005D420F"/>
    <w:rsid w:val="005D6B07"/>
    <w:rsid w:val="005E01B5"/>
    <w:rsid w:val="005E57F6"/>
    <w:rsid w:val="005F7E1D"/>
    <w:rsid w:val="0061056E"/>
    <w:rsid w:val="00621907"/>
    <w:rsid w:val="00621AB1"/>
    <w:rsid w:val="006551E1"/>
    <w:rsid w:val="00655A14"/>
    <w:rsid w:val="00662419"/>
    <w:rsid w:val="006729FD"/>
    <w:rsid w:val="006776CF"/>
    <w:rsid w:val="006803FD"/>
    <w:rsid w:val="0068120F"/>
    <w:rsid w:val="00681C27"/>
    <w:rsid w:val="00690936"/>
    <w:rsid w:val="006941E6"/>
    <w:rsid w:val="0069785B"/>
    <w:rsid w:val="006A540B"/>
    <w:rsid w:val="006A6063"/>
    <w:rsid w:val="006B0677"/>
    <w:rsid w:val="006C087A"/>
    <w:rsid w:val="006C2437"/>
    <w:rsid w:val="006C2E7C"/>
    <w:rsid w:val="006C3024"/>
    <w:rsid w:val="006C6578"/>
    <w:rsid w:val="006E0BE8"/>
    <w:rsid w:val="006E58AE"/>
    <w:rsid w:val="006E673D"/>
    <w:rsid w:val="006E6F71"/>
    <w:rsid w:val="006F5B5D"/>
    <w:rsid w:val="006F682D"/>
    <w:rsid w:val="007070FC"/>
    <w:rsid w:val="007112CE"/>
    <w:rsid w:val="0071799E"/>
    <w:rsid w:val="007221D0"/>
    <w:rsid w:val="00730853"/>
    <w:rsid w:val="00744ECA"/>
    <w:rsid w:val="00751705"/>
    <w:rsid w:val="00752A33"/>
    <w:rsid w:val="00757102"/>
    <w:rsid w:val="00773AC9"/>
    <w:rsid w:val="00780314"/>
    <w:rsid w:val="00782407"/>
    <w:rsid w:val="007871AB"/>
    <w:rsid w:val="007C3944"/>
    <w:rsid w:val="007C422E"/>
    <w:rsid w:val="007C6107"/>
    <w:rsid w:val="007D4DE7"/>
    <w:rsid w:val="007D6850"/>
    <w:rsid w:val="007E6112"/>
    <w:rsid w:val="007F28E7"/>
    <w:rsid w:val="00805572"/>
    <w:rsid w:val="00806806"/>
    <w:rsid w:val="00807282"/>
    <w:rsid w:val="00820362"/>
    <w:rsid w:val="008225FA"/>
    <w:rsid w:val="0082416D"/>
    <w:rsid w:val="00826ABF"/>
    <w:rsid w:val="00830DA7"/>
    <w:rsid w:val="00842DB7"/>
    <w:rsid w:val="00865242"/>
    <w:rsid w:val="00870BC8"/>
    <w:rsid w:val="00872114"/>
    <w:rsid w:val="008748F0"/>
    <w:rsid w:val="00877D12"/>
    <w:rsid w:val="00884BA7"/>
    <w:rsid w:val="00892695"/>
    <w:rsid w:val="0089743E"/>
    <w:rsid w:val="008A0510"/>
    <w:rsid w:val="008A129D"/>
    <w:rsid w:val="008A1C03"/>
    <w:rsid w:val="008A2022"/>
    <w:rsid w:val="008B18E1"/>
    <w:rsid w:val="008B4812"/>
    <w:rsid w:val="008B5D54"/>
    <w:rsid w:val="008C0ADE"/>
    <w:rsid w:val="008F4B7E"/>
    <w:rsid w:val="008F522E"/>
    <w:rsid w:val="00902D37"/>
    <w:rsid w:val="00902EB0"/>
    <w:rsid w:val="00913F9C"/>
    <w:rsid w:val="0092216D"/>
    <w:rsid w:val="009258F2"/>
    <w:rsid w:val="00925F50"/>
    <w:rsid w:val="009278B7"/>
    <w:rsid w:val="00932976"/>
    <w:rsid w:val="0093631B"/>
    <w:rsid w:val="00940138"/>
    <w:rsid w:val="00945DB2"/>
    <w:rsid w:val="00947281"/>
    <w:rsid w:val="00950F39"/>
    <w:rsid w:val="00954841"/>
    <w:rsid w:val="00962CC3"/>
    <w:rsid w:val="009665BD"/>
    <w:rsid w:val="00975D49"/>
    <w:rsid w:val="00980A82"/>
    <w:rsid w:val="00987DB0"/>
    <w:rsid w:val="009A7A6D"/>
    <w:rsid w:val="009B125D"/>
    <w:rsid w:val="009B3447"/>
    <w:rsid w:val="009C1BD0"/>
    <w:rsid w:val="009C302A"/>
    <w:rsid w:val="009C5D67"/>
    <w:rsid w:val="009C676B"/>
    <w:rsid w:val="009C695C"/>
    <w:rsid w:val="009D0E72"/>
    <w:rsid w:val="009E1B22"/>
    <w:rsid w:val="009E4BE4"/>
    <w:rsid w:val="009E6C13"/>
    <w:rsid w:val="009F3FEC"/>
    <w:rsid w:val="009F5F00"/>
    <w:rsid w:val="009F6C64"/>
    <w:rsid w:val="00A07A73"/>
    <w:rsid w:val="00A127A7"/>
    <w:rsid w:val="00A163F7"/>
    <w:rsid w:val="00A20069"/>
    <w:rsid w:val="00A22F99"/>
    <w:rsid w:val="00A2552B"/>
    <w:rsid w:val="00A307EF"/>
    <w:rsid w:val="00A3173B"/>
    <w:rsid w:val="00A31CB0"/>
    <w:rsid w:val="00A41E08"/>
    <w:rsid w:val="00A465BC"/>
    <w:rsid w:val="00A4671E"/>
    <w:rsid w:val="00A56CB0"/>
    <w:rsid w:val="00A6084B"/>
    <w:rsid w:val="00A67F05"/>
    <w:rsid w:val="00A762F3"/>
    <w:rsid w:val="00A8276D"/>
    <w:rsid w:val="00A90B84"/>
    <w:rsid w:val="00A91277"/>
    <w:rsid w:val="00A93EAF"/>
    <w:rsid w:val="00AA0BA7"/>
    <w:rsid w:val="00AB0B73"/>
    <w:rsid w:val="00AB0C31"/>
    <w:rsid w:val="00AC7BE6"/>
    <w:rsid w:val="00AD4FE5"/>
    <w:rsid w:val="00AD7441"/>
    <w:rsid w:val="00AE0682"/>
    <w:rsid w:val="00AE38DE"/>
    <w:rsid w:val="00AE46B7"/>
    <w:rsid w:val="00B041A2"/>
    <w:rsid w:val="00B04A25"/>
    <w:rsid w:val="00B06C9C"/>
    <w:rsid w:val="00B077F7"/>
    <w:rsid w:val="00B14DC4"/>
    <w:rsid w:val="00B15C4B"/>
    <w:rsid w:val="00B17518"/>
    <w:rsid w:val="00B1753A"/>
    <w:rsid w:val="00B36F5D"/>
    <w:rsid w:val="00B41AAA"/>
    <w:rsid w:val="00B55735"/>
    <w:rsid w:val="00B57CE9"/>
    <w:rsid w:val="00B608AC"/>
    <w:rsid w:val="00B61817"/>
    <w:rsid w:val="00BA1AB8"/>
    <w:rsid w:val="00BB0512"/>
    <w:rsid w:val="00BB4084"/>
    <w:rsid w:val="00BC2333"/>
    <w:rsid w:val="00BD785B"/>
    <w:rsid w:val="00BE1FD2"/>
    <w:rsid w:val="00BF1255"/>
    <w:rsid w:val="00BF3178"/>
    <w:rsid w:val="00BF7177"/>
    <w:rsid w:val="00C065E4"/>
    <w:rsid w:val="00C13635"/>
    <w:rsid w:val="00C15E43"/>
    <w:rsid w:val="00C224C5"/>
    <w:rsid w:val="00C60A38"/>
    <w:rsid w:val="00C65C8F"/>
    <w:rsid w:val="00C671F0"/>
    <w:rsid w:val="00C727AB"/>
    <w:rsid w:val="00C73F2A"/>
    <w:rsid w:val="00C90BC9"/>
    <w:rsid w:val="00C9719E"/>
    <w:rsid w:val="00CC2E09"/>
    <w:rsid w:val="00CD3691"/>
    <w:rsid w:val="00CD5CB4"/>
    <w:rsid w:val="00CF0B9D"/>
    <w:rsid w:val="00CF6E37"/>
    <w:rsid w:val="00D020CE"/>
    <w:rsid w:val="00D02788"/>
    <w:rsid w:val="00D06BF9"/>
    <w:rsid w:val="00D155DC"/>
    <w:rsid w:val="00D20303"/>
    <w:rsid w:val="00D21C97"/>
    <w:rsid w:val="00D2438E"/>
    <w:rsid w:val="00D24431"/>
    <w:rsid w:val="00D30706"/>
    <w:rsid w:val="00D31ED7"/>
    <w:rsid w:val="00D41191"/>
    <w:rsid w:val="00D47E10"/>
    <w:rsid w:val="00D57C23"/>
    <w:rsid w:val="00D615E4"/>
    <w:rsid w:val="00D61FB2"/>
    <w:rsid w:val="00D6411F"/>
    <w:rsid w:val="00D73601"/>
    <w:rsid w:val="00D93C3D"/>
    <w:rsid w:val="00D951FF"/>
    <w:rsid w:val="00D9697C"/>
    <w:rsid w:val="00DB661D"/>
    <w:rsid w:val="00DB698B"/>
    <w:rsid w:val="00DB6BC0"/>
    <w:rsid w:val="00DC1BF7"/>
    <w:rsid w:val="00DC57CC"/>
    <w:rsid w:val="00E00388"/>
    <w:rsid w:val="00E14B43"/>
    <w:rsid w:val="00E338B3"/>
    <w:rsid w:val="00E41E9E"/>
    <w:rsid w:val="00E443F8"/>
    <w:rsid w:val="00E560B8"/>
    <w:rsid w:val="00E56F4F"/>
    <w:rsid w:val="00E80121"/>
    <w:rsid w:val="00E82734"/>
    <w:rsid w:val="00E94A45"/>
    <w:rsid w:val="00E95359"/>
    <w:rsid w:val="00EA0369"/>
    <w:rsid w:val="00EA259C"/>
    <w:rsid w:val="00EA6E3C"/>
    <w:rsid w:val="00EB2834"/>
    <w:rsid w:val="00EC2EC6"/>
    <w:rsid w:val="00EC4A9F"/>
    <w:rsid w:val="00EC56B6"/>
    <w:rsid w:val="00EE12C5"/>
    <w:rsid w:val="00EE2B40"/>
    <w:rsid w:val="00EE4720"/>
    <w:rsid w:val="00EE5063"/>
    <w:rsid w:val="00EE69DA"/>
    <w:rsid w:val="00EF2973"/>
    <w:rsid w:val="00F00D92"/>
    <w:rsid w:val="00F111D1"/>
    <w:rsid w:val="00F13FE4"/>
    <w:rsid w:val="00F24825"/>
    <w:rsid w:val="00F25855"/>
    <w:rsid w:val="00F2772D"/>
    <w:rsid w:val="00F4712D"/>
    <w:rsid w:val="00F51A07"/>
    <w:rsid w:val="00F54606"/>
    <w:rsid w:val="00F6565A"/>
    <w:rsid w:val="00F67150"/>
    <w:rsid w:val="00F67253"/>
    <w:rsid w:val="00F70E1B"/>
    <w:rsid w:val="00F77697"/>
    <w:rsid w:val="00F8043B"/>
    <w:rsid w:val="00F83DEB"/>
    <w:rsid w:val="00F8749F"/>
    <w:rsid w:val="00F96DF8"/>
    <w:rsid w:val="00FB28AF"/>
    <w:rsid w:val="00FB6A22"/>
    <w:rsid w:val="00FC3E8A"/>
    <w:rsid w:val="00FC67FC"/>
    <w:rsid w:val="00FD0A98"/>
    <w:rsid w:val="00FE5671"/>
    <w:rsid w:val="00FF6924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1D8E7D"/>
  <w15:chartTrackingRefBased/>
  <w15:docId w15:val="{D8FD0A21-AF85-46A6-A7F9-E81DC9F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6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7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267C"/>
    <w:pPr>
      <w:ind w:left="720"/>
      <w:contextualSpacing/>
    </w:pPr>
  </w:style>
  <w:style w:type="table" w:styleId="TableGrid">
    <w:name w:val="Table Grid"/>
    <w:basedOn w:val="TableNormal"/>
    <w:uiPriority w:val="59"/>
    <w:rsid w:val="004C26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C267C"/>
    <w:rPr>
      <w:b/>
      <w:bCs/>
    </w:rPr>
  </w:style>
  <w:style w:type="character" w:styleId="Emphasis">
    <w:name w:val="Emphasis"/>
    <w:basedOn w:val="DefaultParagraphFont"/>
    <w:uiPriority w:val="20"/>
    <w:qFormat/>
    <w:rsid w:val="004C26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7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267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2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2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6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67C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C2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4C26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C267C"/>
    <w:pPr>
      <w:autoSpaceDE w:val="0"/>
      <w:autoSpaceDN w:val="0"/>
      <w:adjustRightInd w:val="0"/>
      <w:spacing w:after="0" w:line="240" w:lineRule="auto"/>
    </w:pPr>
    <w:rPr>
      <w:rFonts w:ascii="IHLGB M+ Cheltenham" w:eastAsia="Calibri" w:hAnsi="IHLGB M+ Cheltenham" w:cs="IHLGB M+ Cheltenham"/>
      <w:color w:val="000000"/>
      <w:sz w:val="24"/>
      <w:szCs w:val="24"/>
    </w:rPr>
  </w:style>
  <w:style w:type="paragraph" w:customStyle="1" w:styleId="authors">
    <w:name w:val="authors"/>
    <w:basedOn w:val="Normal"/>
    <w:rsid w:val="004C2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bapihighlight1">
    <w:name w:val="nbapihighlight1"/>
    <w:basedOn w:val="DefaultParagraphFont"/>
    <w:rsid w:val="004C267C"/>
  </w:style>
  <w:style w:type="character" w:styleId="FollowedHyperlink">
    <w:name w:val="FollowedHyperlink"/>
    <w:basedOn w:val="DefaultParagraphFont"/>
    <w:uiPriority w:val="99"/>
    <w:semiHidden/>
    <w:unhideWhenUsed/>
    <w:rsid w:val="004C267C"/>
    <w:rPr>
      <w:color w:val="800080"/>
      <w:u w:val="single"/>
    </w:rPr>
  </w:style>
  <w:style w:type="paragraph" w:customStyle="1" w:styleId="reference">
    <w:name w:val="reference"/>
    <w:basedOn w:val="Normal"/>
    <w:rsid w:val="004C267C"/>
    <w:pPr>
      <w:spacing w:before="100" w:beforeAutospacing="1" w:after="100" w:afterAutospacing="1" w:line="240" w:lineRule="auto"/>
    </w:pPr>
    <w:rPr>
      <w:rFonts w:ascii="Verdana" w:eastAsia="Times New Roman" w:hAnsi="Verdana"/>
      <w:color w:val="999999"/>
      <w:sz w:val="15"/>
      <w:szCs w:val="15"/>
    </w:rPr>
  </w:style>
  <w:style w:type="character" w:customStyle="1" w:styleId="mpgbodytext">
    <w:name w:val="mpgbodytext"/>
    <w:basedOn w:val="DefaultParagraphFont"/>
    <w:rsid w:val="004C267C"/>
  </w:style>
  <w:style w:type="character" w:customStyle="1" w:styleId="nlmgiven-names">
    <w:name w:val="nlm_given-names"/>
    <w:basedOn w:val="DefaultParagraphFont"/>
    <w:rsid w:val="004C267C"/>
  </w:style>
  <w:style w:type="character" w:customStyle="1" w:styleId="nlmarticle-title">
    <w:name w:val="nlm_article-title"/>
    <w:basedOn w:val="DefaultParagraphFont"/>
    <w:rsid w:val="004C267C"/>
  </w:style>
  <w:style w:type="character" w:customStyle="1" w:styleId="citationsource-journal">
    <w:name w:val="citation_source-journal"/>
    <w:basedOn w:val="DefaultParagraphFont"/>
    <w:rsid w:val="004C267C"/>
  </w:style>
  <w:style w:type="character" w:customStyle="1" w:styleId="nlmyear">
    <w:name w:val="nlm_year"/>
    <w:basedOn w:val="DefaultParagraphFont"/>
    <w:rsid w:val="004C267C"/>
  </w:style>
  <w:style w:type="character" w:customStyle="1" w:styleId="nlmfpage">
    <w:name w:val="nlm_fpage"/>
    <w:basedOn w:val="DefaultParagraphFont"/>
    <w:rsid w:val="004C267C"/>
  </w:style>
  <w:style w:type="character" w:customStyle="1" w:styleId="nlmlpage">
    <w:name w:val="nlm_lpage"/>
    <w:basedOn w:val="DefaultParagraphFont"/>
    <w:rsid w:val="004C267C"/>
  </w:style>
  <w:style w:type="paragraph" w:customStyle="1" w:styleId="lmargin">
    <w:name w:val="lmargin"/>
    <w:basedOn w:val="Normal"/>
    <w:rsid w:val="004C2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itation">
    <w:name w:val="citation"/>
    <w:basedOn w:val="DefaultParagraphFont"/>
    <w:rsid w:val="004C267C"/>
  </w:style>
  <w:style w:type="character" w:customStyle="1" w:styleId="referencetext1">
    <w:name w:val="referencetext1"/>
    <w:basedOn w:val="DefaultParagraphFont"/>
    <w:rsid w:val="004C267C"/>
    <w:rPr>
      <w:vanish w:val="0"/>
      <w:webHidden w:val="0"/>
      <w:specVanish w:val="0"/>
    </w:rPr>
  </w:style>
  <w:style w:type="character" w:styleId="LineNumber">
    <w:name w:val="line number"/>
    <w:basedOn w:val="DefaultParagraphFont"/>
    <w:uiPriority w:val="99"/>
    <w:unhideWhenUsed/>
    <w:rsid w:val="004C267C"/>
    <w:rPr>
      <w:rFonts w:ascii="Times New Roman" w:hAnsi="Times New Roman"/>
      <w:sz w:val="24"/>
    </w:rPr>
  </w:style>
  <w:style w:type="character" w:customStyle="1" w:styleId="mixed-citation">
    <w:name w:val="mixed-citation"/>
    <w:basedOn w:val="DefaultParagraphFont"/>
    <w:rsid w:val="004C267C"/>
  </w:style>
  <w:style w:type="character" w:customStyle="1" w:styleId="ref-journal">
    <w:name w:val="ref-journal"/>
    <w:basedOn w:val="DefaultParagraphFont"/>
    <w:rsid w:val="004C267C"/>
  </w:style>
  <w:style w:type="character" w:customStyle="1" w:styleId="highlight2">
    <w:name w:val="highlight2"/>
    <w:basedOn w:val="DefaultParagraphFont"/>
    <w:rsid w:val="004C267C"/>
  </w:style>
  <w:style w:type="paragraph" w:customStyle="1" w:styleId="EndNoteBibliographyTitle">
    <w:name w:val="EndNote Bibliography Title"/>
    <w:basedOn w:val="Normal"/>
    <w:link w:val="EndNoteBibliographyTitleChar"/>
    <w:rsid w:val="004C267C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C267C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4C267C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C267C"/>
    <w:rPr>
      <w:rFonts w:ascii="Calibri" w:eastAsia="Calibri" w:hAnsi="Calibri" w:cs="Times New Roman"/>
      <w:noProof/>
    </w:rPr>
  </w:style>
  <w:style w:type="character" w:customStyle="1" w:styleId="A3">
    <w:name w:val="A3"/>
    <w:uiPriority w:val="99"/>
    <w:rsid w:val="0092216D"/>
    <w:rPr>
      <w:rFonts w:cs="Myriad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A3A9-F428-4D12-A82D-0576F459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Massetti</dc:creator>
  <cp:keywords/>
  <dc:description/>
  <cp:lastModifiedBy>Ragan, Kathleen (CDC/ONDIEH/NCCDPHP)</cp:lastModifiedBy>
  <cp:revision>2</cp:revision>
  <cp:lastPrinted>2017-08-18T20:36:00Z</cp:lastPrinted>
  <dcterms:created xsi:type="dcterms:W3CDTF">2018-07-16T13:12:00Z</dcterms:created>
  <dcterms:modified xsi:type="dcterms:W3CDTF">2018-07-16T13:12:00Z</dcterms:modified>
</cp:coreProperties>
</file>