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AA" w:rsidRDefault="00B4440F" w:rsidP="0075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S2</w:t>
      </w:r>
      <w:r w:rsidR="00F01F1D">
        <w:rPr>
          <w:rFonts w:ascii="Times New Roman" w:hAnsi="Times New Roman" w:cs="Times New Roman"/>
          <w:sz w:val="24"/>
          <w:szCs w:val="24"/>
        </w:rPr>
        <w:t>.</w:t>
      </w:r>
      <w:r w:rsidR="00757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3AA">
        <w:rPr>
          <w:rFonts w:ascii="Times New Roman" w:hAnsi="Times New Roman" w:cs="Times New Roman"/>
          <w:sz w:val="24"/>
          <w:szCs w:val="24"/>
        </w:rPr>
        <w:t>Adjusted</w:t>
      </w:r>
      <w:r w:rsidR="007573AA" w:rsidRPr="005B1E9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7573AA">
        <w:rPr>
          <w:rFonts w:ascii="Times New Roman" w:hAnsi="Times New Roman" w:cs="Times New Roman"/>
          <w:sz w:val="24"/>
          <w:szCs w:val="24"/>
        </w:rPr>
        <w:t xml:space="preserve"> prevalence ratio (PR) and 95% CI for the risk of poor health-related quality of life among adults aged ≥18 years without any of nine chronic </w:t>
      </w:r>
      <w:proofErr w:type="spellStart"/>
      <w:r w:rsidR="007573AA">
        <w:rPr>
          <w:rFonts w:ascii="Times New Roman" w:hAnsi="Times New Roman" w:cs="Times New Roman"/>
          <w:sz w:val="24"/>
          <w:szCs w:val="24"/>
        </w:rPr>
        <w:t>conditions</w:t>
      </w:r>
      <w:r w:rsidR="007573A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7573AA">
        <w:rPr>
          <w:rFonts w:ascii="Times New Roman" w:hAnsi="Times New Roman" w:cs="Times New Roman"/>
          <w:sz w:val="24"/>
          <w:szCs w:val="24"/>
        </w:rPr>
        <w:t>, by age, 2014 BRFSS</w:t>
      </w:r>
    </w:p>
    <w:p w:rsidR="007573AA" w:rsidRDefault="007573AA" w:rsidP="00757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1886"/>
        <w:gridCol w:w="1710"/>
        <w:gridCol w:w="1710"/>
        <w:gridCol w:w="1800"/>
        <w:gridCol w:w="1807"/>
      </w:tblGrid>
      <w:tr w:rsidR="007573AA" w:rsidRPr="00305481" w:rsidTr="003D55BB">
        <w:trPr>
          <w:cantSplit/>
          <w:tblHeader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573AA" w:rsidRPr="00305481" w:rsidRDefault="007573AA" w:rsidP="003D55BB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Age=18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24 </w:t>
            </w:r>
            <w:proofErr w:type="spellStart"/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yrs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Age=25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34 </w:t>
            </w:r>
            <w:proofErr w:type="spellStart"/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yrs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Age=35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44 </w:t>
            </w:r>
            <w:proofErr w:type="spellStart"/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yrs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Age=45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64 </w:t>
            </w:r>
            <w:proofErr w:type="spellStart"/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yrs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Age≥65 </w:t>
            </w:r>
            <w:proofErr w:type="spellStart"/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yrs</w:t>
            </w:r>
            <w:proofErr w:type="spellEnd"/>
          </w:p>
        </w:tc>
      </w:tr>
      <w:tr w:rsidR="007573AA" w:rsidRPr="00305481" w:rsidTr="003D55BB">
        <w:trPr>
          <w:cantSplit/>
          <w:tblHeader/>
          <w:jc w:val="center"/>
        </w:trPr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Sleep duration (hours in a 24 hour period)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PR (95% CI)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PR (95% CI)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PR (95% CI)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PR (95% CI)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tcMar>
              <w:left w:w="60" w:type="dxa"/>
              <w:right w:w="60" w:type="dxa"/>
            </w:tcMar>
            <w:vAlign w:val="bottom"/>
          </w:tcPr>
          <w:p w:rsidR="007573AA" w:rsidRPr="00305481" w:rsidRDefault="007573AA" w:rsidP="003D55BB">
            <w:pPr>
              <w:keepNext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5481">
              <w:rPr>
                <w:rFonts w:ascii="Times New Roman" w:hAnsi="Times New Roman" w:cs="Times New Roman"/>
                <w:b/>
                <w:bCs/>
                <w:color w:val="000000"/>
              </w:rPr>
              <w:t>PR (95% CI)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11191" w:type="dxa"/>
            <w:gridSpan w:val="6"/>
            <w:tcBorders>
              <w:top w:val="single" w:sz="4" w:space="0" w:color="auto"/>
            </w:tcBorders>
            <w:tcMar>
              <w:left w:w="60" w:type="dxa"/>
              <w:right w:w="60" w:type="dxa"/>
            </w:tcMar>
          </w:tcPr>
          <w:p w:rsidR="007573AA" w:rsidRPr="00305481" w:rsidRDefault="007573AA" w:rsidP="003D55BB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5481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Poor or fair health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≤5</w:t>
            </w:r>
          </w:p>
        </w:tc>
        <w:tc>
          <w:tcPr>
            <w:tcW w:w="1886" w:type="dxa"/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1.31 (0.89-1.91)</w:t>
            </w:r>
          </w:p>
        </w:tc>
        <w:tc>
          <w:tcPr>
            <w:tcW w:w="1710" w:type="dxa"/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1.66 (1.24-2.22)</w:t>
            </w:r>
          </w:p>
        </w:tc>
        <w:tc>
          <w:tcPr>
            <w:tcW w:w="1710" w:type="dxa"/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1.87 (1.44-2.43)</w:t>
            </w:r>
          </w:p>
        </w:tc>
        <w:tc>
          <w:tcPr>
            <w:tcW w:w="1800" w:type="dxa"/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1.83 (1.48-2.26)</w:t>
            </w:r>
          </w:p>
        </w:tc>
        <w:tc>
          <w:tcPr>
            <w:tcW w:w="1807" w:type="dxa"/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1.70 (1.16-2.48)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</w:t>
            </w: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1.37 (1.01-1.86)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1.42 (1.11-1.82)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1.37 (1.08-1.75)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1.33 (1.11-1.60)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1.48 (1.11-1.97)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7573AA" w:rsidRPr="00305481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7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8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1.09 (0.80-1.48)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1.06 (0.81-1.39)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0.99 (0.77-1.28)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1.02 (0.85-1.23)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1.23 (0.97-1.58)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9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(0.58-1.71)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1.17 (0.73-1.88)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1.69 (1.07-2.67)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1.10 (0.76-1.59)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1.12 (0.76-1.65)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≥10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2.23 (1.41-3.52)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1.27 (0.68-2.37)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1.01 (0.56-1.83)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1.03 (0.69-1.52)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1.44 (1.02-2.03)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11191" w:type="dxa"/>
            <w:gridSpan w:val="6"/>
            <w:tcBorders>
              <w:top w:val="nil"/>
            </w:tcBorders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b/>
                <w:bCs/>
                <w:color w:val="000000"/>
              </w:rPr>
              <w:t>Frequent physical distress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≤5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1.39 (0.85-2.27)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1.64 (1.11-2.41)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1.81 (1.27-2.58)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2.06 (1.56-2.72)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1.67 (1.04-2.66)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</w:t>
            </w: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0.74 (0.48-1.13)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1.65 (1.20-2.27)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1.06 (0.77-1.47)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1.35 (1.07-1.69)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1.24 (0.86-1.79)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7573AA" w:rsidRPr="00305481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7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8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0.75 (0.49-1.16)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1.05 (0.73-1.49)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0.73 (0.52-1.02)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1.27 (1.01-1.58)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1.03 (0.77-1.38)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9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0.82 (0.45-1.49)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1.40 (0.77-2.54)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1.11 (0.60-2.05)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1.53 (0.93-2.53)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1.25 (0.70-2.22)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≥10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6847DB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847DB">
              <w:rPr>
                <w:rFonts w:ascii="Times New Roman" w:hAnsi="Times New Roman" w:cs="Times New Roman"/>
                <w:color w:val="000000"/>
                <w:vertAlign w:val="superscript"/>
              </w:rPr>
              <w:t>c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1.60 (0.58-4.41)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1.54 (0.74-3.23)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1.01 (0.66-1.54)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1.12 (0.69-1.82)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11191" w:type="dxa"/>
            <w:gridSpan w:val="6"/>
            <w:tcBorders>
              <w:top w:val="nil"/>
            </w:tcBorders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b/>
                <w:bCs/>
                <w:color w:val="000000"/>
              </w:rPr>
              <w:t>Frequent mental distress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≤5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1.87 (1.37-2.54)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2.91 (2.26-3.75)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3.49 (2.65-4.59)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3.92 (3.09-4.98)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1.70 (0.99-2.94)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</w:t>
            </w: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1.63 (1.24-2.14)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1.59 (1.25-2.02)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2.04 (1.56-2.65)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1.95 (1.58-2.41)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1.28 (0.77-2.14)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7573AA" w:rsidRPr="00305481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7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lastRenderedPageBreak/>
              <w:t xml:space="preserve">   8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0.68 (0.51-0.92)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0.84 (0.64-1.09)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0.87 (0.66-1.15)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0.99 (0.78-1.25)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0.69 (0.42-1.14)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9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0.65 (0.40-1.05)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0.75 (0.40-1.39)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1.35 (0.72-2.54)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1.12 (0.66-1.89)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0.73 (0.38-1.39)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≥10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1.16 (0.70-1.92)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2.37 (1.25-4.48)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2.29 (1.36-3.85)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1.06 (0.59-1.90)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0.97 (0.46-2.07)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11191" w:type="dxa"/>
            <w:gridSpan w:val="6"/>
            <w:tcBorders>
              <w:top w:val="nil"/>
            </w:tcBorders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b/>
                <w:bCs/>
                <w:color w:val="000000"/>
              </w:rPr>
              <w:t>Frequent activity limitation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≤5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2.31 (1.21-4.42)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2.87 (1.81-4.56)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2.81 (1.77-4.47)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2.28 (1.63-3.17)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2.21 (1.13-4.33)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</w:t>
            </w:r>
            <w:r w:rsidRPr="00346ABF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6 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1.68 (0.95-2.97)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1.60 (1.00-2.54)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1.60 (1.00-2.54)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1.62 (1.24-2.12)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1.73 (0.97-3.07)</w:t>
            </w:r>
          </w:p>
        </w:tc>
      </w:tr>
      <w:tr w:rsidR="007573A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7573AA" w:rsidRPr="00305481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7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 xml:space="preserve"> 1.00 (referent)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573AA" w:rsidRPr="00E217CA" w:rsidRDefault="007573AA" w:rsidP="003D55BB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1.00 (referent)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8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0.81 (0.42-1.57)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0.95 (0.56-1.61)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0.90 (0.59-1.37)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1.35 (1.02-1.79)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1.20 (0.73-1.96)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9</w:t>
            </w:r>
          </w:p>
        </w:tc>
        <w:tc>
          <w:tcPr>
            <w:tcW w:w="1886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1.10 (0.49-2.48)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2.08 (1.08-3.99)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1.14 (0.45-2.91)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0.90 (0.48-1.69)</w:t>
            </w:r>
          </w:p>
        </w:tc>
        <w:tc>
          <w:tcPr>
            <w:tcW w:w="1807" w:type="dxa"/>
            <w:tcBorders>
              <w:top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keepNext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0.88 (0.48-1.59)</w:t>
            </w:r>
          </w:p>
        </w:tc>
      </w:tr>
      <w:tr w:rsidR="00E217CA" w:rsidRPr="00305481" w:rsidTr="003D55BB">
        <w:trPr>
          <w:cantSplit/>
          <w:jc w:val="center"/>
        </w:trPr>
        <w:tc>
          <w:tcPr>
            <w:tcW w:w="2278" w:type="dxa"/>
            <w:tcBorders>
              <w:top w:val="nil"/>
              <w:bottom w:val="single" w:sz="4" w:space="0" w:color="auto"/>
            </w:tcBorders>
            <w:tcMar>
              <w:left w:w="60" w:type="dxa"/>
              <w:right w:w="60" w:type="dxa"/>
            </w:tcMar>
            <w:vAlign w:val="center"/>
          </w:tcPr>
          <w:p w:rsidR="00E217CA" w:rsidRPr="00305481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 xml:space="preserve">   ≥10</w:t>
            </w: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1.70 (0.61-4.69)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3.76 (1.47-9.61)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2.25 (0.91-5.58)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1.64 (1.01-2.66)</w:t>
            </w:r>
          </w:p>
        </w:tc>
        <w:tc>
          <w:tcPr>
            <w:tcW w:w="1807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E217CA" w:rsidRPr="00E217CA" w:rsidRDefault="00E217CA" w:rsidP="00E217CA">
            <w:pPr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E217CA">
              <w:rPr>
                <w:rFonts w:ascii="Times New Roman" w:hAnsi="Times New Roman" w:cs="Times New Roman"/>
                <w:color w:val="000000"/>
              </w:rPr>
              <w:t>1.44 (0.65-3.20)</w:t>
            </w:r>
          </w:p>
        </w:tc>
      </w:tr>
    </w:tbl>
    <w:p w:rsidR="007573AA" w:rsidRDefault="007573AA" w:rsidP="007573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Abbreviations: PR-prevalence ratio; CI-confidence interval.</w:t>
      </w:r>
    </w:p>
    <w:p w:rsidR="007573AA" w:rsidRDefault="007573AA" w:rsidP="0075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proofErr w:type="spellStart"/>
      <w:r w:rsidRPr="005B1E9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30F6A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330F6A">
        <w:rPr>
          <w:rFonts w:ascii="Times New Roman" w:hAnsi="Times New Roman" w:cs="Times New Roman"/>
          <w:sz w:val="24"/>
          <w:szCs w:val="24"/>
        </w:rPr>
        <w:t>-adjusted logistic regression model include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0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sleep duration category, </w:t>
      </w:r>
      <w:r w:rsidRPr="00330F6A">
        <w:rPr>
          <w:rFonts w:ascii="Times New Roman" w:hAnsi="Times New Roman" w:cs="Times New Roman"/>
          <w:sz w:val="24"/>
          <w:szCs w:val="24"/>
        </w:rPr>
        <w:t xml:space="preserve">sex, race/ethnicity, education, employment status, </w:t>
      </w:r>
    </w:p>
    <w:p w:rsidR="007573AA" w:rsidRPr="00330F6A" w:rsidRDefault="007573AA" w:rsidP="0075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3A42" w:rsidRPr="00C03A42">
        <w:rPr>
          <w:rFonts w:ascii="Times New Roman" w:hAnsi="Times New Roman" w:cs="Times New Roman"/>
          <w:b/>
          <w:sz w:val="24"/>
          <w:szCs w:val="24"/>
        </w:rPr>
        <w:t>household income,</w:t>
      </w:r>
      <w:r w:rsidR="00C03A42">
        <w:rPr>
          <w:rFonts w:ascii="Times New Roman" w:hAnsi="Times New Roman" w:cs="Times New Roman"/>
          <w:sz w:val="24"/>
          <w:szCs w:val="24"/>
        </w:rPr>
        <w:t xml:space="preserve"> </w:t>
      </w:r>
      <w:r w:rsidRPr="00330F6A">
        <w:rPr>
          <w:rFonts w:ascii="Times New Roman" w:hAnsi="Times New Roman" w:cs="Times New Roman"/>
          <w:sz w:val="24"/>
          <w:szCs w:val="24"/>
        </w:rPr>
        <w:t>marital status, leisure-time physical activity, smoking status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330F6A">
        <w:rPr>
          <w:rFonts w:ascii="Times New Roman" w:hAnsi="Times New Roman" w:cs="Times New Roman"/>
          <w:sz w:val="24"/>
          <w:szCs w:val="24"/>
        </w:rPr>
        <w:t>BMI categor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0F6A">
        <w:rPr>
          <w:rFonts w:ascii="Times New Roman" w:hAnsi="Times New Roman" w:cs="Times New Roman"/>
          <w:sz w:val="24"/>
          <w:szCs w:val="24"/>
        </w:rPr>
        <w:t>.</w:t>
      </w:r>
    </w:p>
    <w:p w:rsidR="007573AA" w:rsidRDefault="007573AA" w:rsidP="0075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A51A5">
        <w:rPr>
          <w:rFonts w:ascii="Times New Roman" w:hAnsi="Times New Roman" w:cs="Times New Roman"/>
          <w:sz w:val="24"/>
          <w:szCs w:val="24"/>
        </w:rPr>
        <w:t>Nine</w:t>
      </w:r>
      <w:proofErr w:type="spellEnd"/>
      <w:r w:rsidRPr="000A51A5">
        <w:rPr>
          <w:rFonts w:ascii="Times New Roman" w:hAnsi="Times New Roman" w:cs="Times New Roman"/>
          <w:sz w:val="24"/>
          <w:szCs w:val="24"/>
        </w:rPr>
        <w:t xml:space="preserve"> chronic conditions include coronary heart disease (CHD), stroke, cancer, chronic obstructive pulmonary disease (COPD), </w:t>
      </w:r>
    </w:p>
    <w:p w:rsidR="007573AA" w:rsidRDefault="007573AA" w:rsidP="0075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51A5">
        <w:rPr>
          <w:rFonts w:ascii="Times New Roman" w:hAnsi="Times New Roman" w:cs="Times New Roman"/>
          <w:sz w:val="24"/>
          <w:szCs w:val="24"/>
        </w:rPr>
        <w:t>diabetes, asthma, arthritis, depr</w:t>
      </w:r>
      <w:r>
        <w:rPr>
          <w:rFonts w:ascii="Times New Roman" w:hAnsi="Times New Roman" w:cs="Times New Roman"/>
          <w:sz w:val="24"/>
          <w:szCs w:val="24"/>
        </w:rPr>
        <w:t>ession, chronic kidney disease.</w:t>
      </w:r>
    </w:p>
    <w:p w:rsidR="006847DB" w:rsidRPr="006431B1" w:rsidRDefault="006847DB" w:rsidP="00757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847D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Unreliable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estimate if relative standard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error&gt;0.3.</w:t>
      </w:r>
    </w:p>
    <w:p w:rsidR="00FC70C6" w:rsidRDefault="00FC70C6"/>
    <w:sectPr w:rsidR="00FC70C6" w:rsidSect="007573A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AA"/>
    <w:rsid w:val="006847DB"/>
    <w:rsid w:val="007573AA"/>
    <w:rsid w:val="00B4440F"/>
    <w:rsid w:val="00C03A42"/>
    <w:rsid w:val="00D26908"/>
    <w:rsid w:val="00E217CA"/>
    <w:rsid w:val="00F01F1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6B4C"/>
  <w15:chartTrackingRefBased/>
  <w15:docId w15:val="{C88E6B6C-6700-4319-8247-27550274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Yong (CDC/ONDIEH/NCCDPHP)</dc:creator>
  <cp:keywords/>
  <dc:description/>
  <cp:lastModifiedBy>IKD8</cp:lastModifiedBy>
  <cp:revision>6</cp:revision>
  <dcterms:created xsi:type="dcterms:W3CDTF">2017-10-06T17:25:00Z</dcterms:created>
  <dcterms:modified xsi:type="dcterms:W3CDTF">2018-01-17T16:17:00Z</dcterms:modified>
</cp:coreProperties>
</file>