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12" w:rsidRPr="00E00B5E" w:rsidRDefault="00391816">
      <w:pPr>
        <w:rPr>
          <w:rFonts w:ascii="Arial" w:hAnsi="Arial" w:cs="Arial"/>
          <w:b/>
          <w:sz w:val="18"/>
        </w:rPr>
      </w:pPr>
      <w:r w:rsidRPr="00E00B5E">
        <w:rPr>
          <w:rFonts w:ascii="Arial" w:hAnsi="Arial" w:cs="Arial"/>
          <w:b/>
          <w:sz w:val="18"/>
        </w:rPr>
        <w:t>SUPPLEMENTARY TABLE 1.</w:t>
      </w:r>
      <w:r w:rsidR="00212212" w:rsidRPr="00E00B5E">
        <w:rPr>
          <w:rFonts w:ascii="Arial" w:hAnsi="Arial" w:cs="Arial"/>
          <w:b/>
          <w:sz w:val="18"/>
        </w:rPr>
        <w:t xml:space="preserve"> Criteria used to apply ped</w:t>
      </w:r>
      <w:r w:rsidRPr="00E00B5E">
        <w:rPr>
          <w:rFonts w:ascii="Arial" w:hAnsi="Arial" w:cs="Arial"/>
          <w:b/>
          <w:sz w:val="18"/>
        </w:rPr>
        <w:t>iatric hypertension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160"/>
        <w:gridCol w:w="3330"/>
        <w:gridCol w:w="3505"/>
      </w:tblGrid>
      <w:tr w:rsidR="00391816" w:rsidRPr="00391816" w:rsidTr="00E00B5E">
        <w:trPr>
          <w:trHeight w:val="233"/>
        </w:trPr>
        <w:tc>
          <w:tcPr>
            <w:tcW w:w="1075" w:type="dxa"/>
            <w:vMerge w:val="restart"/>
            <w:tcBorders>
              <w:top w:val="single" w:sz="4" w:space="0" w:color="auto"/>
            </w:tcBorders>
          </w:tcPr>
          <w:p w:rsidR="00391816" w:rsidRPr="00E00B5E" w:rsidRDefault="00391816" w:rsidP="00263638">
            <w:pPr>
              <w:rPr>
                <w:rFonts w:ascii="Arial" w:hAnsi="Arial" w:cs="Arial"/>
                <w:b/>
                <w:sz w:val="18"/>
                <w:szCs w:val="18"/>
              </w:rPr>
            </w:pPr>
            <w:r w:rsidRPr="00E00B5E">
              <w:rPr>
                <w:rFonts w:ascii="Arial" w:hAnsi="Arial" w:cs="Arial"/>
                <w:b/>
                <w:sz w:val="18"/>
                <w:szCs w:val="18"/>
              </w:rPr>
              <w:t>Age group (yrs)</w:t>
            </w:r>
          </w:p>
        </w:tc>
        <w:tc>
          <w:tcPr>
            <w:tcW w:w="2160" w:type="dxa"/>
            <w:vMerge w:val="restart"/>
            <w:tcBorders>
              <w:top w:val="single" w:sz="4" w:space="0" w:color="auto"/>
            </w:tcBorders>
          </w:tcPr>
          <w:p w:rsidR="00391816" w:rsidRPr="00E00B5E" w:rsidRDefault="00391816">
            <w:pPr>
              <w:rPr>
                <w:rFonts w:ascii="Arial" w:hAnsi="Arial" w:cs="Arial"/>
                <w:b/>
                <w:sz w:val="18"/>
                <w:szCs w:val="18"/>
              </w:rPr>
            </w:pPr>
            <w:r w:rsidRPr="00E00B5E">
              <w:rPr>
                <w:rFonts w:ascii="Arial" w:hAnsi="Arial" w:cs="Arial"/>
                <w:b/>
                <w:sz w:val="18"/>
                <w:szCs w:val="18"/>
              </w:rPr>
              <w:t>Classification</w:t>
            </w:r>
          </w:p>
        </w:tc>
        <w:tc>
          <w:tcPr>
            <w:tcW w:w="6835" w:type="dxa"/>
            <w:gridSpan w:val="2"/>
            <w:tcBorders>
              <w:top w:val="single" w:sz="4" w:space="0" w:color="auto"/>
            </w:tcBorders>
          </w:tcPr>
          <w:p w:rsidR="00391816" w:rsidRPr="00E00B5E" w:rsidRDefault="00391816" w:rsidP="00391816">
            <w:pPr>
              <w:jc w:val="center"/>
              <w:rPr>
                <w:rFonts w:ascii="Arial" w:hAnsi="Arial" w:cs="Arial"/>
                <w:b/>
                <w:sz w:val="18"/>
                <w:szCs w:val="18"/>
              </w:rPr>
            </w:pPr>
            <w:r w:rsidRPr="00E00B5E">
              <w:rPr>
                <w:rFonts w:ascii="Arial" w:hAnsi="Arial" w:cs="Arial"/>
                <w:b/>
                <w:sz w:val="18"/>
                <w:szCs w:val="18"/>
              </w:rPr>
              <w:t>Criteria</w:t>
            </w:r>
          </w:p>
        </w:tc>
      </w:tr>
      <w:tr w:rsidR="00391816" w:rsidRPr="00391816" w:rsidTr="00391816">
        <w:tc>
          <w:tcPr>
            <w:tcW w:w="1075" w:type="dxa"/>
            <w:vMerge/>
            <w:tcBorders>
              <w:bottom w:val="single" w:sz="4" w:space="0" w:color="auto"/>
            </w:tcBorders>
          </w:tcPr>
          <w:p w:rsidR="00391816" w:rsidRPr="00E00B5E" w:rsidRDefault="00391816">
            <w:pPr>
              <w:rPr>
                <w:rFonts w:ascii="Arial" w:hAnsi="Arial" w:cs="Arial"/>
                <w:b/>
                <w:sz w:val="18"/>
                <w:szCs w:val="18"/>
              </w:rPr>
            </w:pPr>
          </w:p>
        </w:tc>
        <w:tc>
          <w:tcPr>
            <w:tcW w:w="2160" w:type="dxa"/>
            <w:vMerge/>
            <w:tcBorders>
              <w:bottom w:val="single" w:sz="4" w:space="0" w:color="auto"/>
            </w:tcBorders>
          </w:tcPr>
          <w:p w:rsidR="00391816" w:rsidRPr="00E00B5E" w:rsidRDefault="00391816">
            <w:pPr>
              <w:rPr>
                <w:rFonts w:ascii="Arial" w:hAnsi="Arial" w:cs="Arial"/>
                <w:b/>
                <w:sz w:val="18"/>
                <w:szCs w:val="18"/>
              </w:rPr>
            </w:pPr>
          </w:p>
        </w:tc>
        <w:tc>
          <w:tcPr>
            <w:tcW w:w="3330" w:type="dxa"/>
            <w:tcBorders>
              <w:bottom w:val="single" w:sz="4" w:space="0" w:color="auto"/>
            </w:tcBorders>
          </w:tcPr>
          <w:p w:rsidR="00391816" w:rsidRPr="00E00B5E" w:rsidRDefault="00391816" w:rsidP="00391816">
            <w:pPr>
              <w:jc w:val="center"/>
              <w:rPr>
                <w:rFonts w:ascii="Arial" w:hAnsi="Arial" w:cs="Arial"/>
                <w:b/>
                <w:sz w:val="18"/>
                <w:szCs w:val="18"/>
              </w:rPr>
            </w:pPr>
            <w:r w:rsidRPr="00E00B5E">
              <w:rPr>
                <w:rFonts w:ascii="Arial" w:hAnsi="Arial" w:cs="Arial"/>
                <w:b/>
                <w:sz w:val="18"/>
                <w:szCs w:val="18"/>
              </w:rPr>
              <w:t>Former (2004) Guideline</w:t>
            </w:r>
            <w:r w:rsidR="00FF49BF">
              <w:rPr>
                <w:rFonts w:ascii="Arial" w:hAnsi="Arial" w:cs="Arial"/>
                <w:b/>
                <w:sz w:val="18"/>
                <w:szCs w:val="18"/>
              </w:rPr>
              <w:t>*</w:t>
            </w:r>
          </w:p>
        </w:tc>
        <w:tc>
          <w:tcPr>
            <w:tcW w:w="3505" w:type="dxa"/>
            <w:tcBorders>
              <w:bottom w:val="single" w:sz="4" w:space="0" w:color="auto"/>
            </w:tcBorders>
          </w:tcPr>
          <w:p w:rsidR="00391816" w:rsidRPr="00E00B5E" w:rsidRDefault="00391816" w:rsidP="00391816">
            <w:pPr>
              <w:jc w:val="center"/>
              <w:rPr>
                <w:rFonts w:ascii="Arial" w:hAnsi="Arial" w:cs="Arial"/>
                <w:b/>
                <w:sz w:val="18"/>
                <w:szCs w:val="18"/>
              </w:rPr>
            </w:pPr>
            <w:r w:rsidRPr="00E00B5E">
              <w:rPr>
                <w:rFonts w:ascii="Arial" w:hAnsi="Arial" w:cs="Arial"/>
                <w:b/>
                <w:sz w:val="18"/>
                <w:szCs w:val="18"/>
              </w:rPr>
              <w:t>New (2017) Guideline</w:t>
            </w:r>
            <w:r w:rsidR="00FF49BF" w:rsidRPr="00FF49BF">
              <w:rPr>
                <w:rFonts w:ascii="Arial" w:hAnsi="Arial" w:cs="Arial"/>
                <w:b/>
                <w:sz w:val="18"/>
                <w:szCs w:val="18"/>
                <w:vertAlign w:val="superscript"/>
              </w:rPr>
              <w:t>†</w:t>
            </w:r>
          </w:p>
        </w:tc>
      </w:tr>
      <w:tr w:rsidR="00391816" w:rsidRPr="00391816" w:rsidTr="00391816">
        <w:trPr>
          <w:trHeight w:val="710"/>
        </w:trPr>
        <w:tc>
          <w:tcPr>
            <w:tcW w:w="1075" w:type="dxa"/>
            <w:vMerge w:val="restart"/>
            <w:tcBorders>
              <w:top w:val="single" w:sz="4" w:space="0" w:color="auto"/>
            </w:tcBorders>
          </w:tcPr>
          <w:p w:rsidR="00391816" w:rsidRPr="00391816" w:rsidRDefault="00391816" w:rsidP="00391816">
            <w:pPr>
              <w:rPr>
                <w:rFonts w:ascii="Arial" w:hAnsi="Arial" w:cs="Arial"/>
                <w:sz w:val="18"/>
                <w:szCs w:val="18"/>
              </w:rPr>
            </w:pPr>
            <w:r w:rsidRPr="00391816">
              <w:rPr>
                <w:rFonts w:ascii="Arial" w:hAnsi="Arial" w:cs="Arial"/>
                <w:sz w:val="18"/>
                <w:szCs w:val="18"/>
              </w:rPr>
              <w:t>12–17</w:t>
            </w:r>
          </w:p>
        </w:tc>
        <w:tc>
          <w:tcPr>
            <w:tcW w:w="2160" w:type="dxa"/>
            <w:tcBorders>
              <w:top w:val="single" w:sz="4" w:space="0" w:color="auto"/>
            </w:tcBorders>
          </w:tcPr>
          <w:p w:rsidR="00391816" w:rsidRPr="00391816" w:rsidRDefault="00391816" w:rsidP="00756350">
            <w:pPr>
              <w:rPr>
                <w:rFonts w:ascii="Arial" w:hAnsi="Arial" w:cs="Arial"/>
                <w:sz w:val="18"/>
                <w:szCs w:val="18"/>
              </w:rPr>
            </w:pPr>
            <w:r w:rsidRPr="00391816">
              <w:rPr>
                <w:rFonts w:ascii="Arial" w:hAnsi="Arial" w:cs="Arial"/>
                <w:sz w:val="18"/>
                <w:szCs w:val="18"/>
              </w:rPr>
              <w:t>Elevated blood pressure</w:t>
            </w:r>
          </w:p>
        </w:tc>
        <w:tc>
          <w:tcPr>
            <w:tcW w:w="3330" w:type="dxa"/>
            <w:tcBorders>
              <w:top w:val="single" w:sz="4" w:space="0" w:color="auto"/>
            </w:tcBorders>
          </w:tcPr>
          <w:p w:rsidR="00391816" w:rsidRPr="00391816" w:rsidRDefault="00391816" w:rsidP="00756350">
            <w:pPr>
              <w:rPr>
                <w:rFonts w:ascii="Arial" w:hAnsi="Arial" w:cs="Arial"/>
                <w:sz w:val="18"/>
                <w:szCs w:val="18"/>
              </w:rPr>
            </w:pPr>
            <w:r w:rsidRPr="00391816">
              <w:rPr>
                <w:rFonts w:ascii="Arial" w:hAnsi="Arial" w:cs="Arial"/>
                <w:sz w:val="18"/>
                <w:szCs w:val="18"/>
              </w:rPr>
              <w:t>≥90</w:t>
            </w:r>
            <w:r w:rsidRPr="00391816">
              <w:rPr>
                <w:rFonts w:ascii="Arial" w:hAnsi="Arial" w:cs="Arial"/>
                <w:sz w:val="18"/>
                <w:szCs w:val="18"/>
                <w:vertAlign w:val="superscript"/>
              </w:rPr>
              <w:t>th</w:t>
            </w:r>
            <w:r w:rsidRPr="00391816">
              <w:rPr>
                <w:rFonts w:ascii="Arial" w:hAnsi="Arial" w:cs="Arial"/>
                <w:sz w:val="18"/>
                <w:szCs w:val="18"/>
              </w:rPr>
              <w:t xml:space="preserve"> to &lt;95</w:t>
            </w:r>
            <w:r w:rsidRPr="00391816">
              <w:rPr>
                <w:rFonts w:ascii="Arial" w:hAnsi="Arial" w:cs="Arial"/>
                <w:sz w:val="18"/>
                <w:szCs w:val="18"/>
                <w:vertAlign w:val="superscript"/>
              </w:rPr>
              <w:t>th</w:t>
            </w:r>
            <w:r w:rsidRPr="00391816">
              <w:rPr>
                <w:rFonts w:ascii="Arial" w:hAnsi="Arial" w:cs="Arial"/>
                <w:sz w:val="18"/>
                <w:szCs w:val="18"/>
              </w:rPr>
              <w:t xml:space="preserve"> percentile or ≥120/80 mmHg to &lt;95</w:t>
            </w:r>
            <w:r w:rsidRPr="00391816">
              <w:rPr>
                <w:rFonts w:ascii="Arial" w:hAnsi="Arial" w:cs="Arial"/>
                <w:sz w:val="18"/>
                <w:szCs w:val="18"/>
                <w:vertAlign w:val="superscript"/>
              </w:rPr>
              <w:t>th</w:t>
            </w:r>
            <w:r w:rsidRPr="00391816">
              <w:rPr>
                <w:rFonts w:ascii="Arial" w:hAnsi="Arial" w:cs="Arial"/>
                <w:sz w:val="18"/>
                <w:szCs w:val="18"/>
              </w:rPr>
              <w:t xml:space="preserve"> percentile (using 2004 percentile tables)</w:t>
            </w:r>
          </w:p>
        </w:tc>
        <w:tc>
          <w:tcPr>
            <w:tcW w:w="3505" w:type="dxa"/>
            <w:tcBorders>
              <w:top w:val="single" w:sz="4" w:space="0" w:color="auto"/>
            </w:tcBorders>
          </w:tcPr>
          <w:p w:rsidR="00391816" w:rsidRPr="00391816" w:rsidRDefault="00391816" w:rsidP="003A50C6">
            <w:pPr>
              <w:rPr>
                <w:rFonts w:ascii="Arial" w:hAnsi="Arial" w:cs="Arial"/>
                <w:sz w:val="18"/>
                <w:szCs w:val="18"/>
              </w:rPr>
            </w:pPr>
            <w:r w:rsidRPr="00391816">
              <w:rPr>
                <w:rFonts w:ascii="Arial" w:hAnsi="Arial" w:cs="Arial"/>
                <w:sz w:val="18"/>
                <w:szCs w:val="18"/>
              </w:rPr>
              <w:t>≥90</w:t>
            </w:r>
            <w:r w:rsidRPr="00391816">
              <w:rPr>
                <w:rFonts w:ascii="Arial" w:hAnsi="Arial" w:cs="Arial"/>
                <w:sz w:val="18"/>
                <w:szCs w:val="18"/>
                <w:vertAlign w:val="superscript"/>
              </w:rPr>
              <w:t>th</w:t>
            </w:r>
            <w:r w:rsidRPr="00391816">
              <w:rPr>
                <w:rFonts w:ascii="Arial" w:hAnsi="Arial" w:cs="Arial"/>
                <w:sz w:val="18"/>
                <w:szCs w:val="18"/>
              </w:rPr>
              <w:t xml:space="preserve"> to &lt;95</w:t>
            </w:r>
            <w:r w:rsidRPr="00391816">
              <w:rPr>
                <w:rFonts w:ascii="Arial" w:hAnsi="Arial" w:cs="Arial"/>
                <w:sz w:val="18"/>
                <w:szCs w:val="18"/>
                <w:vertAlign w:val="superscript"/>
              </w:rPr>
              <w:t>th</w:t>
            </w:r>
            <w:r w:rsidRPr="00391816">
              <w:rPr>
                <w:rFonts w:ascii="Arial" w:hAnsi="Arial" w:cs="Arial"/>
                <w:sz w:val="18"/>
                <w:szCs w:val="18"/>
              </w:rPr>
              <w:t xml:space="preserve"> percentile or SBP 120 mmHg to &lt;95</w:t>
            </w:r>
            <w:r w:rsidRPr="00391816">
              <w:rPr>
                <w:rFonts w:ascii="Arial" w:hAnsi="Arial" w:cs="Arial"/>
                <w:sz w:val="18"/>
                <w:szCs w:val="18"/>
                <w:vertAlign w:val="superscript"/>
              </w:rPr>
              <w:t>th</w:t>
            </w:r>
            <w:r w:rsidRPr="00391816">
              <w:rPr>
                <w:rFonts w:ascii="Arial" w:hAnsi="Arial" w:cs="Arial"/>
                <w:sz w:val="18"/>
                <w:szCs w:val="18"/>
              </w:rPr>
              <w:t xml:space="preserve"> percentile (using updated percentile tables)</w:t>
            </w:r>
          </w:p>
        </w:tc>
      </w:tr>
      <w:tr w:rsidR="00391816" w:rsidRPr="00391816" w:rsidTr="00391816">
        <w:trPr>
          <w:trHeight w:val="720"/>
        </w:trPr>
        <w:tc>
          <w:tcPr>
            <w:tcW w:w="1075" w:type="dxa"/>
            <w:vMerge/>
          </w:tcPr>
          <w:p w:rsidR="00391816" w:rsidRPr="00391816" w:rsidRDefault="00391816" w:rsidP="00391816">
            <w:pPr>
              <w:rPr>
                <w:rFonts w:ascii="Arial" w:hAnsi="Arial" w:cs="Arial"/>
                <w:sz w:val="18"/>
                <w:szCs w:val="18"/>
              </w:rPr>
            </w:pPr>
          </w:p>
        </w:tc>
        <w:tc>
          <w:tcPr>
            <w:tcW w:w="2160" w:type="dxa"/>
          </w:tcPr>
          <w:p w:rsidR="00391816" w:rsidRPr="00391816" w:rsidRDefault="00391816" w:rsidP="00756350">
            <w:pPr>
              <w:rPr>
                <w:rFonts w:ascii="Arial" w:hAnsi="Arial" w:cs="Arial"/>
                <w:sz w:val="18"/>
                <w:szCs w:val="18"/>
              </w:rPr>
            </w:pPr>
            <w:r w:rsidRPr="00391816">
              <w:rPr>
                <w:rFonts w:ascii="Arial" w:hAnsi="Arial" w:cs="Arial"/>
                <w:sz w:val="18"/>
                <w:szCs w:val="18"/>
              </w:rPr>
              <w:t>Hypertension</w:t>
            </w:r>
          </w:p>
        </w:tc>
        <w:tc>
          <w:tcPr>
            <w:tcW w:w="3330" w:type="dxa"/>
          </w:tcPr>
          <w:p w:rsidR="00391816" w:rsidRPr="00391816" w:rsidRDefault="00391816" w:rsidP="00756350">
            <w:pPr>
              <w:rPr>
                <w:rFonts w:ascii="Arial" w:hAnsi="Arial" w:cs="Arial"/>
                <w:sz w:val="18"/>
                <w:szCs w:val="18"/>
              </w:rPr>
            </w:pPr>
            <w:r w:rsidRPr="00391816">
              <w:rPr>
                <w:rFonts w:ascii="Arial" w:hAnsi="Arial" w:cs="Arial"/>
                <w:sz w:val="18"/>
                <w:szCs w:val="18"/>
              </w:rPr>
              <w:t xml:space="preserve">≥95th percentile, or </w:t>
            </w:r>
            <w:r>
              <w:rPr>
                <w:rFonts w:ascii="Arial" w:hAnsi="Arial" w:cs="Arial"/>
                <w:sz w:val="18"/>
                <w:szCs w:val="18"/>
              </w:rPr>
              <w:t xml:space="preserve">antihypertensive </w:t>
            </w:r>
            <w:r w:rsidRPr="00391816">
              <w:rPr>
                <w:rFonts w:ascii="Arial" w:hAnsi="Arial" w:cs="Arial"/>
                <w:sz w:val="18"/>
                <w:szCs w:val="18"/>
              </w:rPr>
              <w:t>med</w:t>
            </w:r>
            <w:r>
              <w:rPr>
                <w:rFonts w:ascii="Arial" w:hAnsi="Arial" w:cs="Arial"/>
                <w:sz w:val="18"/>
                <w:szCs w:val="18"/>
              </w:rPr>
              <w:t>ication</w:t>
            </w:r>
            <w:r w:rsidRPr="00391816">
              <w:rPr>
                <w:rFonts w:ascii="Arial" w:hAnsi="Arial" w:cs="Arial"/>
                <w:sz w:val="18"/>
                <w:szCs w:val="18"/>
              </w:rPr>
              <w:t xml:space="preserve"> use</w:t>
            </w:r>
            <w:r w:rsidR="00636EDC" w:rsidRPr="00340393">
              <w:rPr>
                <w:szCs w:val="24"/>
                <w:vertAlign w:val="superscript"/>
              </w:rPr>
              <w:t>§</w:t>
            </w:r>
            <w:r w:rsidRPr="00391816">
              <w:rPr>
                <w:rFonts w:ascii="Arial" w:hAnsi="Arial" w:cs="Arial"/>
                <w:sz w:val="18"/>
                <w:szCs w:val="18"/>
              </w:rPr>
              <w:t xml:space="preserve"> (using 2004 percentile tables)</w:t>
            </w:r>
          </w:p>
        </w:tc>
        <w:tc>
          <w:tcPr>
            <w:tcW w:w="3505" w:type="dxa"/>
          </w:tcPr>
          <w:p w:rsidR="00391816" w:rsidRPr="00391816" w:rsidRDefault="00391816" w:rsidP="00756350">
            <w:pPr>
              <w:rPr>
                <w:rFonts w:ascii="Arial" w:hAnsi="Arial" w:cs="Arial"/>
                <w:sz w:val="18"/>
                <w:szCs w:val="18"/>
              </w:rPr>
            </w:pPr>
            <w:r w:rsidRPr="00391816">
              <w:rPr>
                <w:rFonts w:ascii="Arial" w:hAnsi="Arial" w:cs="Arial"/>
                <w:sz w:val="18"/>
                <w:szCs w:val="18"/>
              </w:rPr>
              <w:t>≥95</w:t>
            </w:r>
            <w:r w:rsidRPr="00391816">
              <w:rPr>
                <w:rFonts w:ascii="Arial" w:hAnsi="Arial" w:cs="Arial"/>
                <w:sz w:val="18"/>
                <w:szCs w:val="18"/>
                <w:vertAlign w:val="superscript"/>
              </w:rPr>
              <w:t>th</w:t>
            </w:r>
            <w:r w:rsidRPr="00391816">
              <w:rPr>
                <w:rFonts w:ascii="Arial" w:hAnsi="Arial" w:cs="Arial"/>
                <w:sz w:val="18"/>
                <w:szCs w:val="18"/>
              </w:rPr>
              <w:t xml:space="preserve"> percentile, BP ≥130/80 mmHg, or </w:t>
            </w:r>
            <w:r>
              <w:rPr>
                <w:rFonts w:ascii="Arial" w:hAnsi="Arial" w:cs="Arial"/>
                <w:sz w:val="18"/>
                <w:szCs w:val="18"/>
              </w:rPr>
              <w:t xml:space="preserve">antihypertensive </w:t>
            </w:r>
            <w:r w:rsidRPr="00391816">
              <w:rPr>
                <w:rFonts w:ascii="Arial" w:hAnsi="Arial" w:cs="Arial"/>
                <w:sz w:val="18"/>
                <w:szCs w:val="18"/>
              </w:rPr>
              <w:t>med</w:t>
            </w:r>
            <w:r>
              <w:rPr>
                <w:rFonts w:ascii="Arial" w:hAnsi="Arial" w:cs="Arial"/>
                <w:sz w:val="18"/>
                <w:szCs w:val="18"/>
              </w:rPr>
              <w:t>ication</w:t>
            </w:r>
            <w:r w:rsidRPr="00391816">
              <w:rPr>
                <w:rFonts w:ascii="Arial" w:hAnsi="Arial" w:cs="Arial"/>
                <w:sz w:val="18"/>
                <w:szCs w:val="18"/>
              </w:rPr>
              <w:t xml:space="preserve"> use</w:t>
            </w:r>
            <w:r w:rsidR="00636EDC" w:rsidRPr="00340393">
              <w:rPr>
                <w:szCs w:val="24"/>
                <w:vertAlign w:val="superscript"/>
              </w:rPr>
              <w:t>§</w:t>
            </w:r>
            <w:r w:rsidRPr="00391816">
              <w:rPr>
                <w:rFonts w:ascii="Arial" w:hAnsi="Arial" w:cs="Arial"/>
                <w:sz w:val="18"/>
                <w:szCs w:val="18"/>
              </w:rPr>
              <w:t xml:space="preserve"> (using updated percentile tables)</w:t>
            </w:r>
          </w:p>
        </w:tc>
      </w:tr>
      <w:tr w:rsidR="00391816" w:rsidRPr="00391816" w:rsidTr="00391816">
        <w:trPr>
          <w:trHeight w:val="540"/>
        </w:trPr>
        <w:tc>
          <w:tcPr>
            <w:tcW w:w="1075" w:type="dxa"/>
            <w:vMerge w:val="restart"/>
          </w:tcPr>
          <w:p w:rsidR="00391816" w:rsidRPr="00391816" w:rsidRDefault="00391816" w:rsidP="00391816">
            <w:pPr>
              <w:rPr>
                <w:rFonts w:ascii="Arial" w:hAnsi="Arial" w:cs="Arial"/>
                <w:sz w:val="18"/>
                <w:szCs w:val="18"/>
              </w:rPr>
            </w:pPr>
            <w:r w:rsidRPr="00391816">
              <w:rPr>
                <w:rFonts w:ascii="Arial" w:hAnsi="Arial" w:cs="Arial"/>
                <w:sz w:val="18"/>
                <w:szCs w:val="18"/>
              </w:rPr>
              <w:t>18–19</w:t>
            </w:r>
          </w:p>
        </w:tc>
        <w:tc>
          <w:tcPr>
            <w:tcW w:w="2160" w:type="dxa"/>
          </w:tcPr>
          <w:p w:rsidR="00391816" w:rsidRPr="00391816" w:rsidRDefault="00391816" w:rsidP="00756350">
            <w:pPr>
              <w:rPr>
                <w:rFonts w:ascii="Arial" w:hAnsi="Arial" w:cs="Arial"/>
                <w:sz w:val="18"/>
                <w:szCs w:val="18"/>
              </w:rPr>
            </w:pPr>
            <w:r w:rsidRPr="00391816">
              <w:rPr>
                <w:rFonts w:ascii="Arial" w:hAnsi="Arial" w:cs="Arial"/>
                <w:sz w:val="18"/>
                <w:szCs w:val="18"/>
              </w:rPr>
              <w:t>Elevated blood pressure</w:t>
            </w:r>
          </w:p>
        </w:tc>
        <w:tc>
          <w:tcPr>
            <w:tcW w:w="3330" w:type="dxa"/>
          </w:tcPr>
          <w:p w:rsidR="00391816" w:rsidRPr="00391816" w:rsidRDefault="00391816" w:rsidP="00756350">
            <w:pPr>
              <w:rPr>
                <w:rFonts w:ascii="Arial" w:hAnsi="Arial" w:cs="Arial"/>
                <w:sz w:val="18"/>
                <w:szCs w:val="18"/>
              </w:rPr>
            </w:pPr>
            <w:r w:rsidRPr="00391816">
              <w:rPr>
                <w:rFonts w:ascii="Arial" w:hAnsi="Arial" w:cs="Arial"/>
                <w:sz w:val="18"/>
                <w:szCs w:val="18"/>
              </w:rPr>
              <w:t>SBP ≥120 to &lt;140 mmHg or DBP ≥80 to &lt;90 mmHg</w:t>
            </w:r>
          </w:p>
        </w:tc>
        <w:tc>
          <w:tcPr>
            <w:tcW w:w="3505" w:type="dxa"/>
          </w:tcPr>
          <w:p w:rsidR="00391816" w:rsidRPr="00391816" w:rsidRDefault="00391816" w:rsidP="00756350">
            <w:pPr>
              <w:rPr>
                <w:rFonts w:ascii="Arial" w:hAnsi="Arial" w:cs="Arial"/>
                <w:sz w:val="18"/>
                <w:szCs w:val="18"/>
              </w:rPr>
            </w:pPr>
            <w:r w:rsidRPr="00391816">
              <w:rPr>
                <w:rFonts w:ascii="Arial" w:hAnsi="Arial" w:cs="Arial"/>
                <w:sz w:val="18"/>
                <w:szCs w:val="18"/>
              </w:rPr>
              <w:t>SBP ≥120 to &lt;130 mmHg and DBP &lt;80 mmHg</w:t>
            </w:r>
          </w:p>
        </w:tc>
      </w:tr>
      <w:tr w:rsidR="00391816" w:rsidRPr="00391816" w:rsidTr="00391816">
        <w:tc>
          <w:tcPr>
            <w:tcW w:w="1075" w:type="dxa"/>
            <w:vMerge/>
            <w:tcBorders>
              <w:bottom w:val="single" w:sz="4" w:space="0" w:color="auto"/>
            </w:tcBorders>
          </w:tcPr>
          <w:p w:rsidR="00391816" w:rsidRPr="00391816" w:rsidRDefault="00391816" w:rsidP="00391816">
            <w:pPr>
              <w:rPr>
                <w:rFonts w:ascii="Arial" w:hAnsi="Arial" w:cs="Arial"/>
                <w:sz w:val="18"/>
                <w:szCs w:val="18"/>
              </w:rPr>
            </w:pPr>
          </w:p>
        </w:tc>
        <w:tc>
          <w:tcPr>
            <w:tcW w:w="2160" w:type="dxa"/>
            <w:tcBorders>
              <w:bottom w:val="single" w:sz="4" w:space="0" w:color="auto"/>
            </w:tcBorders>
          </w:tcPr>
          <w:p w:rsidR="00391816" w:rsidRPr="00391816" w:rsidRDefault="00391816" w:rsidP="00756350">
            <w:pPr>
              <w:rPr>
                <w:rFonts w:ascii="Arial" w:hAnsi="Arial" w:cs="Arial"/>
                <w:sz w:val="18"/>
                <w:szCs w:val="18"/>
              </w:rPr>
            </w:pPr>
            <w:r w:rsidRPr="00391816">
              <w:rPr>
                <w:rFonts w:ascii="Arial" w:hAnsi="Arial" w:cs="Arial"/>
                <w:sz w:val="18"/>
                <w:szCs w:val="18"/>
              </w:rPr>
              <w:t>Hypertension</w:t>
            </w:r>
          </w:p>
        </w:tc>
        <w:tc>
          <w:tcPr>
            <w:tcW w:w="3330" w:type="dxa"/>
            <w:tcBorders>
              <w:bottom w:val="single" w:sz="4" w:space="0" w:color="auto"/>
            </w:tcBorders>
          </w:tcPr>
          <w:p w:rsidR="00391816" w:rsidRPr="00391816" w:rsidRDefault="00391816" w:rsidP="00756350">
            <w:pPr>
              <w:rPr>
                <w:rFonts w:ascii="Arial" w:hAnsi="Arial" w:cs="Arial"/>
                <w:sz w:val="18"/>
                <w:szCs w:val="18"/>
              </w:rPr>
            </w:pPr>
            <w:r w:rsidRPr="00391816">
              <w:rPr>
                <w:rFonts w:ascii="Arial" w:hAnsi="Arial" w:cs="Arial"/>
                <w:sz w:val="18"/>
                <w:szCs w:val="18"/>
              </w:rPr>
              <w:t xml:space="preserve">≥140/90 mmHg, or </w:t>
            </w:r>
            <w:r>
              <w:rPr>
                <w:rFonts w:ascii="Arial" w:hAnsi="Arial" w:cs="Arial"/>
                <w:sz w:val="18"/>
                <w:szCs w:val="18"/>
              </w:rPr>
              <w:t xml:space="preserve">antihypertensive </w:t>
            </w:r>
            <w:r w:rsidRPr="00391816">
              <w:rPr>
                <w:rFonts w:ascii="Arial" w:hAnsi="Arial" w:cs="Arial"/>
                <w:sz w:val="18"/>
                <w:szCs w:val="18"/>
              </w:rPr>
              <w:t>med</w:t>
            </w:r>
            <w:r>
              <w:rPr>
                <w:rFonts w:ascii="Arial" w:hAnsi="Arial" w:cs="Arial"/>
                <w:sz w:val="18"/>
                <w:szCs w:val="18"/>
              </w:rPr>
              <w:t>ication</w:t>
            </w:r>
            <w:r w:rsidRPr="00391816">
              <w:rPr>
                <w:rFonts w:ascii="Arial" w:hAnsi="Arial" w:cs="Arial"/>
                <w:sz w:val="18"/>
                <w:szCs w:val="18"/>
              </w:rPr>
              <w:t xml:space="preserve"> use</w:t>
            </w:r>
            <w:r w:rsidR="00100D06" w:rsidRPr="00340393">
              <w:rPr>
                <w:szCs w:val="24"/>
                <w:vertAlign w:val="superscript"/>
              </w:rPr>
              <w:t>§</w:t>
            </w:r>
          </w:p>
        </w:tc>
        <w:tc>
          <w:tcPr>
            <w:tcW w:w="3505" w:type="dxa"/>
            <w:tcBorders>
              <w:bottom w:val="single" w:sz="4" w:space="0" w:color="auto"/>
            </w:tcBorders>
          </w:tcPr>
          <w:p w:rsidR="00391816" w:rsidRPr="00391816" w:rsidRDefault="00391816" w:rsidP="00756350">
            <w:pPr>
              <w:rPr>
                <w:rFonts w:ascii="Arial" w:hAnsi="Arial" w:cs="Arial"/>
                <w:sz w:val="18"/>
                <w:szCs w:val="18"/>
              </w:rPr>
            </w:pPr>
            <w:r w:rsidRPr="00391816">
              <w:rPr>
                <w:rFonts w:ascii="Arial" w:hAnsi="Arial" w:cs="Arial"/>
                <w:sz w:val="18"/>
                <w:szCs w:val="18"/>
              </w:rPr>
              <w:t xml:space="preserve">≥130/80 mmHg, or </w:t>
            </w:r>
            <w:r>
              <w:rPr>
                <w:rFonts w:ascii="Arial" w:hAnsi="Arial" w:cs="Arial"/>
                <w:sz w:val="18"/>
                <w:szCs w:val="18"/>
              </w:rPr>
              <w:t xml:space="preserve">antihypertensive </w:t>
            </w:r>
            <w:r w:rsidRPr="00391816">
              <w:rPr>
                <w:rFonts w:ascii="Arial" w:hAnsi="Arial" w:cs="Arial"/>
                <w:sz w:val="18"/>
                <w:szCs w:val="18"/>
              </w:rPr>
              <w:t>med</w:t>
            </w:r>
            <w:r>
              <w:rPr>
                <w:rFonts w:ascii="Arial" w:hAnsi="Arial" w:cs="Arial"/>
                <w:sz w:val="18"/>
                <w:szCs w:val="18"/>
              </w:rPr>
              <w:t>ication</w:t>
            </w:r>
            <w:r w:rsidRPr="00391816">
              <w:rPr>
                <w:rFonts w:ascii="Arial" w:hAnsi="Arial" w:cs="Arial"/>
                <w:sz w:val="18"/>
                <w:szCs w:val="18"/>
              </w:rPr>
              <w:t xml:space="preserve"> use</w:t>
            </w:r>
            <w:r w:rsidR="00100D06" w:rsidRPr="00340393">
              <w:rPr>
                <w:szCs w:val="24"/>
                <w:vertAlign w:val="superscript"/>
              </w:rPr>
              <w:t>§</w:t>
            </w:r>
          </w:p>
        </w:tc>
      </w:tr>
    </w:tbl>
    <w:p w:rsidR="00FF49BF" w:rsidRPr="00636EDC" w:rsidRDefault="00FF49BF" w:rsidP="00FF49BF">
      <w:pPr>
        <w:rPr>
          <w:rFonts w:ascii="Arial" w:hAnsi="Arial" w:cs="Arial"/>
          <w:sz w:val="18"/>
          <w:szCs w:val="18"/>
        </w:rPr>
      </w:pPr>
      <w:r w:rsidRPr="001E28B4">
        <w:rPr>
          <w:rFonts w:ascii="Arial" w:hAnsi="Arial" w:cs="Arial"/>
          <w:sz w:val="18"/>
          <w:szCs w:val="18"/>
        </w:rPr>
        <w:t xml:space="preserve">* National High Blood Pressure Education Program Working Group on High Blood Pressure in Children and Adolescents. The Fourth Report on the Diagnosis, Evaluation, and Treatment of High Blood Pressure in Children and Adolescents. Pediatrics 2004; </w:t>
      </w:r>
      <w:r w:rsidRPr="00636EDC">
        <w:rPr>
          <w:rFonts w:ascii="Arial" w:hAnsi="Arial" w:cs="Arial"/>
          <w:sz w:val="18"/>
          <w:szCs w:val="18"/>
        </w:rPr>
        <w:t>114(2 Suppl):555-76.</w:t>
      </w:r>
    </w:p>
    <w:p w:rsidR="00FC70C6" w:rsidRPr="00636EDC" w:rsidRDefault="00FF49BF">
      <w:pPr>
        <w:rPr>
          <w:rFonts w:ascii="Arial" w:hAnsi="Arial" w:cs="Arial"/>
          <w:sz w:val="18"/>
          <w:szCs w:val="18"/>
        </w:rPr>
      </w:pPr>
      <w:r w:rsidRPr="00636EDC">
        <w:rPr>
          <w:rFonts w:ascii="Arial" w:hAnsi="Arial" w:cs="Arial"/>
          <w:sz w:val="18"/>
          <w:szCs w:val="18"/>
          <w:vertAlign w:val="superscript"/>
        </w:rPr>
        <w:t>†</w:t>
      </w:r>
      <w:r w:rsidRPr="00636EDC">
        <w:rPr>
          <w:rFonts w:ascii="Arial" w:hAnsi="Arial" w:cs="Arial"/>
          <w:sz w:val="18"/>
          <w:szCs w:val="18"/>
        </w:rPr>
        <w:t xml:space="preserve"> Flynn JT, Kaelber DC, Baker-Smith CM, et al. Clinical Practice Guideline for Screening and Management of High Blood Pressure in Children and Adolescents. Pediatrics 2017;140:e20171904.</w:t>
      </w:r>
    </w:p>
    <w:p w:rsidR="00636EDC" w:rsidRPr="00636EDC" w:rsidRDefault="00636EDC">
      <w:pPr>
        <w:rPr>
          <w:rFonts w:ascii="Arial" w:hAnsi="Arial" w:cs="Arial"/>
          <w:sz w:val="18"/>
          <w:szCs w:val="18"/>
        </w:rPr>
      </w:pPr>
      <w:r w:rsidRPr="00636EDC">
        <w:rPr>
          <w:rFonts w:ascii="Arial" w:hAnsi="Arial" w:cs="Arial"/>
          <w:sz w:val="18"/>
          <w:szCs w:val="18"/>
          <w:vertAlign w:val="superscript"/>
        </w:rPr>
        <w:t xml:space="preserve">§ </w:t>
      </w:r>
      <w:r w:rsidRPr="00636EDC">
        <w:rPr>
          <w:rFonts w:ascii="Arial" w:hAnsi="Arial" w:cs="Arial"/>
          <w:sz w:val="18"/>
          <w:szCs w:val="18"/>
        </w:rPr>
        <w:t>Self-reported antihypertensive</w:t>
      </w:r>
      <w:bookmarkStart w:id="0" w:name="_GoBack"/>
      <w:r w:rsidR="00100D06">
        <w:rPr>
          <w:rFonts w:ascii="Arial" w:hAnsi="Arial" w:cs="Arial"/>
          <w:sz w:val="18"/>
          <w:szCs w:val="18"/>
        </w:rPr>
        <w:t xml:space="preserve"> medication</w:t>
      </w:r>
      <w:bookmarkEnd w:id="0"/>
      <w:r w:rsidRPr="00636EDC">
        <w:rPr>
          <w:rFonts w:ascii="Arial" w:hAnsi="Arial" w:cs="Arial"/>
          <w:sz w:val="18"/>
          <w:szCs w:val="18"/>
        </w:rPr>
        <w:t xml:space="preserve"> use from the Blood Pressure and Cholesterol Module (e.g., “Because of your high blood pressure/hypertension, have you ever been told to take prescribed medicine?”). Available only for those aged &gt;15 years.</w:t>
      </w:r>
    </w:p>
    <w:sectPr w:rsidR="00636EDC" w:rsidRPr="00636EDC"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EC"/>
    <w:rsid w:val="00100D06"/>
    <w:rsid w:val="001A1D18"/>
    <w:rsid w:val="001E28B4"/>
    <w:rsid w:val="00212212"/>
    <w:rsid w:val="002A328C"/>
    <w:rsid w:val="00391816"/>
    <w:rsid w:val="003A50C6"/>
    <w:rsid w:val="00632726"/>
    <w:rsid w:val="00636EDC"/>
    <w:rsid w:val="00756350"/>
    <w:rsid w:val="009B3A3C"/>
    <w:rsid w:val="00A80E4B"/>
    <w:rsid w:val="00B6195F"/>
    <w:rsid w:val="00C91DEC"/>
    <w:rsid w:val="00CF7172"/>
    <w:rsid w:val="00D26908"/>
    <w:rsid w:val="00E00B5E"/>
    <w:rsid w:val="00E23F59"/>
    <w:rsid w:val="00FC70C6"/>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FEB4A-0264-493A-9368-F3EEA5D4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3A3C"/>
    <w:pPr>
      <w:spacing w:after="0" w:line="240" w:lineRule="auto"/>
    </w:pPr>
    <w:rPr>
      <w:rFonts w:ascii="Times New Roman" w:eastAsia="Times New Roman" w:hAnsi="Times New Roman" w:cs="Times New Roman"/>
      <w:sz w:val="20"/>
      <w:szCs w:val="20"/>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Sandra L. (CDC/ONDIEH/NCCDPHP)</dc:creator>
  <cp:keywords/>
  <dc:description/>
  <cp:lastModifiedBy>Dunworth, Soumya (CDC/OPHSS/CSELS/DPHID) (CTR)</cp:lastModifiedBy>
  <cp:revision>4</cp:revision>
  <dcterms:created xsi:type="dcterms:W3CDTF">2018-07-10T14:47:00Z</dcterms:created>
  <dcterms:modified xsi:type="dcterms:W3CDTF">2018-07-10T15:58:00Z</dcterms:modified>
</cp:coreProperties>
</file>