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8C" w:rsidRPr="00CE5397" w:rsidRDefault="00DF1E8C" w:rsidP="00DF1E8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F92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T</w:t>
      </w:r>
      <w:r w:rsidRPr="00CE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able 1</w:t>
      </w:r>
      <w:r w:rsidR="00F92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E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r w:rsidRPr="00CE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Number and type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CE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underlying medical condition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CE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among high-risk children in the cohort</w:t>
      </w:r>
      <w:r w:rsidR="00F92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245"/>
      </w:tblGrid>
      <w:tr w:rsidR="00DF1E8C" w:rsidRPr="00705123" w:rsidTr="0022079D">
        <w:tc>
          <w:tcPr>
            <w:tcW w:w="7825" w:type="dxa"/>
            <w:tcBorders>
              <w:bottom w:val="single" w:sz="4" w:space="0" w:color="auto"/>
            </w:tcBorders>
          </w:tcPr>
          <w:bookmarkEnd w:id="0"/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Underlying medical condition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Frequency (% of total children in the cohort)</w:t>
            </w:r>
          </w:p>
        </w:tc>
      </w:tr>
      <w:tr w:rsidR="00DF1E8C" w:rsidRPr="00705123" w:rsidTr="0022079D">
        <w:tc>
          <w:tcPr>
            <w:tcW w:w="7825" w:type="dxa"/>
            <w:tcBorders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 condition</w:t>
            </w:r>
          </w:p>
        </w:tc>
        <w:tc>
          <w:tcPr>
            <w:tcW w:w="2245" w:type="dxa"/>
            <w:tcBorders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 (25.0)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Born at &lt;37 gestational weeks or birth weight &lt;2,500 grams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(14.8)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Congenital heart or circulatory disease (excluding hypertension)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(3.7)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Respiratory disease (e.g., asthma, chronic lung or airway disease, abnormality of the upper airway)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(2.1)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Developmental delay (e.g., Down’s syndrome)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(1.5)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Neurologic/neuromuscular disorder (including muscular dystrophy, cerebral palsy)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(0.9)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Hemoglobinopathy</w:t>
            </w:r>
            <w:proofErr w:type="spellEnd"/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including thalassemia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(0.5)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Metabolic disease (including diabetes)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(0.5)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Kidney disease 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(0.4)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HIV infection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(0.3)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Cancer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(0.2)</w:t>
            </w:r>
          </w:p>
        </w:tc>
      </w:tr>
      <w:tr w:rsidR="00DF1E8C" w:rsidRPr="00705123" w:rsidTr="0022079D">
        <w:tc>
          <w:tcPr>
            <w:tcW w:w="7825" w:type="dxa"/>
            <w:tcBorders>
              <w:top w:val="nil"/>
            </w:tcBorders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Liver</w:t>
            </w:r>
          </w:p>
        </w:tc>
        <w:tc>
          <w:tcPr>
            <w:tcW w:w="2245" w:type="dxa"/>
            <w:tcBorders>
              <w:top w:val="nil"/>
            </w:tcBorders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(0.1)</w:t>
            </w:r>
          </w:p>
        </w:tc>
      </w:tr>
      <w:tr w:rsidR="00DF1E8C" w:rsidRPr="00705123" w:rsidTr="0022079D">
        <w:tc>
          <w:tcPr>
            <w:tcW w:w="7825" w:type="dxa"/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 conditions</w:t>
            </w:r>
          </w:p>
        </w:tc>
        <w:tc>
          <w:tcPr>
            <w:tcW w:w="2245" w:type="dxa"/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(9.2)</w:t>
            </w:r>
          </w:p>
        </w:tc>
      </w:tr>
      <w:tr w:rsidR="00DF1E8C" w:rsidRPr="00705123" w:rsidTr="0022079D">
        <w:tc>
          <w:tcPr>
            <w:tcW w:w="7825" w:type="dxa"/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Three conditions</w:t>
            </w:r>
          </w:p>
        </w:tc>
        <w:tc>
          <w:tcPr>
            <w:tcW w:w="2245" w:type="dxa"/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(5.3)</w:t>
            </w:r>
          </w:p>
        </w:tc>
      </w:tr>
      <w:tr w:rsidR="00DF1E8C" w:rsidRPr="00705123" w:rsidTr="0022079D">
        <w:tc>
          <w:tcPr>
            <w:tcW w:w="7825" w:type="dxa"/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Four conditions</w:t>
            </w:r>
          </w:p>
        </w:tc>
        <w:tc>
          <w:tcPr>
            <w:tcW w:w="2245" w:type="dxa"/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(1.6)</w:t>
            </w:r>
          </w:p>
        </w:tc>
      </w:tr>
      <w:tr w:rsidR="00DF1E8C" w:rsidRPr="00705123" w:rsidTr="0022079D">
        <w:tc>
          <w:tcPr>
            <w:tcW w:w="7825" w:type="dxa"/>
          </w:tcPr>
          <w:p w:rsidR="00DF1E8C" w:rsidRPr="00CE5397" w:rsidRDefault="00DF1E8C" w:rsidP="0022079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More than four conditions</w:t>
            </w:r>
          </w:p>
        </w:tc>
        <w:tc>
          <w:tcPr>
            <w:tcW w:w="2245" w:type="dxa"/>
          </w:tcPr>
          <w:p w:rsidR="00DF1E8C" w:rsidRPr="00CE5397" w:rsidRDefault="00DF1E8C" w:rsidP="0022079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(1.2)</w:t>
            </w:r>
          </w:p>
        </w:tc>
      </w:tr>
    </w:tbl>
    <w:p w:rsidR="00FE09E4" w:rsidRDefault="00FE09E4" w:rsidP="00895100"/>
    <w:sectPr w:rsidR="00FE09E4" w:rsidSect="00DD645B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C"/>
    <w:rsid w:val="00895100"/>
    <w:rsid w:val="00DF1E8C"/>
    <w:rsid w:val="00F92964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D9981-4CC2-4B4A-9C04-5E37D0A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8C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8C"/>
    <w:pPr>
      <w:spacing w:after="0" w:line="240" w:lineRule="auto"/>
    </w:pPr>
    <w:rPr>
      <w:rFonts w:eastAsiaTheme="minorEastAsia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Wanitchaya Kittikraisak (June)</dc:creator>
  <cp:keywords/>
  <dc:description/>
  <cp:lastModifiedBy>Kittikraisak, Wanitchaya (CDC/OID/NCIRD)</cp:lastModifiedBy>
  <cp:revision>3</cp:revision>
  <dcterms:created xsi:type="dcterms:W3CDTF">2018-01-08T03:44:00Z</dcterms:created>
  <dcterms:modified xsi:type="dcterms:W3CDTF">2018-05-03T01:53:00Z</dcterms:modified>
</cp:coreProperties>
</file>