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480" w:lineRule="auto"/>
        <w:contextualSpacing w:val="0"/>
        <w:rPr/>
      </w:pPr>
      <w:r w:rsidDel="00000000" w:rsidR="00000000" w:rsidRPr="00000000">
        <w:rPr>
          <w:b w:val="1"/>
          <w:color w:val="000000"/>
          <w:rtl w:val="0"/>
        </w:rPr>
        <w:t xml:space="preserve">Supplemental Table </w:t>
      </w:r>
      <w:r w:rsidDel="00000000" w:rsidR="00000000" w:rsidRPr="00000000">
        <w:rPr>
          <w:b w:val="1"/>
          <w:rtl w:val="0"/>
        </w:rPr>
        <w:t xml:space="preserve">2. AUROC for logistic regression models predicting total in-hospital mortality and acute 14-day mortality based on single biomarkers.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7500.0" w:type="dxa"/>
        <w:jc w:val="left"/>
        <w:tblInd w:w="4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75"/>
        <w:gridCol w:w="1875"/>
        <w:gridCol w:w="1875"/>
        <w:gridCol w:w="1875"/>
        <w:tblGridChange w:id="0">
          <w:tblGrid>
            <w:gridCol w:w="1875"/>
            <w:gridCol w:w="1875"/>
            <w:gridCol w:w="1875"/>
            <w:gridCol w:w="1875"/>
          </w:tblGrid>
        </w:tblGridChange>
      </w:tblGrid>
      <w:tr>
        <w:trPr>
          <w:trHeight w:val="54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Biomarker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Time</w:t>
            </w:r>
          </w:p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(hours)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AUROC</w:t>
            </w:r>
          </w:p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14-Day Mortality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AUROC</w:t>
            </w:r>
          </w:p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Total Mortality</w:t>
            </w:r>
          </w:p>
        </w:tc>
      </w:tr>
      <w:tr>
        <w:trPr>
          <w:trHeight w:val="300" w:hRule="atLeast"/>
        </w:trPr>
        <w:tc>
          <w:tcPr>
            <w:vMerge w:val="restart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A2M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0.531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0.490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0.580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0.532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0.580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0.506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0.560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0.499</w:t>
            </w:r>
          </w:p>
        </w:tc>
      </w:tr>
      <w:tr>
        <w:trPr>
          <w:trHeight w:val="300" w:hRule="atLeast"/>
        </w:trPr>
        <w:tc>
          <w:tcPr>
            <w:vMerge w:val="restart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CRP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0.502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0.562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0.607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0.583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0.469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0.558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0.526</w:t>
            </w:r>
          </w:p>
        </w:tc>
      </w:tr>
      <w:tr>
        <w:trPr>
          <w:trHeight w:val="300" w:hRule="atLeast"/>
        </w:trPr>
        <w:tc>
          <w:tcPr>
            <w:vMerge w:val="restart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FER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0.590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0.588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0.559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0.587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0.589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0.611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0.646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0.645</w:t>
            </w:r>
          </w:p>
        </w:tc>
      </w:tr>
      <w:tr>
        <w:trPr>
          <w:trHeight w:val="300" w:hRule="atLeast"/>
        </w:trPr>
        <w:tc>
          <w:tcPr>
            <w:vMerge w:val="restart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FIB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0.612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0.612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0.567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0.577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0.438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0.560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0.610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0.607</w:t>
            </w:r>
          </w:p>
        </w:tc>
      </w:tr>
      <w:tr>
        <w:trPr>
          <w:trHeight w:val="300" w:hRule="atLeast"/>
        </w:trPr>
        <w:tc>
          <w:tcPr>
            <w:vMerge w:val="restart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HAP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0.563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0.540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0.580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0.554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0.619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0.565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0.591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0.538</w:t>
            </w:r>
          </w:p>
        </w:tc>
      </w:tr>
      <w:tr>
        <w:trPr>
          <w:trHeight w:val="300" w:hRule="atLeast"/>
        </w:trPr>
        <w:tc>
          <w:tcPr>
            <w:vMerge w:val="restart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PCT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0.575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0.566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0.507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0.500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0.579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0.543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0.622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0.583</w:t>
            </w:r>
          </w:p>
        </w:tc>
      </w:tr>
      <w:tr>
        <w:trPr>
          <w:trHeight w:val="300" w:hRule="atLeast"/>
        </w:trPr>
        <w:tc>
          <w:tcPr>
            <w:vMerge w:val="restart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SAA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0.482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0.490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0.542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0.460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0.624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0.570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0.580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0.528</w:t>
            </w:r>
          </w:p>
        </w:tc>
      </w:tr>
      <w:tr>
        <w:trPr>
          <w:trHeight w:val="300" w:hRule="atLeast"/>
        </w:trPr>
        <w:tc>
          <w:tcPr>
            <w:vMerge w:val="restart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cc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SAP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0.657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0.608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0.670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0.646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cc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cc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0.704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cc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0.696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cc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cc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0.678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cc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0.688</w:t>
            </w:r>
          </w:p>
        </w:tc>
      </w:tr>
      <w:tr>
        <w:trPr>
          <w:trHeight w:val="300" w:hRule="atLeast"/>
        </w:trPr>
        <w:tc>
          <w:tcPr>
            <w:vMerge w:val="restart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cc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TPA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cc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cc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0.651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cc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0.680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0.623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0.624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cc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cc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0.661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cc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0.661</w:t>
            </w:r>
          </w:p>
        </w:tc>
      </w:tr>
      <w:tr>
        <w:trPr>
          <w:trHeight w:val="300" w:hRule="atLeast"/>
        </w:trPr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cc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cc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0.726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cc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spacing w:line="276" w:lineRule="auto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0.673</w:t>
            </w:r>
          </w:p>
        </w:tc>
      </w:tr>
    </w:tbl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rPr/>
      </w:pPr>
      <w:r w:rsidDel="00000000" w:rsidR="00000000" w:rsidRPr="00000000">
        <w:rPr>
          <w:rtl w:val="0"/>
        </w:rPr>
        <w:t xml:space="preserve">The table displays the AUROC of logistic regression models for acute 14-day and total in-hospital mortality based on each biomarker at the time of meeting SIRS criteria, 24-hours, 48-hours, and 72-hours thereafter. The five best performing biomarkers for total in-hospital mortality are highlighted in grey.</w:t>
      </w:r>
    </w:p>
    <w:p w:rsidR="00000000" w:rsidDel="00000000" w:rsidP="00000000" w:rsidRDefault="00000000" w:rsidRPr="00000000">
      <w:pPr>
        <w:contextualSpacing w:val="0"/>
        <w:rPr/>
      </w:pPr>
      <w:bookmarkStart w:colFirst="0" w:colLast="0" w:name="_30j0zll" w:id="0"/>
      <w:bookmarkEnd w:id="0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-US"/>
      </w:rPr>
    </w:rPrDefault>
    <w:pPrDefault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