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480" w:lineRule="auto"/>
        <w:contextualSpacing w:val="0"/>
        <w:rPr/>
      </w:pPr>
      <w:r w:rsidDel="00000000" w:rsidR="00000000" w:rsidRPr="00000000">
        <w:rPr>
          <w:b w:val="1"/>
          <w:color w:val="000000"/>
          <w:rtl w:val="0"/>
        </w:rPr>
        <w:t xml:space="preserve">Supplemental Table 1</w:t>
      </w:r>
      <w:r w:rsidDel="00000000" w:rsidR="00000000" w:rsidRPr="00000000">
        <w:rPr>
          <w:b w:val="1"/>
          <w:rtl w:val="0"/>
        </w:rPr>
        <w:t xml:space="preserve">. Categorical comparison of biomarker values following suspected sepsis.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95.0" w:type="dxa"/>
        <w:jc w:val="left"/>
        <w:tblInd w:w="-160.0" w:type="dxa"/>
        <w:tblBorders>
          <w:top w:color="cccccc" w:space="0" w:sz="6" w:val="single"/>
          <w:left w:color="cccccc" w:space="0" w:sz="6" w:val="single"/>
          <w:bottom w:color="cccccc" w:space="0" w:sz="6" w:val="single"/>
          <w:right w:color="cccccc" w:space="0" w:sz="6" w:val="single"/>
          <w:insideH w:color="cccccc" w:space="0" w:sz="6" w:val="single"/>
          <w:insideV w:color="cccccc" w:space="0" w:sz="6" w:val="single"/>
        </w:tblBorders>
        <w:tblLayout w:type="fixed"/>
        <w:tblLook w:val="0600"/>
      </w:tblPr>
      <w:tblGrid>
        <w:gridCol w:w="1200"/>
        <w:gridCol w:w="1065"/>
        <w:gridCol w:w="1125"/>
        <w:gridCol w:w="1110"/>
        <w:gridCol w:w="1050"/>
        <w:gridCol w:w="1140"/>
        <w:gridCol w:w="1110"/>
        <w:gridCol w:w="1095"/>
        <w:tblGridChange w:id="0">
          <w:tblGrid>
            <w:gridCol w:w="1200"/>
            <w:gridCol w:w="1065"/>
            <w:gridCol w:w="1125"/>
            <w:gridCol w:w="1110"/>
            <w:gridCol w:w="1050"/>
            <w:gridCol w:w="1140"/>
            <w:gridCol w:w="1110"/>
            <w:gridCol w:w="1095"/>
          </w:tblGrid>
        </w:tblGridChange>
      </w:tblGrid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Biomarker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Time (hours)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Acute 14-Day Mortality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Total In-Hospital Mortality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Mortality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Median (IQR)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8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p-value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Mortality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Median (IQR)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p-value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A2M</w:t>
              <w:br w:type="textWrapping"/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(mg/dL)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102.45 (50.97)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0.672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104.65 (53.38)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0.855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110.52 (37.18)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99.18 (41.82)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83.2 (46.84)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83.14 (51.93)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0.559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90.51 (37.4)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86.59 (38.45)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80.88 (48.13)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81.32 (51.92)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0.906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94.9 (31.24)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90.92 (36.22)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89.71 (41.02)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89.78 (42.75)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0.982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95.64 (33.6)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89.71 (34.02)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CRP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(mg/L)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75.02 (103)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0.977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85.53 (115.22)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0.249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71.47 (137.31)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57.49 (81.24)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109.92 (111.04)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117.77 (110.23)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0.123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78.03 (102.87)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86.42 (102.09)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91.35 (89.89)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0.677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97.29 (96.47)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0.279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92.1 (97.92)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84.87 (68.71)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70.8 (82.51)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0.605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69.82 (106.54)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0.626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89.61 (104.3)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83.8 (55.49)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FER</w:t>
              <w:br w:type="textWrapping"/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(ng/mL)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97.65 (291.51)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95.4 (269.64)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0.104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149.55 (233.68)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137.82 (338.61)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148.62 (359.98)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141.57 (303.86)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0.106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181.75 (215.46)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192.72 (377.19)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158.64 (314.09)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152.88 (285.79)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0.039*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175.84 (317.62)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180.84 (516.97)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127.79 (301.18)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0.046*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121.03 (231.08)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0.007*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223.81 (290.32)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233.87 (361.77)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FIB</w:t>
              <w:br w:type="textWrapping"/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(µg/mL)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5.94 (2.84)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5.8 (2.69)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0.039*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6.53 (4.73)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6.69 (3.76)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6.04 (3.44)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0.360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5.75 (3.42)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0.154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6.49 (2.73)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6.76 (3.02)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5.96 (3.57)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0.397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5.88 (3.31)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0.269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5.82 (3.04)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5.94 (3.37)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5.43 (2.99)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5.31 (2.58)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0.048*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5.85 (4.64)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6.64 (4.93)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HAP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(mg/dL)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(119.43)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0.386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(143.03)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(70.83)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(69.45)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(86.3)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(96.84)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0.311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(81.59)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(73.33)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(148.03)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(201.28)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0.228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52.43 (147.61)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(125.47)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(182.52)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(181.43)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0.482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67.78 (129.93)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99.78 (140.03)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(ng/mL)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1.06 (5.21)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0.310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0.85 (6.58)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0.223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1.58 (3.79)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1.58 (2.28)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2.26 (12.94)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0.929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2.35 (16.5)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0.996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1.63 (2.44)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1.76 (2.65)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1.92 (10.22)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1.92 (11.2)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0.433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2.55 (2.31)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2.08 (2.92)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1.31 (6.46)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1.34 (8.64)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2.15 (2.33)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1.75 (3.36)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sz w:val="18"/>
                <w:szCs w:val="18"/>
                <w:rtl w:val="0"/>
              </w:rPr>
              <w:t xml:space="preserve">SAA</w:t>
              <w:br w:type="textWrapping"/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(µg/mL)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13.51 (15.39)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0.809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13.35 (14.94)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0.859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14.16 (8.98)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14.17 (17.71)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14.87 (17.72)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0.568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14.82 (18.22)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0.454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13.97 (17.1)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15.1 (15.96)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16.99 (19.81)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17.19 (22.65)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0.194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11.94 (9.38)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14.01 (11.07)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14.39 (18.7)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0.276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14.26 (19.16)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0.602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10.94 (13.11)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14.19 (13.34)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SAP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(mg/L)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36.31 (21.98)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0.032*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36.14 (24.56)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0.046*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27.57 (24.48)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29.92 (25.96)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34.74 (20.25)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0.020*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35.4 (20.85)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0.007*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26.6 (12.59)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28.57 (16.23)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37.12 (22.95)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0.005*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38.28 (23.35)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&lt;0.001*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28.17 (14.69)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28.51 (18.97)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39.12 (21.39)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0.015*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42.83 (22.65)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&lt;0.001*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29.22 (21.22)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30.16 (22.17)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TPA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(ng/mL)</w:t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6.76 (5.66)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0.039*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6.67 (4.35)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0.001*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8.97 (4.63)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9.56 (8.39)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6.07 (5.48)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5.9 (4.49)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0.021*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8.51 (3.61)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8.58 (4.98)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6.1 (5.28)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0.028*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5.76 (3.62)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0.003*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7.9 (5.81)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8.25 (6.63)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5.67 (4.3)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0.002*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5.33 (4.02)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0.001*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9.25 (4.36)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8.17 (6.9)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rPr/>
      </w:pPr>
      <w:r w:rsidDel="00000000" w:rsidR="00000000" w:rsidRPr="00000000">
        <w:rPr>
          <w:rtl w:val="0"/>
        </w:rPr>
        <w:t xml:space="preserve">The median (interquartile range) of each biomarker is shown at the time of meeting SIRS criteria, 24-hours, 48-hours, and 72-hours thereafter. Wilcoxon rank-sum testing identifies significant differences between acute (within 14 days) versus no-acute mortality groups, and between total in-hospital mortality versus no-mortality groups. Significant p-values are highlighted (*).</w:t>
      </w:r>
    </w:p>
    <w:p w:rsidR="00000000" w:rsidDel="00000000" w:rsidP="00000000" w:rsidRDefault="00000000" w:rsidRPr="00000000">
      <w:pPr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contextualSpacing w:val="1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1Vert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2Horz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2Vert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firstCo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firstRow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lastCo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lastRow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neCel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nwCel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seCel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swCell">
      <w:pPr>
        <w:contextualSpacing w:val="1"/>
      </w:pPr>
      <w:tcPr>
        <w:tcMar>
          <w:top w:w="0.0" w:type="dxa"/>
          <w:left w:w="115.0" w:type="dxa"/>
          <w:bottom w:w="0.0" w:type="dxa"/>
          <w:right w:w="115.0" w:type="dxa"/>
        </w:tcMar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