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b w:val="1"/>
          <w:color w:val="000000"/>
          <w:rtl w:val="0"/>
        </w:rPr>
        <w:t xml:space="preserve">Supplemental Table 1</w:t>
      </w:r>
      <w:r w:rsidDel="00000000" w:rsidR="00000000" w:rsidRPr="00000000">
        <w:rPr>
          <w:b w:val="1"/>
          <w:rtl w:val="0"/>
        </w:rPr>
        <w:t xml:space="preserve">. Categorical comparison of biomarker values following suspected sepsis.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95.0" w:type="dxa"/>
        <w:jc w:val="left"/>
        <w:tblInd w:w="-160.0" w:type="dxa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200"/>
        <w:gridCol w:w="1065"/>
        <w:gridCol w:w="1125"/>
        <w:gridCol w:w="1110"/>
        <w:gridCol w:w="1050"/>
        <w:gridCol w:w="1140"/>
        <w:gridCol w:w="1110"/>
        <w:gridCol w:w="1095"/>
        <w:tblGridChange w:id="0">
          <w:tblGrid>
            <w:gridCol w:w="1200"/>
            <w:gridCol w:w="1065"/>
            <w:gridCol w:w="1125"/>
            <w:gridCol w:w="1110"/>
            <w:gridCol w:w="1050"/>
            <w:gridCol w:w="1140"/>
            <w:gridCol w:w="1110"/>
            <w:gridCol w:w="1095"/>
          </w:tblGrid>
        </w:tblGridChange>
      </w:tblGrid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Biomarker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Time (hours)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Acute 14-Day Mortality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In-Hospital Mortality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Mortality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Median (IQR)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p-value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Mortality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Median (IQR)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p-value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A2M</w:t>
              <w:br w:type="textWrapping"/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(mg/dL)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102.45 (50.97)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0.672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104.65 (53.38)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0.855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110.52 (37.18)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99.18 (41.82)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83.2 (46.84)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0.274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83.14 (51.93)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0.559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90.51 (37.4)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86.59 (38.45)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80.88 (48.13)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0.274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81.32 (51.92)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0.906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94.9 (31.24)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90.92 (36.22)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89.71 (41.02)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0.411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89.78 (42.75)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0.982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95.64 (33.6)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89.71 (34.02)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CRP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(mg/L)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75.02 (103)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0.977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85.53 (115.22)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0.249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71.47 (137.31)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57.49 (81.24)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109.92 (111.04)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0.145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117.77 (110.23)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0.123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78.03 (102.87)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86.42 (102.09)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91.35 (89.89)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0.677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97.29 (96.47)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0.279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92.1 (97.92)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84.87 (68.71)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70.8 (82.51)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0.605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69.82 (106.54)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0.626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89.61 (104.3)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83.8 (55.49)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FER</w:t>
              <w:br w:type="textWrapping"/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(ng/mL)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97.65 (291.51)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0.222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95.4 (269.64)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0.104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149.55 (233.68)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137.82 (338.61)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148.62 (359.98)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0.422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141.57 (303.86)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0.106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181.75 (215.46)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192.72 (377.19)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158.64 (314.09)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0.227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152.88 (285.79)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0.039*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175.84 (317.62)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180.84 (516.97)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127.79 (301.18)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0.046*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121.03 (231.08)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0.007*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223.81 (290.32)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233.87 (361.77)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FIB</w:t>
              <w:br w:type="textWrapping"/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(µg/mL)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5.94 (2.84)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0.127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5.8 (2.69)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0.039*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6.53 (4.73)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6.69 (3.76)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6.04 (3.44)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0.360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5.75 (3.42)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0.154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6.49 (2.73)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6.76 (3.02)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5.96 (3.57)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0.397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5.88 (3.31)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0.269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5.82 (3.04)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5.94 (3.37)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5.43 (2.99)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0.133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5.31 (2.58)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0.048*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5.85 (4.64)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6.64 (4.93)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HAP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(mg/dL)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99.78 (119.43)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0.386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99.78 (143.03)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0.460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99.78 (70.83)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99.78 (69.45)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99.78 (86.3)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0.270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99.78 (96.84)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0.311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99.78 (81.59)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99.78 (73.33)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99.78 (148.03)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99.78 (201.28)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0.228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52.43 (147.61)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99.78 (125.47)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99.78 (182.52)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99.78 (181.43)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0.482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67.78 (129.93)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99.78 (140.03)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(ng/mL)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1.06 (5.21)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0.310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0.85 (6.58)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0.223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1.58 (3.79)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1.58 (2.28)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2.26 (12.94)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0.929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2.35 (16.5)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0.996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1.63 (2.44)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1.76 (2.65)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1.92 (10.22)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0.282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1.92 (11.2)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0.433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2.55 (2.31)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2.08 (2.92)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1.31 (6.46)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0.098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1.34 (8.64)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0.124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2.15 (2.33)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1.75 (3.36)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SAA</w:t>
              <w:br w:type="textWrapping"/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(µg/mL)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13.51 (15.39)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0.809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13.35 (14.94)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0.859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14.16 (8.98)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14.17 (17.71)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14.87 (17.72)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0.568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14.82 (18.22)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0.454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13.97 (17.1)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15.1 (15.96)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16.99 (19.81)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0.091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17.19 (22.65)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0.194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11.94 (9.38)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14.01 (11.07)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14.39 (18.7)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0.276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14.26 (19.16)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0.602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10.94 (13.11)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14.19 (13.34)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SAP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(mg/L)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36.31 (21.98)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0.032*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36.14 (24.56)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0.046*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27.57 (24.48)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29.92 (25.96)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34.74 (20.25)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0.020*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35.4 (20.85)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0.007*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26.6 (12.59)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28.57 (16.23)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37.12 (22.95)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0.005*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38.28 (23.35)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&lt;0.001*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28.17 (14.69)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28.51 (18.97)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39.12 (21.39)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0.015*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42.83 (22.65)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&lt;0.001*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29.22 (21.22)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30.16 (22.17)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TPA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(ng/mL)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6.76 (5.66)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0.039*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6.67 (4.35)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0.001*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8.97 (4.63)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9.56 (8.39)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6.07 (5.48)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0.095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5.9 (4.49)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0.021*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8.51 (3.61)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8.58 (4.98)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6.1 (5.28)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0.028*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5.76 (3.62)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0.003*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7.9 (5.81)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8.25 (6.63)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5.67 (4.3)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0.002*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5.33 (4.02)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0.001*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9.25 (4.36)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8.17 (6.9)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The median (interquartile range) of each biomarker is shown at the time of meeting SIRS criteria, 24-hours, 48-hours, and 72-hours thereafter. Wilcoxon rank-sum testing identifies significant differences between acute (within 14 days) versus no-acute mortality groups, and between total in-hospital mortality versus no-mortality groups. Significant p-values are highlighted (*).</w:t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>
        <w:contextualSpacing w:val="1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>
        <w:contextualSpacing w:val="1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>
        <w:contextualSpacing w:val="1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>
        <w:contextualSpacing w:val="1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contextualSpacing w:val="1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>
        <w:contextualSpacing w:val="1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contextualSpacing w:val="1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>
        <w:contextualSpacing w:val="1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>
        <w:contextualSpacing w:val="1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>
        <w:contextualSpacing w:val="1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>
        <w:contextualSpacing w:val="1"/>
      </w:pPr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