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5F" w:rsidRDefault="002F775F" w:rsidP="002F775F">
      <w:pPr>
        <w:spacing w:after="240"/>
        <w:rPr>
          <w:rFonts w:ascii="Times New Roman" w:hAnsi="Times New Roman" w:cs="Times New Roman"/>
        </w:rPr>
      </w:pPr>
      <w:r>
        <w:rPr>
          <w:rFonts w:ascii="Times New Roman" w:hAnsi="Times New Roman" w:cs="Times New Roman"/>
        </w:rPr>
        <w:t>S</w:t>
      </w:r>
      <w:r w:rsidR="00CC454F">
        <w:rPr>
          <w:rFonts w:ascii="Times New Roman" w:hAnsi="Times New Roman" w:cs="Times New Roman"/>
        </w:rPr>
        <w:t>2</w:t>
      </w:r>
      <w:bookmarkStart w:id="0" w:name="_GoBack"/>
      <w:bookmarkEnd w:id="0"/>
      <w:r>
        <w:rPr>
          <w:rFonts w:ascii="Times New Roman" w:hAnsi="Times New Roman" w:cs="Times New Roman"/>
        </w:rPr>
        <w:t>. Inverse probability of censoring weights (IPCW)</w:t>
      </w:r>
    </w:p>
    <w:p w:rsidR="002F775F" w:rsidRDefault="002F775F" w:rsidP="002F775F">
      <w:pPr>
        <w:spacing w:after="240" w:line="480" w:lineRule="auto"/>
        <w:ind w:firstLine="360"/>
        <w:rPr>
          <w:rFonts w:ascii="Times New Roman" w:hAnsi="Times New Roman" w:cs="Times New Roman"/>
        </w:rPr>
      </w:pPr>
      <w:r w:rsidRPr="00C80B63">
        <w:rPr>
          <w:rFonts w:ascii="Times New Roman" w:eastAsia="Calibri" w:hAnsi="Times New Roman" w:cs="Times New Roman"/>
        </w:rPr>
        <w:t xml:space="preserve">IPCWs were calculated by using predicted probabilities from a pooled logistic regression model, in which the outcome </w:t>
      </w:r>
      <w:r>
        <w:rPr>
          <w:rFonts w:ascii="Times New Roman" w:eastAsia="Calibri" w:hAnsi="Times New Roman" w:cs="Times New Roman"/>
        </w:rPr>
        <w:t>(</w:t>
      </w:r>
      <w:proofErr w:type="spellStart"/>
      <w:r>
        <w:rPr>
          <w:rFonts w:ascii="Cambria Math" w:eastAsia="Calibri" w:hAnsi="Cambria Math" w:cs="Times New Roman"/>
          <w:i/>
        </w:rPr>
        <w:t>r</w:t>
      </w:r>
      <w:r>
        <w:rPr>
          <w:rFonts w:ascii="Cambria Math" w:eastAsia="Calibri" w:hAnsi="Cambria Math" w:cs="Times New Roman"/>
          <w:i/>
          <w:vertAlign w:val="subscript"/>
        </w:rPr>
        <w:t>ij</w:t>
      </w:r>
      <w:proofErr w:type="spellEnd"/>
      <w:r>
        <w:rPr>
          <w:rFonts w:ascii="Times New Roman" w:eastAsia="Calibri" w:hAnsi="Times New Roman" w:cs="Times New Roman"/>
        </w:rPr>
        <w:t>)</w:t>
      </w:r>
      <w:r>
        <w:rPr>
          <w:rFonts w:ascii="Cambria Math" w:eastAsia="Calibri" w:hAnsi="Cambria Math" w:cs="Times New Roman"/>
          <w:i/>
        </w:rPr>
        <w:t xml:space="preserve"> </w:t>
      </w:r>
      <w:r w:rsidRPr="00C80B63">
        <w:rPr>
          <w:rFonts w:ascii="Times New Roman" w:eastAsia="Calibri" w:hAnsi="Times New Roman" w:cs="Times New Roman"/>
        </w:rPr>
        <w:t>was odds of remaining in the study at time t, and included</w:t>
      </w:r>
      <w:r>
        <w:rPr>
          <w:rFonts w:ascii="Times New Roman" w:eastAsia="Calibri" w:hAnsi="Times New Roman" w:cs="Times New Roman"/>
        </w:rPr>
        <w:t xml:space="preserve"> a vector of baseline covariates (</w:t>
      </w:r>
      <w:r w:rsidRPr="00FE08C1">
        <w:rPr>
          <w:rFonts w:ascii="Cambria Math" w:eastAsia="Calibri" w:hAnsi="Cambria Math" w:cs="Times New Roman"/>
          <w:i/>
        </w:rPr>
        <w:t>Z</w:t>
      </w:r>
      <w:r w:rsidRPr="00FE08C1">
        <w:rPr>
          <w:rFonts w:ascii="Cambria Math" w:eastAsia="Calibri" w:hAnsi="Cambria Math" w:cs="Times New Roman"/>
          <w:i/>
          <w:vertAlign w:val="subscript"/>
        </w:rPr>
        <w:t>i0</w:t>
      </w:r>
      <w:r w:rsidRPr="00FE08C1">
        <w:rPr>
          <w:rFonts w:ascii="Times New Roman" w:eastAsia="Calibri" w:hAnsi="Times New Roman" w:cs="Times New Roman"/>
        </w:rPr>
        <w:t>)</w:t>
      </w:r>
      <w:r w:rsidRPr="00C80B63">
        <w:rPr>
          <w:rFonts w:ascii="Times New Roman" w:eastAsia="Calibri" w:hAnsi="Times New Roman" w:cs="Times New Roman"/>
        </w:rPr>
        <w:t>: age (centered), age</w:t>
      </w:r>
      <w:r w:rsidRPr="00C80B63">
        <w:rPr>
          <w:rFonts w:ascii="Times New Roman" w:eastAsia="Calibri" w:hAnsi="Times New Roman" w:cs="Times New Roman"/>
          <w:vertAlign w:val="superscript"/>
        </w:rPr>
        <w:t>2</w:t>
      </w:r>
      <w:r w:rsidRPr="00C80B63">
        <w:rPr>
          <w:rFonts w:ascii="Times New Roman" w:eastAsia="Calibri" w:hAnsi="Times New Roman" w:cs="Times New Roman"/>
        </w:rPr>
        <w:t xml:space="preserve"> (centered), sex, race/ethnicity, history of Medical Assistance, ti</w:t>
      </w:r>
      <w:r>
        <w:rPr>
          <w:rFonts w:ascii="Times New Roman" w:eastAsia="Calibri" w:hAnsi="Times New Roman" w:cs="Times New Roman"/>
        </w:rPr>
        <w:t xml:space="preserve">me (follow-up visit), </w:t>
      </w:r>
      <w:proofErr w:type="spellStart"/>
      <w:r>
        <w:rPr>
          <w:rFonts w:ascii="Times New Roman" w:eastAsia="Calibri" w:hAnsi="Times New Roman" w:cs="Times New Roman"/>
        </w:rPr>
        <w:t>Charlson</w:t>
      </w:r>
      <w:proofErr w:type="spellEnd"/>
      <w:r>
        <w:rPr>
          <w:rFonts w:ascii="Times New Roman" w:eastAsia="Calibri" w:hAnsi="Times New Roman" w:cs="Times New Roman"/>
        </w:rPr>
        <w:t xml:space="preserve"> comorbidity index (centered), as well as</w:t>
      </w:r>
      <w:r w:rsidRPr="00C80B63">
        <w:rPr>
          <w:rFonts w:ascii="Times New Roman" w:eastAsia="Calibri" w:hAnsi="Times New Roman" w:cs="Times New Roman"/>
        </w:rPr>
        <w:t xml:space="preserve"> CRS status at the previous time-point (lagged CRS status</w:t>
      </w:r>
      <w:r>
        <w:rPr>
          <w:rFonts w:ascii="Times New Roman" w:eastAsia="Calibri" w:hAnsi="Times New Roman" w:cs="Times New Roman"/>
        </w:rPr>
        <w:t xml:space="preserve">; </w:t>
      </w:r>
      <w:r w:rsidRPr="00FE08C1">
        <w:rPr>
          <w:rFonts w:ascii="Cambria Math" w:eastAsia="Calibri" w:hAnsi="Cambria Math" w:cs="Times New Roman"/>
          <w:i/>
        </w:rPr>
        <w:t>Z</w:t>
      </w:r>
      <w:r w:rsidRPr="00FE08C1">
        <w:rPr>
          <w:rFonts w:ascii="Cambria Math" w:eastAsia="Calibri" w:hAnsi="Cambria Math" w:cs="Times New Roman"/>
          <w:i/>
          <w:vertAlign w:val="subscript"/>
        </w:rPr>
        <w:t>ij-1</w:t>
      </w:r>
      <w:r w:rsidRPr="00C80B63">
        <w:rPr>
          <w:rFonts w:ascii="Times New Roman" w:eastAsia="Calibri" w:hAnsi="Times New Roman" w:cs="Times New Roman"/>
        </w:rPr>
        <w:t>).</w:t>
      </w:r>
      <w:r>
        <w:rPr>
          <w:rFonts w:ascii="Times New Roman" w:eastAsia="Calibri" w:hAnsi="Times New Roman" w:cs="Times New Roman"/>
        </w:rPr>
        <w:t xml:space="preserve"> CRS status was only determined at two of the follow-up questionnaires (fall and summer exacerbation). As such, CRS status at the fall exacerbation questionnaire was carried forward until the summer exacerbation questionnaire. To account for large weights, which can lead to model instability, we used stabilized IPCWs. </w:t>
      </w:r>
      <w:r>
        <w:rPr>
          <w:rFonts w:ascii="Times New Roman" w:hAnsi="Times New Roman" w:cs="Times New Roman"/>
        </w:rPr>
        <w:t>The stabilizing factor of the IPCW used as the numerator all baseline covariates included in original IPCW model, with the exclusion of age</w:t>
      </w:r>
      <w:r>
        <w:rPr>
          <w:rFonts w:ascii="Times New Roman" w:hAnsi="Times New Roman" w:cs="Times New Roman"/>
          <w:vertAlign w:val="superscript"/>
        </w:rPr>
        <w:t>2</w:t>
      </w:r>
      <w:r>
        <w:rPr>
          <w:rFonts w:ascii="Times New Roman" w:hAnsi="Times New Roman" w:cs="Times New Roman"/>
        </w:rPr>
        <w:t xml:space="preserve"> (</w:t>
      </w:r>
      <w:r w:rsidRPr="00A326B6">
        <w:rPr>
          <w:rFonts w:ascii="Cambria Math" w:hAnsi="Cambria Math" w:cs="Times New Roman"/>
          <w:i/>
        </w:rPr>
        <w:t>Z</w:t>
      </w:r>
      <w:r w:rsidRPr="00A326B6">
        <w:rPr>
          <w:rFonts w:ascii="Cambria Math" w:hAnsi="Cambria Math" w:cs="Times New Roman"/>
          <w:i/>
          <w:vertAlign w:val="subscript"/>
        </w:rPr>
        <w:t>io</w:t>
      </w:r>
      <w:r w:rsidRPr="00A326B6">
        <w:rPr>
          <w:rFonts w:ascii="Cambria Math" w:hAnsi="Cambria Math" w:cs="Times New Roman"/>
          <w:i/>
          <w:vertAlign w:val="superscript"/>
        </w:rPr>
        <w:t>*</w:t>
      </w:r>
      <w:r>
        <w:rPr>
          <w:rFonts w:ascii="Times New Roman" w:hAnsi="Times New Roman" w:cs="Times New Roman"/>
        </w:rPr>
        <w:t>)</w:t>
      </w:r>
      <w:r w:rsidRPr="00C80B63">
        <w:rPr>
          <w:rFonts w:ascii="Times New Roman" w:hAnsi="Times New Roman" w:cs="Times New Roman"/>
        </w:rPr>
        <w:t xml:space="preserve">. </w:t>
      </w:r>
      <w:bookmarkStart w:id="1" w:name="_Hlk491684753"/>
    </w:p>
    <w:p w:rsidR="002F775F" w:rsidRPr="00345AB5" w:rsidRDefault="002F775F" w:rsidP="002F775F">
      <w:pPr>
        <w:spacing w:line="480" w:lineRule="auto"/>
        <w:ind w:firstLine="360"/>
        <w:rPr>
          <w:rFonts w:ascii="Times New Roman" w:eastAsiaTheme="minorEastAsia" w:hAnsi="Times New Roman" w:cs="Times New Roman"/>
        </w:rPr>
      </w:pPr>
      <m:oMathPara>
        <m:oMath>
          <m:r>
            <w:rPr>
              <w:rFonts w:ascii="Cambria Math" w:hAnsi="Cambria Math" w:cs="Times New Roman"/>
            </w:rPr>
            <m:t>Stabilized IPCW=</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Pr</m:t>
                  </m:r>
                </m:fName>
                <m:e>
                  <m:d>
                    <m:dPr>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 xml:space="preserve">=1 </m:t>
                      </m:r>
                    </m:e>
                  </m:d>
                </m:e>
              </m:func>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i0</m:t>
                  </m:r>
                </m:sub>
                <m:sup>
                  <m:r>
                    <w:rPr>
                      <w:rFonts w:ascii="Cambria Math" w:hAnsi="Cambria Math" w:cs="Times New Roman"/>
                    </w:rPr>
                    <m:t>*</m:t>
                  </m:r>
                </m:sup>
              </m:sSubSup>
              <m:r>
                <w:rPr>
                  <w:rFonts w:ascii="Cambria Math" w:hAnsi="Cambria Math" w:cs="Times New Roman"/>
                </w:rPr>
                <m:t>)</m:t>
              </m:r>
            </m:num>
            <m:den>
              <m:func>
                <m:funcPr>
                  <m:ctrlPr>
                    <w:rPr>
                      <w:rFonts w:ascii="Cambria Math" w:hAnsi="Cambria Math" w:cs="Times New Roman"/>
                      <w:i/>
                    </w:rPr>
                  </m:ctrlPr>
                </m:funcPr>
                <m:fName>
                  <m:r>
                    <m:rPr>
                      <m:sty m:val="p"/>
                    </m:rPr>
                    <w:rPr>
                      <w:rFonts w:ascii="Cambria Math" w:hAnsi="Cambria Math" w:cs="Times New Roman"/>
                    </w:rPr>
                    <m:t>Pr</m:t>
                  </m:r>
                </m:fName>
                <m:e>
                  <m:d>
                    <m:dPr>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 xml:space="preserve">=1 </m:t>
                      </m:r>
                    </m:e>
                  </m:d>
                </m:e>
              </m:fun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ij-1</m:t>
                  </m:r>
                </m:sub>
              </m:sSub>
              <m:r>
                <w:rPr>
                  <w:rFonts w:ascii="Cambria Math" w:hAnsi="Cambria Math" w:cs="Times New Roman"/>
                </w:rPr>
                <m:t>)</m:t>
              </m:r>
            </m:den>
          </m:f>
        </m:oMath>
      </m:oMathPara>
      <w:bookmarkEnd w:id="1"/>
    </w:p>
    <w:p w:rsidR="002F775F" w:rsidRDefault="002F775F" w:rsidP="002F775F">
      <w:pPr>
        <w:spacing w:line="480" w:lineRule="auto"/>
        <w:ind w:firstLine="360"/>
        <w:rPr>
          <w:rFonts w:ascii="Times New Roman" w:hAnsi="Times New Roman" w:cs="Times New Roman"/>
        </w:rPr>
      </w:pPr>
      <w:r w:rsidRPr="00C80B63">
        <w:rPr>
          <w:rFonts w:ascii="Times New Roman" w:hAnsi="Times New Roman" w:cs="Times New Roman"/>
        </w:rPr>
        <w:t xml:space="preserve">The survey weights for these analyses were a product of the stabilized IPCW and a truncated design weight (where the strata with the largest weights were truncated to the next highest category), to </w:t>
      </w:r>
      <w:r>
        <w:rPr>
          <w:rFonts w:ascii="Times New Roman" w:hAnsi="Times New Roman" w:cs="Times New Roman"/>
        </w:rPr>
        <w:t xml:space="preserve">further </w:t>
      </w:r>
      <w:r w:rsidRPr="00C80B63">
        <w:rPr>
          <w:rFonts w:ascii="Times New Roman" w:hAnsi="Times New Roman" w:cs="Times New Roman"/>
        </w:rPr>
        <w:t xml:space="preserve">reduce model instability </w:t>
      </w:r>
      <w:r>
        <w:rPr>
          <w:rFonts w:ascii="Times New Roman" w:hAnsi="Times New Roman" w:cs="Times New Roman"/>
        </w:rPr>
        <w:t xml:space="preserve">from </w:t>
      </w:r>
      <w:r w:rsidRPr="00C80B63">
        <w:rPr>
          <w:rFonts w:ascii="Times New Roman" w:hAnsi="Times New Roman" w:cs="Times New Roman"/>
        </w:rPr>
        <w:t>extreme weights</w:t>
      </w:r>
      <w:r w:rsidRPr="0099375B">
        <w:rPr>
          <w:rFonts w:ascii="Times New Roman" w:hAnsi="Times New Roman" w:cs="Times New Roman"/>
        </w:rPr>
        <w:t>.</w:t>
      </w:r>
    </w:p>
    <w:p w:rsidR="002F775F" w:rsidRDefault="002F775F" w:rsidP="002F775F">
      <w:pPr>
        <w:spacing w:line="480" w:lineRule="auto"/>
        <w:ind w:firstLine="360"/>
        <w:rPr>
          <w:rFonts w:ascii="Times New Roman" w:hAnsi="Times New Roman" w:cs="Times New Roman"/>
        </w:rPr>
      </w:pPr>
      <m:oMathPara>
        <m:oMath>
          <m:r>
            <w:rPr>
              <w:rFonts w:ascii="Cambria Math" w:hAnsi="Cambria Math" w:cs="Times New Roman"/>
            </w:rPr>
            <m:t>Survey weight=</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Pr</m:t>
                  </m:r>
                </m:fName>
                <m:e>
                  <m:d>
                    <m:dPr>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 xml:space="preserve">=1 </m:t>
                      </m:r>
                    </m:e>
                  </m:d>
                </m:e>
              </m:fun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i0</m:t>
                  </m:r>
                </m:sub>
              </m:sSub>
              <m:r>
                <w:rPr>
                  <w:rFonts w:ascii="Cambria Math" w:hAnsi="Cambria Math" w:cs="Times New Roman"/>
                </w:rPr>
                <m:t>)</m:t>
              </m:r>
            </m:num>
            <m:den>
              <m:func>
                <m:funcPr>
                  <m:ctrlPr>
                    <w:rPr>
                      <w:rFonts w:ascii="Cambria Math" w:hAnsi="Cambria Math" w:cs="Times New Roman"/>
                      <w:i/>
                    </w:rPr>
                  </m:ctrlPr>
                </m:funcPr>
                <m:fName>
                  <m:r>
                    <m:rPr>
                      <m:sty m:val="p"/>
                    </m:rPr>
                    <w:rPr>
                      <w:rFonts w:ascii="Cambria Math" w:hAnsi="Cambria Math" w:cs="Times New Roman"/>
                    </w:rPr>
                    <m:t>Pr</m:t>
                  </m:r>
                </m:fName>
                <m:e>
                  <m:d>
                    <m:dPr>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 xml:space="preserve">=1 </m:t>
                      </m:r>
                    </m:e>
                  </m:d>
                </m:e>
              </m:fun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ij-1</m:t>
                  </m:r>
                </m:sub>
              </m:sSub>
              <m:r>
                <w:rPr>
                  <w:rFonts w:ascii="Cambria Math" w:hAnsi="Cambria Math" w:cs="Times New Roman"/>
                </w:rPr>
                <m:t>)</m:t>
              </m:r>
            </m:den>
          </m:f>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Design weight</m:t>
              </m:r>
            </m:e>
            <m:sub>
              <m:r>
                <w:rPr>
                  <w:rFonts w:ascii="Cambria Math" w:hAnsi="Cambria Math" w:cs="Times New Roman"/>
                </w:rPr>
                <m:t>i</m:t>
              </m:r>
            </m:sub>
          </m:sSub>
        </m:oMath>
      </m:oMathPara>
    </w:p>
    <w:p w:rsidR="004B4989" w:rsidRDefault="004B4989">
      <w:pPr>
        <w:spacing w:line="240" w:lineRule="auto"/>
      </w:pPr>
    </w:p>
    <w:sectPr w:rsidR="004B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5F"/>
    <w:rsid w:val="002F775F"/>
    <w:rsid w:val="004B4989"/>
    <w:rsid w:val="00503069"/>
    <w:rsid w:val="00A13029"/>
    <w:rsid w:val="00CC454F"/>
    <w:rsid w:val="00EF06D3"/>
    <w:rsid w:val="00F8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30F5"/>
  <w15:chartTrackingRefBased/>
  <w15:docId w15:val="{42E29650-4D5F-4B5E-8218-796B06D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75F"/>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Kuiper</dc:creator>
  <cp:keywords/>
  <dc:description/>
  <cp:lastModifiedBy>Jordan Kuiper</cp:lastModifiedBy>
  <cp:revision>4</cp:revision>
  <dcterms:created xsi:type="dcterms:W3CDTF">2017-12-19T14:55:00Z</dcterms:created>
  <dcterms:modified xsi:type="dcterms:W3CDTF">2017-12-26T15:00:00Z</dcterms:modified>
</cp:coreProperties>
</file>