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C7" w:rsidRPr="002372B9" w:rsidRDefault="00EF15C7" w:rsidP="00EF15C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2FE8">
        <w:rPr>
          <w:rFonts w:ascii="Times New Roman" w:hAnsi="Times New Roman"/>
          <w:b/>
          <w:sz w:val="24"/>
        </w:rPr>
        <w:t>Supplemental Table:</w:t>
      </w:r>
      <w:r w:rsidRPr="00EE2FE8">
        <w:rPr>
          <w:rFonts w:ascii="Times New Roman" w:hAnsi="Times New Roman"/>
          <w:sz w:val="24"/>
        </w:rPr>
        <w:t xml:space="preserve"> Prevalence of any HPV and high-risk HPV by sex, age, and race/ethnicity among sexually </w:t>
      </w:r>
      <w:r>
        <w:rPr>
          <w:rFonts w:ascii="Times New Roman" w:hAnsi="Times New Roman"/>
          <w:sz w:val="24"/>
        </w:rPr>
        <w:t>experienced</w:t>
      </w:r>
      <w:r w:rsidRPr="00EE2FE8">
        <w:rPr>
          <w:rFonts w:ascii="Times New Roman" w:hAnsi="Times New Roman"/>
          <w:sz w:val="24"/>
        </w:rPr>
        <w:t xml:space="preserve"> 14-59 year-olds – United States, 2013-2014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890"/>
        <w:gridCol w:w="1980"/>
        <w:gridCol w:w="2070"/>
        <w:gridCol w:w="1890"/>
      </w:tblGrid>
      <w:tr w:rsidR="00EF15C7" w:rsidRPr="002F04D5" w:rsidTr="009A7283">
        <w:trPr>
          <w:trHeight w:val="1196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Any HPV </w:t>
            </w:r>
          </w:p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Weighted prevalence</w:t>
            </w:r>
          </w:p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 (95% CI)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High-Risk HPV </w:t>
            </w:r>
          </w:p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>Weighted prevalence</w:t>
            </w:r>
          </w:p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>% (95% CI)</w:t>
            </w:r>
          </w:p>
        </w:tc>
      </w:tr>
      <w:tr w:rsidR="00EF15C7" w:rsidRPr="002F04D5" w:rsidTr="009A7283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>Race/ethnicity</w:t>
            </w:r>
          </w:p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>Age group, years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>Males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>Females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>Males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>Females</w:t>
            </w:r>
          </w:p>
        </w:tc>
      </w:tr>
      <w:tr w:rsidR="00EF15C7" w:rsidRPr="002F04D5" w:rsidTr="009A7283"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14-19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 (17.9-27.9)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 (38.9-52.2)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 (11.3-20.8)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 (23.5-36.1)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20-24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 (34.9-49.1)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 (53.7-71.1)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 (23.2-33.7)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 (28.2-51.6)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25-29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 (42.9-60.8)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 (36.5-53.5)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 (25.7-41.2)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 (19.3-32.4)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30-39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 (39.4-51.3)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 (30.9-47.5)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 (22.1-28.6)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 (15.4-23.6)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40-49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 (40.6-53.4)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 (30.2-40.3)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 (17.2-29.1)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 (11.2-20.8)</w:t>
            </w:r>
          </w:p>
        </w:tc>
      </w:tr>
      <w:tr w:rsidR="00EF15C7" w:rsidRPr="002F04D5" w:rsidTr="009A7283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50-59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 (41.1-59.3)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 (25.2-39.6)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 (21.8-32.5)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 (10.6-19.1)</w:t>
            </w:r>
          </w:p>
        </w:tc>
      </w:tr>
      <w:tr w:rsidR="00EF15C7" w:rsidRPr="002F04D5" w:rsidTr="009A7283"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</w:t>
            </w: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Whites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14-19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 (13.4-31.3)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 (34.4-57.7)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 (8.3-21.7)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 (21.2-44.9)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20-24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 (29.1-44.1)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 (48.0-73.5)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 (17.8-31.7)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 (23.1-59.3)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25-29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 (35.6-61.6)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 (28.4-53.0)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 (20.4-40.8)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 (13.6-27.0)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30-39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 (34.5-51.8)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 (25.0-49.9)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 (20.4-30.9)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 (11.1-24.2)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40-49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 (38.9-55.0)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 (28.6-43.7)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 (16.5-33.9)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 (10.5-26.4)</w:t>
            </w:r>
          </w:p>
        </w:tc>
      </w:tr>
      <w:tr w:rsidR="00EF15C7" w:rsidRPr="002F04D5" w:rsidTr="009A7283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50-59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 (37.5-60.0)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 (17.0-36.5)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 (21.0-33.2)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 (8.8-20.2)</w:t>
            </w:r>
          </w:p>
        </w:tc>
      </w:tr>
      <w:tr w:rsidR="00EF15C7" w:rsidRPr="002F04D5" w:rsidTr="009A7283"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NH</w:t>
            </w: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Blacks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14-19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 (19.7-44.6)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 (54.2-72.6)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 (12.9-38.8)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 (23.9-49.0)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20-24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 (56.3-80.3)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 (67.5-87.4)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 (41.3-66.7)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 (41.1-66.5)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25-29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 (60.1-88.4)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 (47.5-85.3)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 (43.8-67.9)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 (15.0-59.6)</w:t>
            </w: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30-39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 (55.5-83.3)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 (49.6-73.2)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 (29.8-54.2)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 (23.7-39.2)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40-49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 (42.9-68.9)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 (41.6-71.5)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 (21.8-40.3)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 (4.9-25.4)</w:t>
            </w: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EF15C7" w:rsidRPr="002F04D5" w:rsidTr="009A7283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50-59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 (48.1-72.0)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 (57.3-73.8)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 (25.1-38.4)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 (11.8-26.4)</w:t>
            </w:r>
          </w:p>
        </w:tc>
      </w:tr>
      <w:tr w:rsidR="00EF15C7" w:rsidRPr="002F04D5" w:rsidTr="009A7283"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b/>
                <w:sz w:val="20"/>
                <w:szCs w:val="20"/>
              </w:rPr>
              <w:t>Hispanics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14-19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 (8.2-39.5)</w:t>
            </w: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 (26.4-48.0)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 (5.6-25.9)</w:t>
            </w: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 (13.2-36.4)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20-24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 (21.9-68.4)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 (43.0-65.1)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 (16.8-39.3)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 (14.1-39.9)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25-29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 (33.0-68.0)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 (38.8-59.5)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 (18.2-46.1)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 (27.5-52.4)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30-39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 (30.5-57.5)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 (25.3-54.2)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 (12.9-33.0)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 (13.5-36.5)</w:t>
            </w:r>
          </w:p>
        </w:tc>
      </w:tr>
      <w:tr w:rsidR="00EF15C7" w:rsidRPr="002F04D5" w:rsidTr="009A7283">
        <w:tc>
          <w:tcPr>
            <w:tcW w:w="1705" w:type="dxa"/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40-49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 (36.6-59.4)</w:t>
            </w:r>
          </w:p>
        </w:tc>
        <w:tc>
          <w:tcPr>
            <w:tcW w:w="198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 (14.6-32.9)</w:t>
            </w:r>
          </w:p>
        </w:tc>
        <w:tc>
          <w:tcPr>
            <w:tcW w:w="207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 (8.0-27.2)</w:t>
            </w:r>
          </w:p>
        </w:tc>
        <w:tc>
          <w:tcPr>
            <w:tcW w:w="1890" w:type="dxa"/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 (6.8-21.6)</w:t>
            </w:r>
          </w:p>
        </w:tc>
      </w:tr>
      <w:tr w:rsidR="00EF15C7" w:rsidRPr="002F04D5" w:rsidTr="009A7283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EF15C7" w:rsidRPr="002F04D5" w:rsidRDefault="00EF15C7" w:rsidP="009A728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sz w:val="20"/>
                <w:szCs w:val="20"/>
              </w:rPr>
              <w:t xml:space="preserve">  50-59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 (44.2-62.0)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 (30.8-49.0)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 (16.4-35.9)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EF15C7" w:rsidRPr="002F04D5" w:rsidRDefault="00EF15C7" w:rsidP="009A72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 (8.9-24.6)</w:t>
            </w:r>
          </w:p>
        </w:tc>
      </w:tr>
    </w:tbl>
    <w:p w:rsidR="00EF15C7" w:rsidRPr="002F04D5" w:rsidRDefault="00EF15C7" w:rsidP="00EF15C7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5C7" w:rsidRDefault="00EF15C7" w:rsidP="00EF15C7">
      <w:pPr>
        <w:autoSpaceDE w:val="0"/>
        <w:autoSpaceDN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HPV, human papillomavirus; CI, confidence interval; NH, non-Hispanic.</w:t>
      </w:r>
    </w:p>
    <w:p w:rsidR="00EF15C7" w:rsidRPr="008E0D1D" w:rsidRDefault="00EF15C7" w:rsidP="00EF15C7">
      <w:pPr>
        <w:autoSpaceDE w:val="0"/>
        <w:autoSpaceDN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F04D5">
        <w:rPr>
          <w:rFonts w:ascii="Times New Roman" w:eastAsia="Times New Roman" w:hAnsi="Times New Roman" w:cs="Times New Roman"/>
          <w:sz w:val="20"/>
          <w:szCs w:val="20"/>
        </w:rPr>
        <w:t xml:space="preserve">Any HPV includes types 6, 11, 16, 18, 26, 31, 33, 35, 39, 40, 42, 45, 51,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52 </w:t>
      </w:r>
      <w:r w:rsidRPr="002F04D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XR</w:t>
      </w:r>
      <w:r w:rsidRPr="002F04D5">
        <w:rPr>
          <w:rFonts w:ascii="Times New Roman" w:eastAsia="Times New Roman" w:hAnsi="Times New Roman" w:cs="Times New Roman"/>
          <w:sz w:val="20"/>
          <w:szCs w:val="20"/>
        </w:rPr>
        <w:t xml:space="preserve">), 53, 54, 55, 56, 58, 59, 61, 62, 64, 66, 67, 68, 69, 70, 71, 72, 73, 81, 82, 83, 84, 89, and/or IS39. </w:t>
      </w:r>
    </w:p>
    <w:p w:rsidR="00EF15C7" w:rsidRDefault="00EF15C7" w:rsidP="00EF15C7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04D5">
        <w:rPr>
          <w:rFonts w:ascii="Times New Roman" w:eastAsia="Times New Roman" w:hAnsi="Times New Roman" w:cs="Times New Roman"/>
          <w:sz w:val="20"/>
          <w:szCs w:val="20"/>
        </w:rPr>
        <w:t>High-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F04D5">
        <w:rPr>
          <w:rFonts w:ascii="Times New Roman" w:eastAsia="Times New Roman" w:hAnsi="Times New Roman" w:cs="Times New Roman"/>
          <w:sz w:val="20"/>
          <w:szCs w:val="20"/>
        </w:rPr>
        <w:t xml:space="preserve">isk HPV includes types 16, 18, 31, 33, 35, 39, 45, 51,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52 </w:t>
      </w:r>
      <w:r w:rsidRPr="002F04D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XR</w:t>
      </w:r>
      <w:r w:rsidRPr="002F04D5">
        <w:rPr>
          <w:rFonts w:ascii="Times New Roman" w:eastAsia="Times New Roman" w:hAnsi="Times New Roman" w:cs="Times New Roman"/>
          <w:sz w:val="20"/>
          <w:szCs w:val="20"/>
        </w:rPr>
        <w:t xml:space="preserve">), 56, 58, 59, 66, and/or 68. </w:t>
      </w:r>
    </w:p>
    <w:p w:rsidR="00EF15C7" w:rsidRPr="002F04D5" w:rsidRDefault="00EF15C7" w:rsidP="00EF15C7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7A8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Relative standard error &gt; 30%.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C7"/>
    <w:rsid w:val="007F661D"/>
    <w:rsid w:val="00D26908"/>
    <w:rsid w:val="00EF15C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95447-E805-4220-9A5F-23F43C5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Rayleen (CDC/OID/NCIRD)</dc:creator>
  <cp:keywords/>
  <dc:description/>
  <cp:lastModifiedBy>Lewis, Rayleen (CDC/OID/NCIRD) (CTR)</cp:lastModifiedBy>
  <cp:revision>2</cp:revision>
  <dcterms:created xsi:type="dcterms:W3CDTF">2018-05-29T16:05:00Z</dcterms:created>
  <dcterms:modified xsi:type="dcterms:W3CDTF">2018-05-29T16:05:00Z</dcterms:modified>
</cp:coreProperties>
</file>