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70" w:rsidRDefault="00034D70" w:rsidP="00034D70">
      <w:r>
        <w:t>Supplements</w:t>
      </w:r>
    </w:p>
    <w:p w:rsidR="00034D70" w:rsidRDefault="00034D70" w:rsidP="00034D70">
      <w:r>
        <w:t>Table S1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720"/>
        <w:gridCol w:w="6966"/>
        <w:gridCol w:w="1849"/>
      </w:tblGrid>
      <w:tr w:rsidR="00034D70" w:rsidRPr="00812CD1" w:rsidTr="00EC0764">
        <w:trPr>
          <w:trHeight w:val="31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Pr>
              <w:rPr>
                <w:b/>
                <w:bCs/>
              </w:rPr>
            </w:pPr>
            <w:r w:rsidRPr="00812CD1">
              <w:rPr>
                <w:b/>
                <w:bCs/>
              </w:rPr>
              <w:t xml:space="preserve">Author 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pPr>
              <w:rPr>
                <w:b/>
                <w:bCs/>
              </w:rPr>
            </w:pPr>
            <w:r w:rsidRPr="00812CD1">
              <w:rPr>
                <w:b/>
                <w:bCs/>
              </w:rPr>
              <w:t>Year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pPr>
              <w:rPr>
                <w:b/>
                <w:bCs/>
              </w:rPr>
            </w:pPr>
            <w:r w:rsidRPr="00812CD1">
              <w:rPr>
                <w:b/>
                <w:bCs/>
              </w:rPr>
              <w:t xml:space="preserve">Title 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Pr>
              <w:rPr>
                <w:b/>
                <w:bCs/>
              </w:rPr>
            </w:pPr>
            <w:r w:rsidRPr="00812CD1">
              <w:rPr>
                <w:b/>
                <w:bCs/>
              </w:rPr>
              <w:t xml:space="preserve">Treatment </w:t>
            </w:r>
          </w:p>
        </w:tc>
      </w:tr>
      <w:tr w:rsidR="00034D70" w:rsidRPr="00812CD1" w:rsidTr="00EC0764">
        <w:trPr>
          <w:trHeight w:val="94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t>Wahle</w:t>
            </w:r>
            <w:proofErr w:type="spellEnd"/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2015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>Hepatitis B virus reactivation after treatment for hepatitis C in hemodialysis patients with HBV/HCV coinfection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r w:rsidRPr="00812CD1">
              <w:t>interferon-alpha 3 MU 3×/week for 12</w:t>
            </w:r>
            <w:r w:rsidRPr="00812CD1">
              <w:br/>
              <w:t>months</w:t>
            </w:r>
          </w:p>
        </w:tc>
      </w:tr>
      <w:tr w:rsidR="00034D70" w:rsidRPr="00812CD1" w:rsidTr="00EC0764">
        <w:trPr>
          <w:trHeight w:val="94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t>Fabbri</w:t>
            </w:r>
            <w:proofErr w:type="spellEnd"/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2017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 xml:space="preserve">Reactivation of occult HBV infection in an HIV/HCV Co-infected patient successfully treated with </w:t>
            </w:r>
            <w:proofErr w:type="spellStart"/>
            <w:r w:rsidRPr="00812CD1">
              <w:t>sofosbuvir</w:t>
            </w:r>
            <w:proofErr w:type="spellEnd"/>
            <w:r w:rsidRPr="00812CD1">
              <w:t>/</w:t>
            </w:r>
            <w:proofErr w:type="spellStart"/>
            <w:r w:rsidRPr="00812CD1">
              <w:t>ledipasvir</w:t>
            </w:r>
            <w:proofErr w:type="spellEnd"/>
            <w:r w:rsidRPr="00812CD1">
              <w:t>: a case report and review of the literature.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roofErr w:type="spellStart"/>
            <w:r w:rsidRPr="00812CD1">
              <w:t>sofosbuvir</w:t>
            </w:r>
            <w:proofErr w:type="spellEnd"/>
            <w:r w:rsidRPr="00812CD1">
              <w:t>/</w:t>
            </w:r>
            <w:proofErr w:type="spellStart"/>
            <w:r w:rsidRPr="00812CD1">
              <w:t>ledipasvir</w:t>
            </w:r>
            <w:proofErr w:type="spellEnd"/>
          </w:p>
        </w:tc>
      </w:tr>
      <w:tr w:rsidR="00034D70" w:rsidRPr="00812CD1" w:rsidTr="00EC0764">
        <w:trPr>
          <w:trHeight w:val="630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t>Balagopal</w:t>
            </w:r>
            <w:proofErr w:type="spellEnd"/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2015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>Editorial Commentary: Another Call to Cure Hepatitis B.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r w:rsidRPr="00812CD1">
              <w:t xml:space="preserve">Collins Study- </w:t>
            </w:r>
            <w:proofErr w:type="spellStart"/>
            <w:r w:rsidRPr="00812CD1">
              <w:t>sofosbuvir</w:t>
            </w:r>
            <w:proofErr w:type="spellEnd"/>
            <w:r w:rsidRPr="00812CD1">
              <w:t xml:space="preserve"> and </w:t>
            </w:r>
            <w:proofErr w:type="spellStart"/>
            <w:r w:rsidRPr="00812CD1">
              <w:t>simeprevir</w:t>
            </w:r>
            <w:proofErr w:type="spellEnd"/>
          </w:p>
        </w:tc>
      </w:tr>
      <w:tr w:rsidR="00034D70" w:rsidRPr="00812CD1" w:rsidTr="00EC0764">
        <w:trPr>
          <w:trHeight w:val="630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r w:rsidRPr="00812CD1">
              <w:t>Liu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2014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>Treatment of patients with dual hepatitis C virus and hepatitis B virus infection: resolved and unresolved issues.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/>
        </w:tc>
      </w:tr>
      <w:tr w:rsidR="00034D70" w:rsidRPr="00812CD1" w:rsidTr="00EC0764">
        <w:trPr>
          <w:trHeight w:val="1890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t>Uyanikoglu</w:t>
            </w:r>
            <w:proofErr w:type="spellEnd"/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2013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>Co-infection with hepatitis B does not alter treatment response in chronic hepatitis C.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r w:rsidRPr="00812CD1">
              <w:t xml:space="preserve"> Patients who were diagnosed before 2001 received standard interferon/ribavirin, and those after 2001 received </w:t>
            </w:r>
            <w:proofErr w:type="spellStart"/>
            <w:proofErr w:type="gramStart"/>
            <w:r w:rsidRPr="00812CD1">
              <w:t>pegylated</w:t>
            </w:r>
            <w:proofErr w:type="spellEnd"/>
            <w:r w:rsidRPr="00812CD1">
              <w:t xml:space="preserve">  </w:t>
            </w:r>
            <w:proofErr w:type="gramEnd"/>
            <w:r w:rsidRPr="00812CD1">
              <w:br/>
              <w:t>interferon/ribavirin combination therapy.</w:t>
            </w:r>
          </w:p>
        </w:tc>
      </w:tr>
      <w:tr w:rsidR="00034D70" w:rsidRPr="00812CD1" w:rsidTr="00EC0764">
        <w:trPr>
          <w:trHeight w:val="630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r w:rsidRPr="00812CD1">
              <w:t>Raheem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2013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 xml:space="preserve">Treatment of hepatitis B virus reactivation in a cadaveric renal transplant recipient with </w:t>
            </w:r>
            <w:proofErr w:type="spellStart"/>
            <w:r w:rsidRPr="00812CD1">
              <w:t>entecavir</w:t>
            </w:r>
            <w:proofErr w:type="spellEnd"/>
            <w:r w:rsidRPr="00812CD1">
              <w:t>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roofErr w:type="spellStart"/>
            <w:r w:rsidRPr="00812CD1">
              <w:t>Entecavir</w:t>
            </w:r>
            <w:proofErr w:type="spellEnd"/>
          </w:p>
        </w:tc>
      </w:tr>
      <w:tr w:rsidR="00034D70" w:rsidRPr="00812CD1" w:rsidTr="00EC0764">
        <w:trPr>
          <w:trHeight w:val="94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r w:rsidRPr="00812CD1">
              <w:t xml:space="preserve">Kim 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2011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 xml:space="preserve">Clinical features and treatment efficacy of </w:t>
            </w:r>
            <w:proofErr w:type="spellStart"/>
            <w:r w:rsidRPr="00812CD1">
              <w:t>peginterferon</w:t>
            </w:r>
            <w:proofErr w:type="spellEnd"/>
            <w:r w:rsidRPr="00812CD1">
              <w:t xml:space="preserve"> alfa plus ribavirin in chronic hepatitis C patients </w:t>
            </w:r>
            <w:proofErr w:type="spellStart"/>
            <w:r w:rsidRPr="00812CD1">
              <w:t>coinfected</w:t>
            </w:r>
            <w:proofErr w:type="spellEnd"/>
            <w:r w:rsidRPr="00812CD1">
              <w:t xml:space="preserve"> with hepatitis B virus.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roofErr w:type="spellStart"/>
            <w:proofErr w:type="gramStart"/>
            <w:r w:rsidRPr="00812CD1">
              <w:t>pegylated</w:t>
            </w:r>
            <w:proofErr w:type="spellEnd"/>
            <w:proofErr w:type="gramEnd"/>
            <w:r w:rsidRPr="00812CD1">
              <w:t xml:space="preserve"> interferon alfa-2a plus ribavirin or </w:t>
            </w:r>
            <w:proofErr w:type="spellStart"/>
            <w:r w:rsidRPr="00812CD1">
              <w:t>pegylated</w:t>
            </w:r>
            <w:proofErr w:type="spellEnd"/>
            <w:r w:rsidRPr="00812CD1">
              <w:t xml:space="preserve"> interferon alfa-2b plus ribavirin.</w:t>
            </w:r>
          </w:p>
        </w:tc>
      </w:tr>
      <w:tr w:rsidR="00034D70" w:rsidRPr="00812CD1" w:rsidTr="00EC0764">
        <w:trPr>
          <w:trHeight w:val="94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r w:rsidRPr="00812CD1">
              <w:t>Hung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2012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proofErr w:type="spellStart"/>
            <w:r w:rsidRPr="00812CD1">
              <w:t>Precore</w:t>
            </w:r>
            <w:proofErr w:type="spellEnd"/>
            <w:r w:rsidRPr="00812CD1">
              <w:t>/core promoter mutations and hepatitis B virus genotype in hepatitis B and C dually infected patients treated with interferon-based therapy.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r w:rsidRPr="00812CD1">
              <w:t>IFN</w:t>
            </w:r>
            <w:r w:rsidRPr="00812CD1">
              <w:br/>
              <w:t xml:space="preserve">or </w:t>
            </w:r>
            <w:proofErr w:type="spellStart"/>
            <w:r w:rsidRPr="00812CD1">
              <w:t>pegylated</w:t>
            </w:r>
            <w:proofErr w:type="spellEnd"/>
            <w:r w:rsidRPr="00812CD1">
              <w:t>-IFN plus ribavirin</w:t>
            </w:r>
          </w:p>
        </w:tc>
      </w:tr>
      <w:tr w:rsidR="00034D70" w:rsidRPr="00812CD1" w:rsidTr="00EC0764">
        <w:trPr>
          <w:trHeight w:val="94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r w:rsidRPr="00812CD1">
              <w:t>Yu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2010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proofErr w:type="spellStart"/>
            <w:r w:rsidRPr="00812CD1">
              <w:t>HBsAg</w:t>
            </w:r>
            <w:proofErr w:type="spellEnd"/>
            <w:r w:rsidRPr="00812CD1">
              <w:t xml:space="preserve"> profiles in patients receiving </w:t>
            </w:r>
            <w:proofErr w:type="spellStart"/>
            <w:r w:rsidRPr="00812CD1">
              <w:t>peginterferon</w:t>
            </w:r>
            <w:proofErr w:type="spellEnd"/>
            <w:r w:rsidRPr="00812CD1">
              <w:t xml:space="preserve"> alfa-2a plus ribavirin for the treatment of dual chronic infection with hepatitis B and C viruses.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roofErr w:type="spellStart"/>
            <w:r w:rsidRPr="00812CD1">
              <w:t>Peginterferon</w:t>
            </w:r>
            <w:proofErr w:type="spellEnd"/>
            <w:r w:rsidRPr="00812CD1">
              <w:t xml:space="preserve"> Alfa-2a plus Ribavirin</w:t>
            </w:r>
          </w:p>
        </w:tc>
      </w:tr>
      <w:tr w:rsidR="00034D70" w:rsidRPr="00812CD1" w:rsidTr="00EC0764">
        <w:trPr>
          <w:trHeight w:val="630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lastRenderedPageBreak/>
              <w:t>Polilli</w:t>
            </w:r>
            <w:proofErr w:type="spellEnd"/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2010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>Fatal reactivation of HBV and HDV during a long-lasting interruption of HAART in a patient co-infected with HIV, HCV, HBV and HDV.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roofErr w:type="spellStart"/>
            <w:r w:rsidRPr="00812CD1">
              <w:t>pegylated</w:t>
            </w:r>
            <w:proofErr w:type="spellEnd"/>
            <w:r w:rsidRPr="00812CD1">
              <w:t xml:space="preserve"> interferon</w:t>
            </w:r>
          </w:p>
        </w:tc>
      </w:tr>
      <w:tr w:rsidR="00034D70" w:rsidRPr="00812CD1" w:rsidTr="00EC0764">
        <w:trPr>
          <w:trHeight w:val="94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t>Viganò</w:t>
            </w:r>
            <w:proofErr w:type="spellEnd"/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2009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>The course of inactive hepatitis B in hepatitis-C-</w:t>
            </w:r>
            <w:proofErr w:type="spellStart"/>
            <w:r w:rsidRPr="00812CD1">
              <w:t>coinfected</w:t>
            </w:r>
            <w:proofErr w:type="spellEnd"/>
            <w:r w:rsidRPr="00812CD1">
              <w:t xml:space="preserve"> patients treated with interferon and ribavirin.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r w:rsidRPr="00812CD1">
              <w:t xml:space="preserve">RBV with either standard IFN (n=14) or </w:t>
            </w:r>
            <w:proofErr w:type="spellStart"/>
            <w:r w:rsidRPr="00812CD1">
              <w:t>pegylated</w:t>
            </w:r>
            <w:proofErr w:type="spellEnd"/>
            <w:r w:rsidRPr="00812CD1">
              <w:t xml:space="preserve"> (PEG)-IFN-alpha2b</w:t>
            </w:r>
          </w:p>
        </w:tc>
      </w:tr>
      <w:tr w:rsidR="00034D70" w:rsidRPr="00812CD1" w:rsidTr="00EC0764">
        <w:trPr>
          <w:trHeight w:val="630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t>Saitta</w:t>
            </w:r>
            <w:proofErr w:type="spellEnd"/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2006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proofErr w:type="spellStart"/>
            <w:r w:rsidRPr="00812CD1">
              <w:t>Virological</w:t>
            </w:r>
            <w:proofErr w:type="spellEnd"/>
            <w:r w:rsidRPr="00812CD1">
              <w:t xml:space="preserve"> profiles in hepatitis B virus/hepatitis C virus </w:t>
            </w:r>
            <w:proofErr w:type="spellStart"/>
            <w:r w:rsidRPr="00812CD1">
              <w:t>coinfected</w:t>
            </w:r>
            <w:proofErr w:type="spellEnd"/>
            <w:r w:rsidRPr="00812CD1">
              <w:t xml:space="preserve"> patients under interferon plus ribavirin therapy.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r w:rsidRPr="00812CD1">
              <w:t> interferon plus ribavirin</w:t>
            </w:r>
          </w:p>
        </w:tc>
      </w:tr>
      <w:tr w:rsidR="00034D70" w:rsidRPr="00812CD1" w:rsidTr="00EC0764">
        <w:trPr>
          <w:trHeight w:val="630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t>Yalcin</w:t>
            </w:r>
            <w:proofErr w:type="spellEnd"/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2003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 xml:space="preserve">A severe hepatitis flare in an HBV-HCV </w:t>
            </w:r>
            <w:proofErr w:type="spellStart"/>
            <w:r w:rsidRPr="00812CD1">
              <w:t>coinfected</w:t>
            </w:r>
            <w:proofErr w:type="spellEnd"/>
            <w:r w:rsidRPr="00812CD1">
              <w:t xml:space="preserve"> patient during combination therapy with alpha-interferon and ribavirin.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r w:rsidRPr="00812CD1">
              <w:t> α-IFN plus ribavirin therapy,</w:t>
            </w:r>
          </w:p>
        </w:tc>
      </w:tr>
      <w:tr w:rsidR="00034D70" w:rsidRPr="00812CD1" w:rsidTr="00EC0764">
        <w:trPr>
          <w:trHeight w:val="630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r w:rsidRPr="00812CD1">
              <w:t>Holmes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2017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>Hepatitis B reactivation during or after direct acting antiviral therapy - implication for susceptible individuals.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/>
        </w:tc>
      </w:tr>
      <w:tr w:rsidR="00034D70" w:rsidRPr="00812CD1" w:rsidTr="00EC0764">
        <w:trPr>
          <w:trHeight w:val="1260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t>Bersoff-Matcha</w:t>
            </w:r>
            <w:proofErr w:type="spellEnd"/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2017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>Hepatitis B Virus Reactivation Associated With Direct-Acting Antiviral Therapy for Chronic Hepatitis C Virus: A Review of Cases Reported to the U.S. Food and Drug Administration Adverse Event Reporting System.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r w:rsidRPr="00812CD1">
              <w:t>second-generation DAA</w:t>
            </w:r>
          </w:p>
        </w:tc>
      </w:tr>
      <w:tr w:rsidR="00034D70" w:rsidRPr="00812CD1" w:rsidTr="00EC0764">
        <w:trPr>
          <w:trHeight w:val="94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r w:rsidRPr="00812CD1">
              <w:t>Hayashi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2016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 xml:space="preserve">A case of acute hepatitis B in a chronic hepatitis C patient after </w:t>
            </w:r>
            <w:proofErr w:type="spellStart"/>
            <w:r w:rsidRPr="00812CD1">
              <w:t>daclatasvir</w:t>
            </w:r>
            <w:proofErr w:type="spellEnd"/>
            <w:r w:rsidRPr="00812CD1">
              <w:t xml:space="preserve"> and </w:t>
            </w:r>
            <w:proofErr w:type="spellStart"/>
            <w:r w:rsidRPr="00812CD1">
              <w:t>asunaprevir</w:t>
            </w:r>
            <w:proofErr w:type="spellEnd"/>
            <w:r w:rsidRPr="00812CD1">
              <w:t xml:space="preserve"> combination therapy: hepatitis B virus reactivation or acute self-limited hepatitis?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roofErr w:type="spellStart"/>
            <w:r w:rsidRPr="00812CD1">
              <w:t>daclatasvir</w:t>
            </w:r>
            <w:proofErr w:type="spellEnd"/>
            <w:r w:rsidRPr="00812CD1">
              <w:t xml:space="preserve"> and </w:t>
            </w:r>
            <w:proofErr w:type="spellStart"/>
            <w:r w:rsidRPr="00812CD1">
              <w:t>asunaprevir</w:t>
            </w:r>
            <w:proofErr w:type="spellEnd"/>
            <w:r w:rsidRPr="00812CD1">
              <w:t xml:space="preserve"> therapy</w:t>
            </w:r>
          </w:p>
        </w:tc>
      </w:tr>
      <w:tr w:rsidR="00034D70" w:rsidRPr="00812CD1" w:rsidTr="00EC0764">
        <w:trPr>
          <w:trHeight w:val="94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t>Ende</w:t>
            </w:r>
            <w:proofErr w:type="spellEnd"/>
            <w:r w:rsidRPr="00812CD1">
              <w:t xml:space="preserve"> AR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2015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 xml:space="preserve">Fulminant hepatitis B reactivation leading to liver transplantation in a patient with chronic hepatitis C treated with </w:t>
            </w:r>
            <w:proofErr w:type="spellStart"/>
            <w:r w:rsidRPr="00812CD1">
              <w:t>simeprevir</w:t>
            </w:r>
            <w:proofErr w:type="spellEnd"/>
            <w:r w:rsidRPr="00812CD1">
              <w:t xml:space="preserve"> and </w:t>
            </w:r>
            <w:proofErr w:type="spellStart"/>
            <w:r w:rsidRPr="00812CD1">
              <w:t>sofosbuvir</w:t>
            </w:r>
            <w:proofErr w:type="spellEnd"/>
            <w:r w:rsidRPr="00812CD1">
              <w:t>: a case report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roofErr w:type="spellStart"/>
            <w:r w:rsidRPr="00812CD1">
              <w:t>Simeprevir</w:t>
            </w:r>
            <w:proofErr w:type="spellEnd"/>
            <w:r w:rsidRPr="00812CD1">
              <w:t xml:space="preserve"> and </w:t>
            </w:r>
            <w:proofErr w:type="spellStart"/>
            <w:r w:rsidRPr="00812CD1">
              <w:t>sofosbuvir</w:t>
            </w:r>
            <w:proofErr w:type="spellEnd"/>
          </w:p>
        </w:tc>
      </w:tr>
      <w:tr w:rsidR="00034D70" w:rsidRPr="00812CD1" w:rsidTr="00EC0764">
        <w:trPr>
          <w:trHeight w:val="94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r w:rsidRPr="00812CD1">
              <w:t xml:space="preserve">Wang 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2017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>Hepatitis due to Reactivation of Hepatitis B Virus in EndemicAreas Among Patients With Hepatitis C Treated With Direct-acting Antiviral Agents.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/>
        </w:tc>
      </w:tr>
      <w:tr w:rsidR="00034D70" w:rsidRPr="00812CD1" w:rsidTr="00EC0764">
        <w:trPr>
          <w:trHeight w:val="630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r w:rsidRPr="00812CD1">
              <w:t xml:space="preserve">Collins 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2015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 xml:space="preserve">Hepatitis B Virus Reactivation During Successful Treatment of Hepatitis C Virus With </w:t>
            </w:r>
            <w:proofErr w:type="spellStart"/>
            <w:r w:rsidRPr="00812CD1">
              <w:t>Sofosbuvir</w:t>
            </w:r>
            <w:proofErr w:type="spellEnd"/>
            <w:r w:rsidRPr="00812CD1">
              <w:t xml:space="preserve"> and </w:t>
            </w:r>
            <w:proofErr w:type="spellStart"/>
            <w:r w:rsidRPr="00812CD1">
              <w:t>Simeprevir</w:t>
            </w:r>
            <w:proofErr w:type="spellEnd"/>
            <w:r w:rsidRPr="00812CD1">
              <w:t>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roofErr w:type="spellStart"/>
            <w:r w:rsidRPr="00812CD1">
              <w:t>sofosbuvir</w:t>
            </w:r>
            <w:proofErr w:type="spellEnd"/>
            <w:r w:rsidRPr="00812CD1">
              <w:t xml:space="preserve"> and </w:t>
            </w:r>
            <w:proofErr w:type="spellStart"/>
            <w:r w:rsidRPr="00812CD1">
              <w:t>simeprevir</w:t>
            </w:r>
            <w:proofErr w:type="spellEnd"/>
          </w:p>
        </w:tc>
      </w:tr>
      <w:tr w:rsidR="00034D70" w:rsidRPr="00812CD1" w:rsidTr="00EC0764">
        <w:trPr>
          <w:trHeight w:val="94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r w:rsidRPr="00812CD1">
              <w:t>De Monte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2016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>Direct-acting antiviral treatment in adults infected with hepatitis C virus: Reactivation of hepatitis B virus coinfection as a further challenge.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roofErr w:type="spellStart"/>
            <w:proofErr w:type="gramStart"/>
            <w:r w:rsidRPr="00812CD1">
              <w:t>ledipasvir</w:t>
            </w:r>
            <w:proofErr w:type="spellEnd"/>
            <w:r w:rsidRPr="00812CD1">
              <w:t>/</w:t>
            </w:r>
            <w:proofErr w:type="spellStart"/>
            <w:r w:rsidRPr="00812CD1">
              <w:t>sofosbuvir</w:t>
            </w:r>
            <w:proofErr w:type="spellEnd"/>
            <w:proofErr w:type="gramEnd"/>
            <w:r w:rsidRPr="00812CD1">
              <w:t xml:space="preserve"> for 12 weeks. </w:t>
            </w:r>
          </w:p>
        </w:tc>
      </w:tr>
      <w:tr w:rsidR="00034D70" w:rsidRPr="00812CD1" w:rsidTr="00EC0764">
        <w:trPr>
          <w:trHeight w:val="94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t>Takayama</w:t>
            </w:r>
            <w:proofErr w:type="spellEnd"/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2016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 xml:space="preserve">Reactivation of hepatitis B virus during interferon-free therapy with </w:t>
            </w:r>
            <w:proofErr w:type="spellStart"/>
            <w:r w:rsidRPr="00812CD1">
              <w:t>daclatasvir</w:t>
            </w:r>
            <w:proofErr w:type="spellEnd"/>
            <w:r w:rsidRPr="00812CD1">
              <w:t xml:space="preserve"> and </w:t>
            </w:r>
            <w:proofErr w:type="spellStart"/>
            <w:r w:rsidRPr="00812CD1">
              <w:t>asunaprevir</w:t>
            </w:r>
            <w:proofErr w:type="spellEnd"/>
            <w:r w:rsidRPr="00812CD1">
              <w:t xml:space="preserve"> in patient with hepatitis B virus/hepatitis C virus co-infection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roofErr w:type="spellStart"/>
            <w:r w:rsidRPr="00812CD1">
              <w:t>Daclatasvir</w:t>
            </w:r>
            <w:proofErr w:type="spellEnd"/>
            <w:r w:rsidRPr="00812CD1">
              <w:t xml:space="preserve"> and </w:t>
            </w:r>
            <w:proofErr w:type="spellStart"/>
            <w:r w:rsidRPr="00812CD1">
              <w:t>asunaprevir</w:t>
            </w:r>
            <w:proofErr w:type="spellEnd"/>
            <w:r w:rsidRPr="00812CD1">
              <w:t xml:space="preserve"> therapy</w:t>
            </w:r>
          </w:p>
        </w:tc>
      </w:tr>
      <w:tr w:rsidR="00034D70" w:rsidRPr="00812CD1" w:rsidTr="00EC0764">
        <w:trPr>
          <w:trHeight w:val="1035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r w:rsidRPr="00812CD1">
              <w:t>Kimura</w:t>
            </w:r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2015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 xml:space="preserve">Sustained hepatitis C virus RNA clearance accompanied by elevation of hepatitis B virus DNA after short-term </w:t>
            </w:r>
            <w:proofErr w:type="spellStart"/>
            <w:r w:rsidRPr="00812CD1">
              <w:t>peginterferon</w:t>
            </w:r>
            <w:proofErr w:type="spellEnd"/>
            <w:r w:rsidRPr="00812CD1">
              <w:t xml:space="preserve">-α, ribavirin and </w:t>
            </w:r>
            <w:proofErr w:type="spellStart"/>
            <w:r w:rsidRPr="00812CD1">
              <w:t>simeprevir</w:t>
            </w:r>
            <w:proofErr w:type="spellEnd"/>
            <w:r w:rsidRPr="00812CD1">
              <w:t xml:space="preserve"> therapy in a chronic hepatitis patient having dual infection with hepatitis B and C viruses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/>
        </w:tc>
      </w:tr>
      <w:tr w:rsidR="00034D70" w:rsidRPr="00812CD1" w:rsidTr="00EC0764">
        <w:trPr>
          <w:trHeight w:val="630"/>
        </w:trPr>
        <w:tc>
          <w:tcPr>
            <w:tcW w:w="1255" w:type="dxa"/>
            <w:noWrap/>
            <w:hideMark/>
          </w:tcPr>
          <w:p w:rsidR="00034D70" w:rsidRPr="00812CD1" w:rsidRDefault="00034D70" w:rsidP="00EC0764">
            <w:proofErr w:type="spellStart"/>
            <w:r w:rsidRPr="00812CD1">
              <w:t>Ou</w:t>
            </w:r>
            <w:proofErr w:type="spellEnd"/>
          </w:p>
        </w:tc>
        <w:tc>
          <w:tcPr>
            <w:tcW w:w="720" w:type="dxa"/>
            <w:noWrap/>
            <w:hideMark/>
          </w:tcPr>
          <w:p w:rsidR="00034D70" w:rsidRPr="00812CD1" w:rsidRDefault="00034D70" w:rsidP="00EC0764">
            <w:r w:rsidRPr="00812CD1">
              <w:t>2017</w:t>
            </w:r>
          </w:p>
        </w:tc>
        <w:tc>
          <w:tcPr>
            <w:tcW w:w="6966" w:type="dxa"/>
            <w:hideMark/>
          </w:tcPr>
          <w:p w:rsidR="00034D70" w:rsidRPr="00812CD1" w:rsidRDefault="00034D70" w:rsidP="00EC0764">
            <w:r w:rsidRPr="00812CD1">
              <w:t xml:space="preserve">Hepatitis B reactivation in a chronic hepatitis C patient treated with </w:t>
            </w:r>
            <w:proofErr w:type="spellStart"/>
            <w:r w:rsidRPr="00812CD1">
              <w:lastRenderedPageBreak/>
              <w:t>ledipasvir</w:t>
            </w:r>
            <w:proofErr w:type="spellEnd"/>
            <w:r w:rsidRPr="00812CD1">
              <w:t xml:space="preserve"> and </w:t>
            </w:r>
            <w:proofErr w:type="spellStart"/>
            <w:r w:rsidRPr="00812CD1">
              <w:t>sofosbuvir</w:t>
            </w:r>
            <w:proofErr w:type="spellEnd"/>
            <w:r w:rsidRPr="00812CD1">
              <w:t>: A case report</w:t>
            </w:r>
          </w:p>
        </w:tc>
        <w:tc>
          <w:tcPr>
            <w:tcW w:w="1849" w:type="dxa"/>
            <w:hideMark/>
          </w:tcPr>
          <w:p w:rsidR="00034D70" w:rsidRPr="00812CD1" w:rsidRDefault="00034D70" w:rsidP="00EC0764">
            <w:proofErr w:type="spellStart"/>
            <w:r w:rsidRPr="00812CD1">
              <w:lastRenderedPageBreak/>
              <w:t>ledipasvir</w:t>
            </w:r>
            <w:proofErr w:type="spellEnd"/>
            <w:r w:rsidRPr="00812CD1">
              <w:t>/</w:t>
            </w:r>
            <w:proofErr w:type="spellStart"/>
            <w:r w:rsidRPr="00812CD1">
              <w:t>sofosb</w:t>
            </w:r>
            <w:r w:rsidRPr="00812CD1">
              <w:lastRenderedPageBreak/>
              <w:t>uvir</w:t>
            </w:r>
            <w:proofErr w:type="spellEnd"/>
            <w:r w:rsidRPr="00812CD1">
              <w:t xml:space="preserve"> </w:t>
            </w:r>
          </w:p>
        </w:tc>
      </w:tr>
    </w:tbl>
    <w:p w:rsidR="00034D70" w:rsidRDefault="00034D70" w:rsidP="00034D70">
      <w:bookmarkStart w:id="0" w:name="_GoBack"/>
      <w:bookmarkEnd w:id="0"/>
    </w:p>
    <w:sectPr w:rsidR="00034D70" w:rsidSect="009B123D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987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128" w:rsidRDefault="00034D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128" w:rsidRDefault="00034D7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70"/>
    <w:rsid w:val="00034D70"/>
    <w:rsid w:val="008654D1"/>
    <w:rsid w:val="008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D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70"/>
  </w:style>
  <w:style w:type="table" w:styleId="TableGrid">
    <w:name w:val="Table Grid"/>
    <w:basedOn w:val="TableNormal"/>
    <w:uiPriority w:val="39"/>
    <w:rsid w:val="0003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D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70"/>
  </w:style>
  <w:style w:type="table" w:styleId="TableGrid">
    <w:name w:val="Table Grid"/>
    <w:basedOn w:val="TableNormal"/>
    <w:uiPriority w:val="39"/>
    <w:rsid w:val="0003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0550418E6D942AA11D91AD13CACA9" ma:contentTypeVersion="7" ma:contentTypeDescription="Create a new document." ma:contentTypeScope="" ma:versionID="21669a06fe8b4a589cf65879f9eda4e9">
  <xsd:schema xmlns:xsd="http://www.w3.org/2001/XMLSchema" xmlns:p="http://schemas.microsoft.com/office/2006/metadata/properties" xmlns:ns2="7e6529d8-fd69-4afb-a354-883937345670" targetNamespace="http://schemas.microsoft.com/office/2006/metadata/properties" ma:root="true" ma:fieldsID="b7707aabdbe257637654e5e9c81983e8" ns2:_="">
    <xsd:import namespace="7e6529d8-fd69-4afb-a354-88393734567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6529d8-fd69-4afb-a354-883937345670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tleName xmlns="7e6529d8-fd69-4afb-a354-883937345670">Table 1.DOCX</TitleName>
    <Checked_x0020_Out_x0020_To xmlns="7e6529d8-fd69-4afb-a354-883937345670">
      <UserInfo>
        <DisplayName/>
        <AccountId xsi:nil="true"/>
        <AccountType/>
      </UserInfo>
    </Checked_x0020_Out_x0020_To>
    <IsDeleted xmlns="7e6529d8-fd69-4afb-a354-883937345670">false</IsDeleted>
    <DocumentType xmlns="7e6529d8-fd69-4afb-a354-883937345670">Table</DocumentType>
    <DocumentId xmlns="7e6529d8-fd69-4afb-a354-883937345670">Table 1.DOCX</DocumentId>
    <StageName xmlns="7e6529d8-fd69-4afb-a354-883937345670" xsi:nil="true"/>
    <FileFormat xmlns="7e6529d8-fd69-4afb-a354-883937345670">DOCX</FileFormat>
  </documentManagement>
</p:properties>
</file>

<file path=customXml/itemProps1.xml><?xml version="1.0" encoding="utf-8"?>
<ds:datastoreItem xmlns:ds="http://schemas.openxmlformats.org/officeDocument/2006/customXml" ds:itemID="{4878F4AF-768A-472A-9B49-25DE2F59B67E}"/>
</file>

<file path=customXml/itemProps2.xml><?xml version="1.0" encoding="utf-8"?>
<ds:datastoreItem xmlns:ds="http://schemas.openxmlformats.org/officeDocument/2006/customXml" ds:itemID="{CC222E9C-83D8-4A72-89F6-FE2E2D2EEE17}"/>
</file>

<file path=customXml/itemProps3.xml><?xml version="1.0" encoding="utf-8"?>
<ds:datastoreItem xmlns:ds="http://schemas.openxmlformats.org/officeDocument/2006/customXml" ds:itemID="{B21F1A5F-BBAB-43E7-899D-4E02E66AA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dnf</dc:creator>
  <cp:lastModifiedBy>dnf</cp:lastModifiedBy>
  <cp:revision>1</cp:revision>
  <dcterms:created xsi:type="dcterms:W3CDTF">2017-09-14T16:54:00Z</dcterms:created>
  <dcterms:modified xsi:type="dcterms:W3CDTF">2017-09-14T16:57:00Z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0x010100B6F0550418E6D942AA11D91AD13CACA9</vt:lpwstr>
  </property>
</Properties>
</file>