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35E" w:rsidRPr="00345560" w:rsidRDefault="00A8135E" w:rsidP="00A8135E">
      <w:pPr>
        <w:tabs>
          <w:tab w:val="left" w:pos="2400"/>
        </w:tabs>
        <w:spacing w:after="12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345560">
        <w:rPr>
          <w:rFonts w:ascii="Times New Roman" w:hAnsi="Times New Roman" w:cs="Times New Roman"/>
          <w:sz w:val="24"/>
        </w:rPr>
        <w:t xml:space="preserve">Supplement Table 1. Hospital sample frame and sample weights by number of inpatient surgical procedures and WB/RBC collections in 2013. </w:t>
      </w:r>
    </w:p>
    <w:tbl>
      <w:tblPr>
        <w:tblW w:w="135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40"/>
        <w:gridCol w:w="1540"/>
        <w:gridCol w:w="2700"/>
        <w:gridCol w:w="3140"/>
        <w:gridCol w:w="1800"/>
      </w:tblGrid>
      <w:tr w:rsidR="00A8135E" w:rsidRPr="009B4D6C" w:rsidTr="00C31E72">
        <w:trPr>
          <w:trHeight w:val="144"/>
        </w:trPr>
        <w:tc>
          <w:tcPr>
            <w:tcW w:w="4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Sample Frame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Survey Respondents (%)</w:t>
            </w:r>
          </w:p>
        </w:tc>
        <w:tc>
          <w:tcPr>
            <w:tcW w:w="31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Survey Non-respondents (%)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Sample Weights</w:t>
            </w:r>
          </w:p>
        </w:tc>
      </w:tr>
      <w:tr w:rsidR="00A8135E" w:rsidRPr="009B4D6C" w:rsidTr="00C31E72">
        <w:trPr>
          <w:trHeight w:val="144"/>
        </w:trPr>
        <w:tc>
          <w:tcPr>
            <w:tcW w:w="4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Hospitals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35E" w:rsidRPr="009B4D6C" w:rsidTr="00C31E72">
        <w:trPr>
          <w:trHeight w:val="144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100–999 surgeries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1634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426 (26.1)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1208 (73.9)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3.8</w:t>
            </w:r>
          </w:p>
        </w:tc>
      </w:tr>
      <w:tr w:rsidR="00A8135E" w:rsidRPr="009B4D6C" w:rsidTr="00C31E72">
        <w:trPr>
          <w:trHeight w:val="144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1000–1399 surgeries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406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117 (28.8)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289 (72.7)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3.5</w:t>
            </w:r>
          </w:p>
        </w:tc>
      </w:tr>
      <w:tr w:rsidR="00A8135E" w:rsidRPr="009B4D6C" w:rsidTr="00C31E72">
        <w:trPr>
          <w:trHeight w:val="144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1400–2399 surgeries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567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155 (27.3)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412 (72.7)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3.7</w:t>
            </w:r>
          </w:p>
        </w:tc>
      </w:tr>
      <w:tr w:rsidR="00A8135E" w:rsidRPr="009B4D6C" w:rsidTr="00C31E72">
        <w:trPr>
          <w:trHeight w:val="144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2400–4999 surgeries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765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219 (28.6)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546 (71.4)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3.5</w:t>
            </w:r>
          </w:p>
        </w:tc>
      </w:tr>
      <w:tr w:rsidR="00A8135E" w:rsidRPr="009B4D6C" w:rsidTr="00C31E72">
        <w:trPr>
          <w:trHeight w:val="144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5000–7999 surgeries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311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97 (31.2)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214 (68.8)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3.2</w:t>
            </w:r>
          </w:p>
        </w:tc>
      </w:tr>
      <w:tr w:rsidR="00A8135E" w:rsidRPr="009B4D6C" w:rsidTr="00C31E72">
        <w:trPr>
          <w:trHeight w:val="144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≥8000 surgeries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232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87 (37.5)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145 (62.5)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2.7</w:t>
            </w:r>
          </w:p>
        </w:tc>
      </w:tr>
      <w:tr w:rsidR="00A8135E" w:rsidRPr="009B4D6C" w:rsidTr="00C31E72">
        <w:trPr>
          <w:trHeight w:val="144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35E" w:rsidRPr="009B4D6C" w:rsidTr="00C31E72">
        <w:trPr>
          <w:trHeight w:val="144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Non-hospital Blood Centers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35E" w:rsidRPr="009B4D6C" w:rsidTr="00C31E72">
        <w:trPr>
          <w:trHeight w:val="144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&lt;50000 WB/RBC collections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28 (56.0)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22 (44.0)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1.8</w:t>
            </w:r>
          </w:p>
        </w:tc>
      </w:tr>
      <w:tr w:rsidR="00A8135E" w:rsidRPr="009B4D6C" w:rsidTr="00C31E72">
        <w:trPr>
          <w:trHeight w:val="144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≥50000–&lt;200000 WB/RBC collections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22 (73.3)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 (26.7)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1.4</w:t>
            </w:r>
          </w:p>
        </w:tc>
      </w:tr>
      <w:tr w:rsidR="00A8135E" w:rsidRPr="009B4D6C" w:rsidTr="00C31E72">
        <w:trPr>
          <w:trHeight w:val="144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≥200000 WB/RBC collections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 (42.9)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 (57.1)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2.3</w:t>
            </w:r>
          </w:p>
        </w:tc>
      </w:tr>
      <w:tr w:rsidR="00A8135E" w:rsidRPr="009B4D6C" w:rsidTr="00C31E72">
        <w:trPr>
          <w:trHeight w:val="144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&gt;400000 WB/RBC collections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 (100)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</w:tr>
      <w:tr w:rsidR="00A8135E" w:rsidRPr="009B4D6C" w:rsidTr="00C31E72">
        <w:trPr>
          <w:trHeight w:val="144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35E" w:rsidRPr="009B4D6C" w:rsidTr="00C31E72">
        <w:trPr>
          <w:trHeight w:val="144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Hospital-based Blood Centers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35E" w:rsidRPr="009B4D6C" w:rsidTr="00C31E72">
        <w:trPr>
          <w:trHeight w:val="144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&lt;1000 surgeries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 (38.5)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 (61.5)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2.6</w:t>
            </w:r>
          </w:p>
        </w:tc>
      </w:tr>
      <w:tr w:rsidR="00A8135E" w:rsidRPr="009B4D6C" w:rsidTr="00C31E72">
        <w:trPr>
          <w:trHeight w:val="144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≥1000–&lt;8000 surgeries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33 (35.5)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60 (64.5)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2.8</w:t>
            </w:r>
          </w:p>
        </w:tc>
      </w:tr>
      <w:tr w:rsidR="00A8135E" w:rsidRPr="009B4D6C" w:rsidTr="00C31E72">
        <w:trPr>
          <w:trHeight w:val="144"/>
        </w:trPr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≥8000 surgeries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25 (53.2)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22 (46.8)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135E" w:rsidRPr="009B4D6C" w:rsidRDefault="00A8135E" w:rsidP="00C31E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B4D6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1.9</w:t>
            </w:r>
          </w:p>
        </w:tc>
      </w:tr>
    </w:tbl>
    <w:p w:rsidR="00A8135E" w:rsidRPr="009B4D6C" w:rsidRDefault="00A8135E" w:rsidP="00A8135E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D6C">
        <w:rPr>
          <w:rFonts w:ascii="Times New Roman" w:hAnsi="Times New Roman" w:cs="Times New Roman"/>
          <w:sz w:val="24"/>
          <w:szCs w:val="24"/>
        </w:rPr>
        <w:t>Two non-hospital blood center responses were included on another blood center response (total number of non-hospital blood center responses = 59).</w:t>
      </w:r>
    </w:p>
    <w:p w:rsidR="000F2E6B" w:rsidRDefault="004D5EEA"/>
    <w:sectPr w:rsidR="000F2E6B" w:rsidSect="00A813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5E"/>
    <w:rsid w:val="00462C70"/>
    <w:rsid w:val="004D5EEA"/>
    <w:rsid w:val="009B67B2"/>
    <w:rsid w:val="00A8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F6A77B-8DCD-4ED4-8705-A1D79464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Shanmugasundaram, Rajesh</dc:creator>
  <cp:lastModifiedBy>Koo Whang Chung</cp:lastModifiedBy>
  <cp:revision>2</cp:revision>
  <dcterms:created xsi:type="dcterms:W3CDTF">2018-04-26T17:09:00Z</dcterms:created>
  <dcterms:modified xsi:type="dcterms:W3CDTF">2018-04-26T17:09:00Z</dcterms:modified>
</cp:coreProperties>
</file>