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B9" w:rsidRPr="007F2353" w:rsidRDefault="008143B9" w:rsidP="008143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810"/>
        <w:gridCol w:w="900"/>
        <w:gridCol w:w="990"/>
        <w:gridCol w:w="990"/>
        <w:gridCol w:w="990"/>
        <w:gridCol w:w="990"/>
        <w:gridCol w:w="900"/>
        <w:gridCol w:w="990"/>
      </w:tblGrid>
      <w:tr w:rsidR="008143B9" w:rsidTr="00407E2A">
        <w:trPr>
          <w:trHeight w:hRule="exact" w:val="288"/>
        </w:trPr>
        <w:tc>
          <w:tcPr>
            <w:tcW w:w="1188" w:type="dxa"/>
            <w:tcBorders>
              <w:top w:val="nil"/>
              <w:left w:val="nil"/>
            </w:tcBorders>
            <w:shd w:val="clear" w:color="auto" w:fill="auto"/>
          </w:tcPr>
          <w:p w:rsidR="008143B9" w:rsidRDefault="008143B9" w:rsidP="00407E2A"/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Total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Male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Female</w:t>
            </w:r>
          </w:p>
        </w:tc>
      </w:tr>
      <w:tr w:rsidR="008143B9" w:rsidTr="00407E2A">
        <w:trPr>
          <w:trHeight w:hRule="exact" w:val="288"/>
        </w:trPr>
        <w:tc>
          <w:tcPr>
            <w:tcW w:w="1188" w:type="dxa"/>
            <w:shd w:val="clear" w:color="auto" w:fill="auto"/>
          </w:tcPr>
          <w:p w:rsidR="008143B9" w:rsidRDefault="008143B9" w:rsidP="00407E2A">
            <w:r>
              <w:t>State</w:t>
            </w:r>
          </w:p>
        </w:tc>
        <w:tc>
          <w:tcPr>
            <w:tcW w:w="81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DSI</w:t>
            </w:r>
          </w:p>
        </w:tc>
        <w:tc>
          <w:tcPr>
            <w:tcW w:w="81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MP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proofErr w:type="spellStart"/>
            <w:r>
              <w:t>Wantai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DSI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MP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proofErr w:type="spellStart"/>
            <w:r>
              <w:t>Wantai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DSI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MP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proofErr w:type="spellStart"/>
            <w:r>
              <w:t>Wantai</w:t>
            </w:r>
            <w:proofErr w:type="spellEnd"/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Illinois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10.0% 14.4%</w:t>
            </w:r>
          </w:p>
          <w:p w:rsidR="008143B9" w:rsidRDefault="008143B9" w:rsidP="00407E2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9.8% 14.2%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12.0% 16.7%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10.6% 16.9%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10.0% 16.2%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13.2% 20.0%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7.6% 13.8%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7.8% 14.0%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8.6% 15.1%</w:t>
            </w:r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Indiana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7.6% 11.7%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6.6% 10.5%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8.2% 12.5%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8.4% 14.5%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7.0% 12.7%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9.0% 15.2%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5.1% 10.7%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4.6% 10.1%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5.7% 11.6%</w:t>
            </w:r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Kansas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1.7% 11.6%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1.7% 11.6%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1.7% 11.6%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1.4% 18.3%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1.4% 18.3%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1.4% 18.3%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0.5% 13.2%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0.5% 13.2%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0.5% 13.2%</w:t>
            </w:r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Kentucky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6.3% 9.5%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6.0% 9.2%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6.5% 9.8%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6.3% 10.8%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6.1% 10.6%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7.0% 11.7%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5.0% 9.7%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4.7% 9.3%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4.7% 9.3%</w:t>
            </w:r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Missouri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12.4% 15.5%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11.7% 14.7%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13.5% 16.6%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13.6% 18.1%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11.9% 16.1%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14.1% 18.5%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10.0% 14.1%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10.3% 14.5%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11.6% 16.0%</w:t>
            </w:r>
          </w:p>
        </w:tc>
      </w:tr>
      <w:tr w:rsidR="008143B9" w:rsidTr="00407E2A">
        <w:trPr>
          <w:trHeight w:hRule="exact" w:val="576"/>
        </w:trPr>
        <w:tc>
          <w:tcPr>
            <w:tcW w:w="1188" w:type="dxa"/>
            <w:shd w:val="clear" w:color="auto" w:fill="auto"/>
            <w:vAlign w:val="center"/>
          </w:tcPr>
          <w:p w:rsidR="008143B9" w:rsidRDefault="008143B9" w:rsidP="00407E2A">
            <w:r>
              <w:t>All states</w:t>
            </w:r>
            <w:r>
              <w:rPr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10.4% 12.2%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9.8% 11.5%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3B9" w:rsidRDefault="008143B9" w:rsidP="00407E2A">
            <w:pPr>
              <w:jc w:val="center"/>
            </w:pPr>
            <w:r>
              <w:t>11.4% 13.2%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11.4% 14.0%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10.3% 12.6%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12.4% 15.0%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8.6% 11.0%</w:t>
            </w:r>
          </w:p>
        </w:tc>
        <w:tc>
          <w:tcPr>
            <w:tcW w:w="90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8.6% 11.0%</w:t>
            </w:r>
          </w:p>
        </w:tc>
        <w:tc>
          <w:tcPr>
            <w:tcW w:w="990" w:type="dxa"/>
            <w:shd w:val="clear" w:color="auto" w:fill="auto"/>
          </w:tcPr>
          <w:p w:rsidR="008143B9" w:rsidRDefault="008143B9" w:rsidP="00407E2A">
            <w:pPr>
              <w:jc w:val="center"/>
            </w:pPr>
            <w:r>
              <w:t>9.5% 12.1%</w:t>
            </w:r>
          </w:p>
        </w:tc>
      </w:tr>
    </w:tbl>
    <w:p w:rsidR="008143B9" w:rsidRDefault="008143B9" w:rsidP="008143B9"/>
    <w:p w:rsidR="008143B9" w:rsidRDefault="008143B9" w:rsidP="008143B9">
      <w:r>
        <w:t xml:space="preserve">Supplemental Table 2. 95% confidence intervals </w:t>
      </w:r>
      <w:r w:rsidRPr="00DA4A5C">
        <w:t xml:space="preserve">for IgG antibody positivity by state and gender. These data are for the values presented in Table 2. See Table 2 for additional information. </w:t>
      </w:r>
      <w:r w:rsidRPr="00DA4A5C">
        <w:rPr>
          <w:vertAlign w:val="superscript"/>
        </w:rPr>
        <w:t>*</w:t>
      </w:r>
      <w:r w:rsidRPr="00DA4A5C">
        <w:t xml:space="preserve"> 95</w:t>
      </w:r>
      <w:r>
        <w:t>% confidence intervals for antibody positivity for all 21 states in which donors resided.</w:t>
      </w:r>
    </w:p>
    <w:p w:rsidR="00FC70C6" w:rsidRDefault="00FC70C6">
      <w:bookmarkStart w:id="0" w:name="_GoBack"/>
      <w:bookmarkEnd w:id="0"/>
    </w:p>
    <w:sectPr w:rsidR="00FC70C6" w:rsidSect="006C657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14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9"/>
    <w:rsid w:val="008143B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4EFF0-4278-4702-A412-E58E6D14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Mike (CDC/OID/NCHHSTP)</dc:creator>
  <cp:keywords/>
  <dc:description/>
  <cp:lastModifiedBy>Purdy, Mike (CDC/OID/NCHHSTP)</cp:lastModifiedBy>
  <cp:revision>1</cp:revision>
  <dcterms:created xsi:type="dcterms:W3CDTF">2018-03-23T15:37:00Z</dcterms:created>
  <dcterms:modified xsi:type="dcterms:W3CDTF">2018-03-23T15:38:00Z</dcterms:modified>
</cp:coreProperties>
</file>