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34" w:rsidRPr="002A6534" w:rsidRDefault="002A6534" w:rsidP="002A6534">
      <w:pPr>
        <w:spacing w:after="0" w:line="240" w:lineRule="auto"/>
        <w:jc w:val="center"/>
        <w:rPr>
          <w:rFonts w:cs="AdvMINION-R"/>
          <w:b/>
          <w:sz w:val="24"/>
          <w:szCs w:val="24"/>
        </w:rPr>
      </w:pPr>
      <w:r>
        <w:rPr>
          <w:rFonts w:cs="AdvMINION-R"/>
          <w:b/>
          <w:sz w:val="24"/>
          <w:szCs w:val="24"/>
        </w:rPr>
        <w:t xml:space="preserve">Web Material </w:t>
      </w:r>
    </w:p>
    <w:p w:rsidR="002A6534" w:rsidRDefault="002A6534" w:rsidP="007A4E05">
      <w:pPr>
        <w:spacing w:after="0" w:line="240" w:lineRule="auto"/>
        <w:rPr>
          <w:rFonts w:cs="AdvMINION-R"/>
          <w:sz w:val="24"/>
          <w:szCs w:val="24"/>
        </w:rPr>
      </w:pPr>
    </w:p>
    <w:p w:rsidR="007A4E05" w:rsidRDefault="00BA75BE" w:rsidP="007A4E05">
      <w:pPr>
        <w:spacing w:after="0" w:line="240" w:lineRule="auto"/>
        <w:rPr>
          <w:rFonts w:cs="AdvMINION-R"/>
          <w:sz w:val="24"/>
          <w:szCs w:val="24"/>
        </w:rPr>
      </w:pPr>
      <w:bookmarkStart w:id="0" w:name="_GoBack"/>
      <w:bookmarkEnd w:id="0"/>
      <w:r>
        <w:rPr>
          <w:rFonts w:cs="AdvMINION-R"/>
          <w:sz w:val="24"/>
          <w:szCs w:val="24"/>
        </w:rPr>
        <w:t>Web</w:t>
      </w:r>
      <w:r w:rsidR="007A4E05">
        <w:rPr>
          <w:rFonts w:cs="AdvMINION-R"/>
          <w:sz w:val="24"/>
          <w:szCs w:val="24"/>
        </w:rPr>
        <w:t xml:space="preserve"> Figure 1.</w:t>
      </w:r>
    </w:p>
    <w:p w:rsidR="007A4E05" w:rsidRDefault="007A4E05" w:rsidP="007A4E05">
      <w:pPr>
        <w:spacing w:after="0" w:line="240" w:lineRule="auto"/>
        <w:rPr>
          <w:rFonts w:cs="AdvMINION-R"/>
          <w:sz w:val="24"/>
          <w:szCs w:val="24"/>
        </w:rPr>
      </w:pPr>
      <w:r>
        <w:rPr>
          <w:rFonts w:cs="AdvMINION-R"/>
          <w:sz w:val="24"/>
          <w:szCs w:val="24"/>
        </w:rPr>
        <w:t xml:space="preserve">A) </w:t>
      </w:r>
      <w:r w:rsidRPr="008C740F">
        <w:rPr>
          <w:rFonts w:cs="AdvMINION-R"/>
          <w:sz w:val="24"/>
          <w:szCs w:val="24"/>
        </w:rPr>
        <w:t xml:space="preserve">Percentage of </w:t>
      </w:r>
      <w:r>
        <w:rPr>
          <w:rFonts w:cs="AdvMINION-R"/>
          <w:sz w:val="24"/>
          <w:szCs w:val="24"/>
        </w:rPr>
        <w:t>V</w:t>
      </w:r>
      <w:r w:rsidRPr="008C740F">
        <w:rPr>
          <w:rFonts w:cs="AdvMINION-R"/>
          <w:sz w:val="24"/>
          <w:szCs w:val="24"/>
        </w:rPr>
        <w:t xml:space="preserve">isits for </w:t>
      </w:r>
      <w:r>
        <w:rPr>
          <w:rFonts w:cs="AdvMINION-R"/>
          <w:sz w:val="24"/>
          <w:szCs w:val="24"/>
        </w:rPr>
        <w:t>I</w:t>
      </w:r>
      <w:r w:rsidRPr="008C740F">
        <w:rPr>
          <w:rFonts w:cs="AdvMINION-R"/>
          <w:sz w:val="24"/>
          <w:szCs w:val="24"/>
        </w:rPr>
        <w:t>nfluenza-</w:t>
      </w:r>
      <w:r>
        <w:rPr>
          <w:rFonts w:cs="AdvMINION-R"/>
          <w:sz w:val="24"/>
          <w:szCs w:val="24"/>
        </w:rPr>
        <w:t>L</w:t>
      </w:r>
      <w:r w:rsidRPr="008C740F">
        <w:rPr>
          <w:rFonts w:cs="AdvMINION-R"/>
          <w:sz w:val="24"/>
          <w:szCs w:val="24"/>
        </w:rPr>
        <w:t xml:space="preserve">ike </w:t>
      </w:r>
      <w:r>
        <w:rPr>
          <w:rFonts w:cs="AdvMINION-R"/>
          <w:sz w:val="24"/>
          <w:szCs w:val="24"/>
        </w:rPr>
        <w:t>I</w:t>
      </w:r>
      <w:r w:rsidRPr="008C740F">
        <w:rPr>
          <w:rFonts w:cs="AdvMINION-R"/>
          <w:sz w:val="24"/>
          <w:szCs w:val="24"/>
        </w:rPr>
        <w:t xml:space="preserve">llness (ILI) </w:t>
      </w:r>
      <w:r>
        <w:rPr>
          <w:rFonts w:cs="AdvMINION-R"/>
          <w:sz w:val="24"/>
          <w:szCs w:val="24"/>
        </w:rPr>
        <w:t xml:space="preserve">and Corresponding Intensity Thresholds, Children Aged &lt;25 Years, by Surveillance Week and Season, </w:t>
      </w:r>
      <w:r w:rsidRPr="008C740F">
        <w:rPr>
          <w:rFonts w:cs="AdvMINION-R"/>
          <w:sz w:val="24"/>
          <w:szCs w:val="24"/>
        </w:rPr>
        <w:t>U.S. Outpatient Influenza-Like Illness Surveillance Network</w:t>
      </w:r>
      <w:r>
        <w:rPr>
          <w:rFonts w:cs="AdvMINION-R"/>
          <w:sz w:val="24"/>
          <w:szCs w:val="24"/>
        </w:rPr>
        <w:t xml:space="preserve"> (ILINet)</w:t>
      </w:r>
      <w:r w:rsidRPr="008C740F">
        <w:rPr>
          <w:rFonts w:cs="AdvMINION-R"/>
          <w:sz w:val="24"/>
          <w:szCs w:val="24"/>
        </w:rPr>
        <w:t xml:space="preserve">, United States, </w:t>
      </w:r>
      <w:r>
        <w:rPr>
          <w:rFonts w:cs="AdvMINION-R"/>
          <w:sz w:val="24"/>
          <w:szCs w:val="24"/>
        </w:rPr>
        <w:t xml:space="preserve">2003–04 Through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 xml:space="preserve">s </w:t>
      </w:r>
    </w:p>
    <w:p w:rsidR="007A4E05" w:rsidRDefault="007A4E05" w:rsidP="007A4E05">
      <w:pPr>
        <w:spacing w:after="0" w:line="240" w:lineRule="auto"/>
        <w:rPr>
          <w:rFonts w:cs="AdvMINION-R"/>
          <w:sz w:val="24"/>
          <w:szCs w:val="24"/>
        </w:rPr>
      </w:pPr>
      <w:r>
        <w:rPr>
          <w:rFonts w:cs="AdvMINION-R"/>
          <w:sz w:val="24"/>
          <w:szCs w:val="24"/>
        </w:rPr>
        <w:t>B)</w:t>
      </w:r>
      <w:r w:rsidRPr="008C740F">
        <w:t xml:space="preserve"> </w:t>
      </w:r>
      <w:r>
        <w:t>R</w:t>
      </w:r>
      <w:r w:rsidRPr="008C740F">
        <w:rPr>
          <w:rFonts w:cs="AdvMINION-R"/>
          <w:sz w:val="24"/>
          <w:szCs w:val="24"/>
        </w:rPr>
        <w:t>ate</w:t>
      </w:r>
      <w:r>
        <w:rPr>
          <w:rFonts w:cs="AdvMINION-R"/>
          <w:sz w:val="24"/>
          <w:szCs w:val="24"/>
        </w:rPr>
        <w:t xml:space="preserve"> </w:t>
      </w:r>
      <w:r w:rsidRPr="008C740F">
        <w:rPr>
          <w:rFonts w:cs="AdvMINION-R"/>
          <w:sz w:val="24"/>
          <w:szCs w:val="24"/>
        </w:rPr>
        <w:t xml:space="preserve">of </w:t>
      </w:r>
      <w:r>
        <w:rPr>
          <w:rFonts w:cs="AdvMINION-R"/>
          <w:sz w:val="24"/>
          <w:szCs w:val="24"/>
        </w:rPr>
        <w:t>L</w:t>
      </w:r>
      <w:r w:rsidRPr="008C740F">
        <w:rPr>
          <w:rFonts w:cs="AdvMINION-R"/>
          <w:sz w:val="24"/>
          <w:szCs w:val="24"/>
        </w:rPr>
        <w:t>aboratory-</w:t>
      </w:r>
      <w:r>
        <w:rPr>
          <w:rFonts w:cs="AdvMINION-R"/>
          <w:sz w:val="24"/>
          <w:szCs w:val="24"/>
        </w:rPr>
        <w:t>C</w:t>
      </w:r>
      <w:r w:rsidRPr="008C740F">
        <w:rPr>
          <w:rFonts w:cs="AdvMINION-R"/>
          <w:sz w:val="24"/>
          <w:szCs w:val="24"/>
        </w:rPr>
        <w:t xml:space="preserve">onfirmed </w:t>
      </w:r>
      <w:r>
        <w:rPr>
          <w:rFonts w:cs="AdvMINION-R"/>
          <w:sz w:val="24"/>
          <w:szCs w:val="24"/>
        </w:rPr>
        <w:t>I</w:t>
      </w:r>
      <w:r w:rsidRPr="008C740F">
        <w:rPr>
          <w:rFonts w:cs="AdvMINION-R"/>
          <w:sz w:val="24"/>
          <w:szCs w:val="24"/>
        </w:rPr>
        <w:t xml:space="preserve">nfluenza </w:t>
      </w:r>
      <w:r>
        <w:rPr>
          <w:rFonts w:cs="AdvMINION-R"/>
          <w:sz w:val="24"/>
          <w:szCs w:val="24"/>
        </w:rPr>
        <w:t>H</w:t>
      </w:r>
      <w:r w:rsidRPr="008C740F">
        <w:rPr>
          <w:rFonts w:cs="AdvMINION-R"/>
          <w:sz w:val="24"/>
          <w:szCs w:val="24"/>
        </w:rPr>
        <w:t xml:space="preserve">ospitalization </w:t>
      </w:r>
      <w:r>
        <w:rPr>
          <w:rFonts w:cs="AdvMINION-R"/>
          <w:sz w:val="24"/>
          <w:szCs w:val="24"/>
        </w:rPr>
        <w:t>per 100,000 Population and Corresponding Intensity Thresholds, Children Aged &lt;18 Years, by Surveillance Week and Season, the US Influenza Hospitalization Network (</w:t>
      </w:r>
      <w:r w:rsidRPr="008C740F">
        <w:rPr>
          <w:rFonts w:cs="AdvMINION-R"/>
          <w:sz w:val="24"/>
          <w:szCs w:val="24"/>
        </w:rPr>
        <w:t>FluSurv</w:t>
      </w:r>
      <w:r>
        <w:rPr>
          <w:rFonts w:cs="AdvMINION-R"/>
          <w:sz w:val="24"/>
          <w:szCs w:val="24"/>
        </w:rPr>
        <w:t>-NET),</w:t>
      </w:r>
      <w:r w:rsidRPr="008C740F">
        <w:rPr>
          <w:rFonts w:cs="AdvMINION-R"/>
          <w:sz w:val="24"/>
          <w:szCs w:val="24"/>
        </w:rPr>
        <w:t xml:space="preserve"> United States, </w:t>
      </w:r>
      <w:r>
        <w:rPr>
          <w:rFonts w:cs="AdvMINION-R"/>
          <w:sz w:val="24"/>
          <w:szCs w:val="24"/>
        </w:rPr>
        <w:t xml:space="preserve">2005–06 </w:t>
      </w:r>
      <w:proofErr w:type="gramStart"/>
      <w:r>
        <w:rPr>
          <w:rFonts w:cs="AdvMINION-R"/>
          <w:sz w:val="24"/>
          <w:szCs w:val="24"/>
        </w:rPr>
        <w:t>Through</w:t>
      </w:r>
      <w:proofErr w:type="gramEnd"/>
      <w:r>
        <w:rPr>
          <w:rFonts w:cs="AdvMINION-R"/>
          <w:sz w:val="24"/>
          <w:szCs w:val="24"/>
        </w:rPr>
        <w:t xml:space="preserve">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 xml:space="preserve">s            </w:t>
      </w:r>
    </w:p>
    <w:p w:rsidR="007A4E05" w:rsidRDefault="007A4E05" w:rsidP="007A4E05">
      <w:pPr>
        <w:spacing w:after="0" w:line="240" w:lineRule="auto"/>
        <w:rPr>
          <w:rFonts w:cs="AdvMINION-R"/>
          <w:sz w:val="24"/>
          <w:szCs w:val="24"/>
        </w:rPr>
      </w:pPr>
      <w:r>
        <w:rPr>
          <w:rFonts w:cs="AdvMINION-R"/>
          <w:sz w:val="24"/>
          <w:szCs w:val="24"/>
        </w:rPr>
        <w:t xml:space="preserve">C) Percentage of All Deaths Due to Pneumonia and Influenza and Corresponding Intensity Threshold, Children Aged &lt;25 Years, by Surveillance Week and Season, 122 Cities Mortality Reporting System, United States, 2003–04 </w:t>
      </w:r>
      <w:proofErr w:type="gramStart"/>
      <w:r>
        <w:rPr>
          <w:rFonts w:cs="AdvMINION-R"/>
          <w:sz w:val="24"/>
          <w:szCs w:val="24"/>
        </w:rPr>
        <w:t>Through</w:t>
      </w:r>
      <w:proofErr w:type="gramEnd"/>
      <w:r>
        <w:rPr>
          <w:rFonts w:cs="AdvMINION-R"/>
          <w:sz w:val="24"/>
          <w:szCs w:val="24"/>
        </w:rPr>
        <w:t xml:space="preserve">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s</w:t>
      </w:r>
    </w:p>
    <w:p w:rsidR="007A4E05" w:rsidRDefault="007A4E05" w:rsidP="007A4E05">
      <w:pPr>
        <w:spacing w:after="0" w:line="240" w:lineRule="auto"/>
        <w:rPr>
          <w:rFonts w:cs="AdvMINION-R"/>
          <w:sz w:val="24"/>
          <w:szCs w:val="24"/>
        </w:rPr>
      </w:pPr>
      <w:r>
        <w:rPr>
          <w:rFonts w:cs="AdvMINION-R"/>
          <w:sz w:val="24"/>
          <w:szCs w:val="24"/>
        </w:rPr>
        <w:t>D)</w:t>
      </w:r>
      <w:r w:rsidRPr="00C64596">
        <w:rPr>
          <w:rFonts w:cs="AdvMINION-R"/>
          <w:sz w:val="24"/>
          <w:szCs w:val="24"/>
        </w:rPr>
        <w:t xml:space="preserve"> </w:t>
      </w:r>
      <w:r>
        <w:rPr>
          <w:rFonts w:cs="AdvMINION-R"/>
          <w:sz w:val="24"/>
          <w:szCs w:val="24"/>
        </w:rPr>
        <w:t xml:space="preserve">Percentage of All Deaths Due to Pneumonia and Influenza and Corresponding Intensity Threshold, Children Aged &lt;18 Years, by Surveillance Week and Season, National Center for Health Statistics Mortality Surveillance System, United States, 2003–04 Through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s</w:t>
      </w:r>
    </w:p>
    <w:p w:rsidR="007A4E05" w:rsidRDefault="007A4E05" w:rsidP="007A4E05">
      <w:pPr>
        <w:spacing w:after="0" w:line="240" w:lineRule="auto"/>
        <w:rPr>
          <w:rFonts w:cs="AdvMINION-R"/>
          <w:sz w:val="24"/>
          <w:szCs w:val="24"/>
        </w:rPr>
      </w:pPr>
    </w:p>
    <w:p w:rsidR="007A4E05" w:rsidRDefault="00021677" w:rsidP="007A4E05">
      <w:pPr>
        <w:spacing w:after="0" w:line="240" w:lineRule="auto"/>
        <w:rPr>
          <w:rFonts w:cs="AdvMINION-R"/>
          <w:sz w:val="24"/>
          <w:szCs w:val="24"/>
        </w:rPr>
      </w:pPr>
      <w:r>
        <w:rPr>
          <w:rFonts w:cs="AdvMINION-R"/>
          <w:noProof/>
          <w:sz w:val="24"/>
          <w:szCs w:val="24"/>
        </w:rPr>
        <w:drawing>
          <wp:inline distT="0" distB="0" distL="0" distR="0">
            <wp:extent cx="6400800" cy="4800600"/>
            <wp:effectExtent l="0" t="0" r="0" b="0"/>
            <wp:docPr id="2" name="Picture 2" descr="\\cdc.gov\private\L116\zmo2\pandemic severity\seasonal\manuscript\Supplemental_Figures_submit\Supplemental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gov\private\L116\zmo2\pandemic severity\seasonal\manuscript\Supplemental_Figures_submit\Supplemental 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rsidR="007A4E05" w:rsidRDefault="007A4E05" w:rsidP="007A4E05">
      <w:pPr>
        <w:rPr>
          <w:noProof/>
        </w:rPr>
      </w:pPr>
      <w:r>
        <w:rPr>
          <w:noProof/>
        </w:rPr>
        <w:br w:type="page"/>
      </w:r>
    </w:p>
    <w:p w:rsidR="007A4E05" w:rsidRDefault="00BA75BE" w:rsidP="007A4E05">
      <w:pPr>
        <w:spacing w:after="0" w:line="240" w:lineRule="auto"/>
        <w:rPr>
          <w:rFonts w:cs="AdvMINION-R"/>
          <w:sz w:val="24"/>
          <w:szCs w:val="24"/>
        </w:rPr>
      </w:pPr>
      <w:r>
        <w:rPr>
          <w:rFonts w:cs="AdvMINION-R"/>
          <w:sz w:val="24"/>
          <w:szCs w:val="24"/>
        </w:rPr>
        <w:lastRenderedPageBreak/>
        <w:t>Web</w:t>
      </w:r>
      <w:r w:rsidR="007A4E05">
        <w:rPr>
          <w:rFonts w:cs="AdvMINION-R"/>
          <w:sz w:val="24"/>
          <w:szCs w:val="24"/>
        </w:rPr>
        <w:t xml:space="preserve"> Figure 2.</w:t>
      </w:r>
    </w:p>
    <w:p w:rsidR="007A4E05" w:rsidRDefault="007A4E05" w:rsidP="007A4E05">
      <w:pPr>
        <w:spacing w:after="0" w:line="240" w:lineRule="auto"/>
        <w:rPr>
          <w:rFonts w:cs="AdvMINION-R"/>
          <w:sz w:val="24"/>
          <w:szCs w:val="24"/>
        </w:rPr>
      </w:pPr>
      <w:r>
        <w:rPr>
          <w:rFonts w:cs="AdvMINION-R"/>
          <w:sz w:val="24"/>
          <w:szCs w:val="24"/>
        </w:rPr>
        <w:t xml:space="preserve">A) </w:t>
      </w:r>
      <w:r w:rsidRPr="008C740F">
        <w:rPr>
          <w:rFonts w:cs="AdvMINION-R"/>
          <w:sz w:val="24"/>
          <w:szCs w:val="24"/>
        </w:rPr>
        <w:t xml:space="preserve">Percentage of </w:t>
      </w:r>
      <w:r>
        <w:rPr>
          <w:rFonts w:cs="AdvMINION-R"/>
          <w:sz w:val="24"/>
          <w:szCs w:val="24"/>
        </w:rPr>
        <w:t>V</w:t>
      </w:r>
      <w:r w:rsidRPr="008C740F">
        <w:rPr>
          <w:rFonts w:cs="AdvMINION-R"/>
          <w:sz w:val="24"/>
          <w:szCs w:val="24"/>
        </w:rPr>
        <w:t xml:space="preserve">isits for </w:t>
      </w:r>
      <w:r>
        <w:rPr>
          <w:rFonts w:cs="AdvMINION-R"/>
          <w:sz w:val="24"/>
          <w:szCs w:val="24"/>
        </w:rPr>
        <w:t>I</w:t>
      </w:r>
      <w:r w:rsidRPr="008C740F">
        <w:rPr>
          <w:rFonts w:cs="AdvMINION-R"/>
          <w:sz w:val="24"/>
          <w:szCs w:val="24"/>
        </w:rPr>
        <w:t>nfluenza-</w:t>
      </w:r>
      <w:r>
        <w:rPr>
          <w:rFonts w:cs="AdvMINION-R"/>
          <w:sz w:val="24"/>
          <w:szCs w:val="24"/>
        </w:rPr>
        <w:t>L</w:t>
      </w:r>
      <w:r w:rsidRPr="008C740F">
        <w:rPr>
          <w:rFonts w:cs="AdvMINION-R"/>
          <w:sz w:val="24"/>
          <w:szCs w:val="24"/>
        </w:rPr>
        <w:t xml:space="preserve">ike </w:t>
      </w:r>
      <w:r>
        <w:rPr>
          <w:rFonts w:cs="AdvMINION-R"/>
          <w:sz w:val="24"/>
          <w:szCs w:val="24"/>
        </w:rPr>
        <w:t>I</w:t>
      </w:r>
      <w:r w:rsidRPr="008C740F">
        <w:rPr>
          <w:rFonts w:cs="AdvMINION-R"/>
          <w:sz w:val="24"/>
          <w:szCs w:val="24"/>
        </w:rPr>
        <w:t xml:space="preserve">llness (ILI) </w:t>
      </w:r>
      <w:r>
        <w:rPr>
          <w:rFonts w:cs="AdvMINION-R"/>
          <w:sz w:val="24"/>
          <w:szCs w:val="24"/>
        </w:rPr>
        <w:t xml:space="preserve">and Corresponding Intensity Thresholds, Adults Aged 25–64 Years, by Surveillance Week and Season, </w:t>
      </w:r>
      <w:r w:rsidRPr="008C740F">
        <w:rPr>
          <w:rFonts w:cs="AdvMINION-R"/>
          <w:sz w:val="24"/>
          <w:szCs w:val="24"/>
        </w:rPr>
        <w:t>U.S. Outpatient Influenza-Like Illness Surveillance Network</w:t>
      </w:r>
      <w:r>
        <w:rPr>
          <w:rFonts w:cs="AdvMINION-R"/>
          <w:sz w:val="24"/>
          <w:szCs w:val="24"/>
        </w:rPr>
        <w:t xml:space="preserve"> (ILINet)</w:t>
      </w:r>
      <w:r w:rsidRPr="008C740F">
        <w:rPr>
          <w:rFonts w:cs="AdvMINION-R"/>
          <w:sz w:val="24"/>
          <w:szCs w:val="24"/>
        </w:rPr>
        <w:t xml:space="preserve">, United States, </w:t>
      </w:r>
      <w:r>
        <w:rPr>
          <w:rFonts w:cs="AdvMINION-R"/>
          <w:sz w:val="24"/>
          <w:szCs w:val="24"/>
        </w:rPr>
        <w:t xml:space="preserve">2003–04 Through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 xml:space="preserve">s </w:t>
      </w:r>
    </w:p>
    <w:p w:rsidR="007A4E05" w:rsidRDefault="007A4E05" w:rsidP="007A4E05">
      <w:pPr>
        <w:spacing w:after="0" w:line="240" w:lineRule="auto"/>
        <w:rPr>
          <w:rFonts w:cs="AdvMINION-R"/>
          <w:sz w:val="24"/>
          <w:szCs w:val="24"/>
        </w:rPr>
      </w:pPr>
      <w:r>
        <w:rPr>
          <w:rFonts w:cs="AdvMINION-R"/>
          <w:sz w:val="24"/>
          <w:szCs w:val="24"/>
        </w:rPr>
        <w:t>B)</w:t>
      </w:r>
      <w:r w:rsidRPr="008C740F">
        <w:t xml:space="preserve"> </w:t>
      </w:r>
      <w:r>
        <w:t>R</w:t>
      </w:r>
      <w:r w:rsidRPr="008C740F">
        <w:rPr>
          <w:rFonts w:cs="AdvMINION-R"/>
          <w:sz w:val="24"/>
          <w:szCs w:val="24"/>
        </w:rPr>
        <w:t>ate</w:t>
      </w:r>
      <w:r>
        <w:rPr>
          <w:rFonts w:cs="AdvMINION-R"/>
          <w:sz w:val="24"/>
          <w:szCs w:val="24"/>
        </w:rPr>
        <w:t xml:space="preserve"> </w:t>
      </w:r>
      <w:r w:rsidRPr="008C740F">
        <w:rPr>
          <w:rFonts w:cs="AdvMINION-R"/>
          <w:sz w:val="24"/>
          <w:szCs w:val="24"/>
        </w:rPr>
        <w:t xml:space="preserve">of </w:t>
      </w:r>
      <w:r>
        <w:rPr>
          <w:rFonts w:cs="AdvMINION-R"/>
          <w:sz w:val="24"/>
          <w:szCs w:val="24"/>
        </w:rPr>
        <w:t>L</w:t>
      </w:r>
      <w:r w:rsidRPr="008C740F">
        <w:rPr>
          <w:rFonts w:cs="AdvMINION-R"/>
          <w:sz w:val="24"/>
          <w:szCs w:val="24"/>
        </w:rPr>
        <w:t>aboratory-</w:t>
      </w:r>
      <w:r>
        <w:rPr>
          <w:rFonts w:cs="AdvMINION-R"/>
          <w:sz w:val="24"/>
          <w:szCs w:val="24"/>
        </w:rPr>
        <w:t>C</w:t>
      </w:r>
      <w:r w:rsidRPr="008C740F">
        <w:rPr>
          <w:rFonts w:cs="AdvMINION-R"/>
          <w:sz w:val="24"/>
          <w:szCs w:val="24"/>
        </w:rPr>
        <w:t xml:space="preserve">onfirmed </w:t>
      </w:r>
      <w:r>
        <w:rPr>
          <w:rFonts w:cs="AdvMINION-R"/>
          <w:sz w:val="24"/>
          <w:szCs w:val="24"/>
        </w:rPr>
        <w:t>I</w:t>
      </w:r>
      <w:r w:rsidRPr="008C740F">
        <w:rPr>
          <w:rFonts w:cs="AdvMINION-R"/>
          <w:sz w:val="24"/>
          <w:szCs w:val="24"/>
        </w:rPr>
        <w:t xml:space="preserve">nfluenza </w:t>
      </w:r>
      <w:r>
        <w:rPr>
          <w:rFonts w:cs="AdvMINION-R"/>
          <w:sz w:val="24"/>
          <w:szCs w:val="24"/>
        </w:rPr>
        <w:t>H</w:t>
      </w:r>
      <w:r w:rsidRPr="008C740F">
        <w:rPr>
          <w:rFonts w:cs="AdvMINION-R"/>
          <w:sz w:val="24"/>
          <w:szCs w:val="24"/>
        </w:rPr>
        <w:t xml:space="preserve">ospitalization </w:t>
      </w:r>
      <w:r>
        <w:rPr>
          <w:rFonts w:cs="AdvMINION-R"/>
          <w:sz w:val="24"/>
          <w:szCs w:val="24"/>
        </w:rPr>
        <w:t>per 100,000 Population and Corresponding Intensity Thresholds, Adults Aged 18–64 Years, by Surveillance Week and Season, the US Influenza Hospitalization Network (</w:t>
      </w:r>
      <w:r w:rsidRPr="008C740F">
        <w:rPr>
          <w:rFonts w:cs="AdvMINION-R"/>
          <w:sz w:val="24"/>
          <w:szCs w:val="24"/>
        </w:rPr>
        <w:t>FluSurv</w:t>
      </w:r>
      <w:r>
        <w:rPr>
          <w:rFonts w:cs="AdvMINION-R"/>
          <w:sz w:val="24"/>
          <w:szCs w:val="24"/>
        </w:rPr>
        <w:t>-NET),</w:t>
      </w:r>
      <w:r w:rsidRPr="008C740F">
        <w:rPr>
          <w:rFonts w:cs="AdvMINION-R"/>
          <w:sz w:val="24"/>
          <w:szCs w:val="24"/>
        </w:rPr>
        <w:t xml:space="preserve"> United States, </w:t>
      </w:r>
      <w:r>
        <w:rPr>
          <w:rFonts w:cs="AdvMINION-R"/>
          <w:sz w:val="24"/>
          <w:szCs w:val="24"/>
        </w:rPr>
        <w:t xml:space="preserve">2005–06 </w:t>
      </w:r>
      <w:proofErr w:type="gramStart"/>
      <w:r>
        <w:rPr>
          <w:rFonts w:cs="AdvMINION-R"/>
          <w:sz w:val="24"/>
          <w:szCs w:val="24"/>
        </w:rPr>
        <w:t>Through</w:t>
      </w:r>
      <w:proofErr w:type="gramEnd"/>
      <w:r>
        <w:rPr>
          <w:rFonts w:cs="AdvMINION-R"/>
          <w:sz w:val="24"/>
          <w:szCs w:val="24"/>
        </w:rPr>
        <w:t xml:space="preserve">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 xml:space="preserve">s            </w:t>
      </w:r>
    </w:p>
    <w:p w:rsidR="007A4E05" w:rsidRDefault="007A4E05" w:rsidP="007A4E05">
      <w:pPr>
        <w:spacing w:after="0" w:line="240" w:lineRule="auto"/>
        <w:rPr>
          <w:rFonts w:cs="AdvMINION-R"/>
          <w:sz w:val="24"/>
          <w:szCs w:val="24"/>
        </w:rPr>
      </w:pPr>
      <w:r>
        <w:rPr>
          <w:rFonts w:cs="AdvMINION-R"/>
          <w:sz w:val="24"/>
          <w:szCs w:val="24"/>
        </w:rPr>
        <w:t xml:space="preserve">C) Percentage of All Deaths Due to Pneumonia and Influenza and Corresponding Intensity Threshold, Adults Aged 25–64 Years, by Surveillance Week and Season, 122 Cities Mortality Reporting System, United States,  2003–04 Through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s</w:t>
      </w:r>
    </w:p>
    <w:p w:rsidR="007A4E05" w:rsidRDefault="007A4E05" w:rsidP="007A4E05">
      <w:pPr>
        <w:spacing w:after="0" w:line="240" w:lineRule="auto"/>
        <w:rPr>
          <w:rFonts w:cs="AdvMINION-R"/>
          <w:sz w:val="24"/>
          <w:szCs w:val="24"/>
        </w:rPr>
      </w:pPr>
      <w:r>
        <w:rPr>
          <w:rFonts w:cs="AdvMINION-R"/>
          <w:sz w:val="24"/>
          <w:szCs w:val="24"/>
        </w:rPr>
        <w:t>D)</w:t>
      </w:r>
      <w:r w:rsidRPr="00C64596">
        <w:rPr>
          <w:rFonts w:cs="AdvMINION-R"/>
          <w:sz w:val="24"/>
          <w:szCs w:val="24"/>
        </w:rPr>
        <w:t xml:space="preserve"> </w:t>
      </w:r>
      <w:r>
        <w:rPr>
          <w:rFonts w:cs="AdvMINION-R"/>
          <w:sz w:val="24"/>
          <w:szCs w:val="24"/>
        </w:rPr>
        <w:t>Percentage of All Deaths Due to Pneumonia and Influenza and Corresponding Intensity Threshold,</w:t>
      </w:r>
      <w:r w:rsidRPr="00424630">
        <w:rPr>
          <w:rFonts w:cs="AdvMINION-R"/>
          <w:sz w:val="24"/>
          <w:szCs w:val="24"/>
        </w:rPr>
        <w:t xml:space="preserve"> </w:t>
      </w:r>
      <w:r>
        <w:rPr>
          <w:rFonts w:cs="AdvMINION-R"/>
          <w:sz w:val="24"/>
          <w:szCs w:val="24"/>
        </w:rPr>
        <w:t xml:space="preserve">Adults Aged 18–64 Years, by Surveillance Week and Season, National Center for Health Statistics Mortality Surveillance System, United States, 2003–04 Through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s</w:t>
      </w:r>
    </w:p>
    <w:p w:rsidR="007A4E05" w:rsidRDefault="007A4E05" w:rsidP="007A4E05">
      <w:pPr>
        <w:spacing w:after="0" w:line="240" w:lineRule="auto"/>
        <w:rPr>
          <w:rFonts w:cs="AdvMINION-R"/>
          <w:sz w:val="24"/>
          <w:szCs w:val="24"/>
        </w:rPr>
      </w:pPr>
    </w:p>
    <w:p w:rsidR="007A4E05" w:rsidRDefault="007A4E05" w:rsidP="007A4E05">
      <w:pPr>
        <w:spacing w:after="0" w:line="240" w:lineRule="auto"/>
        <w:rPr>
          <w:rFonts w:cs="AdvMINION-R"/>
          <w:sz w:val="24"/>
          <w:szCs w:val="24"/>
        </w:rPr>
      </w:pPr>
    </w:p>
    <w:p w:rsidR="007A4E05" w:rsidRDefault="00021677" w:rsidP="007A4E05">
      <w:pPr>
        <w:spacing w:after="0" w:line="240" w:lineRule="auto"/>
        <w:rPr>
          <w:noProof/>
        </w:rPr>
      </w:pPr>
      <w:r>
        <w:rPr>
          <w:noProof/>
        </w:rPr>
        <w:drawing>
          <wp:inline distT="0" distB="0" distL="0" distR="0">
            <wp:extent cx="6400800" cy="4800600"/>
            <wp:effectExtent l="0" t="0" r="0" b="0"/>
            <wp:docPr id="3" name="Picture 3" descr="\\cdc.gov\private\L116\zmo2\pandemic severity\seasonal\manuscript\Supplemental_Figures_submit\Supplemental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gov\private\L116\zmo2\pandemic severity\seasonal\manuscript\Supplemental_Figures_submit\Supplemental Figur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rsidR="007A4E05" w:rsidRDefault="007A4E05" w:rsidP="007A4E05">
      <w:pPr>
        <w:spacing w:after="0" w:line="240" w:lineRule="auto"/>
        <w:rPr>
          <w:noProof/>
        </w:rPr>
      </w:pPr>
    </w:p>
    <w:p w:rsidR="007A4E05" w:rsidRDefault="007A4E05" w:rsidP="007A4E05">
      <w:pPr>
        <w:rPr>
          <w:noProof/>
        </w:rPr>
      </w:pPr>
      <w:r>
        <w:rPr>
          <w:noProof/>
        </w:rPr>
        <w:br w:type="page"/>
      </w:r>
    </w:p>
    <w:p w:rsidR="007A4E05" w:rsidRDefault="00BA75BE" w:rsidP="007A4E05">
      <w:pPr>
        <w:spacing w:after="0" w:line="240" w:lineRule="auto"/>
        <w:rPr>
          <w:rFonts w:cs="AdvMINION-R"/>
          <w:sz w:val="24"/>
          <w:szCs w:val="24"/>
        </w:rPr>
      </w:pPr>
      <w:r>
        <w:rPr>
          <w:rFonts w:cs="AdvMINION-R"/>
          <w:sz w:val="24"/>
          <w:szCs w:val="24"/>
        </w:rPr>
        <w:lastRenderedPageBreak/>
        <w:t>Web</w:t>
      </w:r>
      <w:r w:rsidR="007A4E05">
        <w:rPr>
          <w:rFonts w:cs="AdvMINION-R"/>
          <w:sz w:val="24"/>
          <w:szCs w:val="24"/>
        </w:rPr>
        <w:t xml:space="preserve"> Figure 3.</w:t>
      </w:r>
    </w:p>
    <w:p w:rsidR="007A4E05" w:rsidRDefault="007A4E05" w:rsidP="007A4E05">
      <w:pPr>
        <w:spacing w:after="0" w:line="240" w:lineRule="auto"/>
        <w:rPr>
          <w:rFonts w:cs="AdvMINION-R"/>
          <w:sz w:val="24"/>
          <w:szCs w:val="24"/>
        </w:rPr>
      </w:pPr>
      <w:r>
        <w:rPr>
          <w:rFonts w:cs="AdvMINION-R"/>
          <w:sz w:val="24"/>
          <w:szCs w:val="24"/>
        </w:rPr>
        <w:t xml:space="preserve">A) </w:t>
      </w:r>
      <w:r w:rsidRPr="008C740F">
        <w:rPr>
          <w:rFonts w:cs="AdvMINION-R"/>
          <w:sz w:val="24"/>
          <w:szCs w:val="24"/>
        </w:rPr>
        <w:t xml:space="preserve">Percentage of </w:t>
      </w:r>
      <w:r>
        <w:rPr>
          <w:rFonts w:cs="AdvMINION-R"/>
          <w:sz w:val="24"/>
          <w:szCs w:val="24"/>
        </w:rPr>
        <w:t>V</w:t>
      </w:r>
      <w:r w:rsidRPr="008C740F">
        <w:rPr>
          <w:rFonts w:cs="AdvMINION-R"/>
          <w:sz w:val="24"/>
          <w:szCs w:val="24"/>
        </w:rPr>
        <w:t xml:space="preserve">isits for </w:t>
      </w:r>
      <w:r>
        <w:rPr>
          <w:rFonts w:cs="AdvMINION-R"/>
          <w:sz w:val="24"/>
          <w:szCs w:val="24"/>
        </w:rPr>
        <w:t>I</w:t>
      </w:r>
      <w:r w:rsidRPr="008C740F">
        <w:rPr>
          <w:rFonts w:cs="AdvMINION-R"/>
          <w:sz w:val="24"/>
          <w:szCs w:val="24"/>
        </w:rPr>
        <w:t>nfluenza-</w:t>
      </w:r>
      <w:r>
        <w:rPr>
          <w:rFonts w:cs="AdvMINION-R"/>
          <w:sz w:val="24"/>
          <w:szCs w:val="24"/>
        </w:rPr>
        <w:t>L</w:t>
      </w:r>
      <w:r w:rsidRPr="008C740F">
        <w:rPr>
          <w:rFonts w:cs="AdvMINION-R"/>
          <w:sz w:val="24"/>
          <w:szCs w:val="24"/>
        </w:rPr>
        <w:t xml:space="preserve">ike </w:t>
      </w:r>
      <w:r>
        <w:rPr>
          <w:rFonts w:cs="AdvMINION-R"/>
          <w:sz w:val="24"/>
          <w:szCs w:val="24"/>
        </w:rPr>
        <w:t>I</w:t>
      </w:r>
      <w:r w:rsidRPr="008C740F">
        <w:rPr>
          <w:rFonts w:cs="AdvMINION-R"/>
          <w:sz w:val="24"/>
          <w:szCs w:val="24"/>
        </w:rPr>
        <w:t xml:space="preserve">llness (ILI) </w:t>
      </w:r>
      <w:r>
        <w:rPr>
          <w:rFonts w:cs="AdvMINION-R"/>
          <w:sz w:val="24"/>
          <w:szCs w:val="24"/>
        </w:rPr>
        <w:t xml:space="preserve">and Corresponding Intensity Thresholds, Adults Aged &gt;64 Years, by Surveillance Week and Season, </w:t>
      </w:r>
      <w:r w:rsidRPr="008C740F">
        <w:rPr>
          <w:rFonts w:cs="AdvMINION-R"/>
          <w:sz w:val="24"/>
          <w:szCs w:val="24"/>
        </w:rPr>
        <w:t>U.S. Outpatient Influenza-Like Illness Surveillance Network</w:t>
      </w:r>
      <w:r>
        <w:rPr>
          <w:rFonts w:cs="AdvMINION-R"/>
          <w:sz w:val="24"/>
          <w:szCs w:val="24"/>
        </w:rPr>
        <w:t xml:space="preserve"> (ILINet)</w:t>
      </w:r>
      <w:r w:rsidRPr="008C740F">
        <w:rPr>
          <w:rFonts w:cs="AdvMINION-R"/>
          <w:sz w:val="24"/>
          <w:szCs w:val="24"/>
        </w:rPr>
        <w:t xml:space="preserve">, United States, </w:t>
      </w:r>
      <w:r>
        <w:rPr>
          <w:rFonts w:cs="AdvMINION-R"/>
          <w:sz w:val="24"/>
          <w:szCs w:val="24"/>
        </w:rPr>
        <w:t xml:space="preserve">2003–04 Through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 xml:space="preserve">s </w:t>
      </w:r>
    </w:p>
    <w:p w:rsidR="007A4E05" w:rsidRDefault="007A4E05" w:rsidP="007A4E05">
      <w:pPr>
        <w:spacing w:after="0" w:line="240" w:lineRule="auto"/>
        <w:rPr>
          <w:rFonts w:cs="AdvMINION-R"/>
          <w:sz w:val="24"/>
          <w:szCs w:val="24"/>
        </w:rPr>
      </w:pPr>
      <w:r>
        <w:rPr>
          <w:rFonts w:cs="AdvMINION-R"/>
          <w:sz w:val="24"/>
          <w:szCs w:val="24"/>
        </w:rPr>
        <w:t>B)</w:t>
      </w:r>
      <w:r w:rsidRPr="008C740F">
        <w:t xml:space="preserve"> </w:t>
      </w:r>
      <w:r>
        <w:t>R</w:t>
      </w:r>
      <w:r w:rsidRPr="008C740F">
        <w:rPr>
          <w:rFonts w:cs="AdvMINION-R"/>
          <w:sz w:val="24"/>
          <w:szCs w:val="24"/>
        </w:rPr>
        <w:t>ate</w:t>
      </w:r>
      <w:r>
        <w:rPr>
          <w:rFonts w:cs="AdvMINION-R"/>
          <w:sz w:val="24"/>
          <w:szCs w:val="24"/>
        </w:rPr>
        <w:t xml:space="preserve"> </w:t>
      </w:r>
      <w:r w:rsidRPr="008C740F">
        <w:rPr>
          <w:rFonts w:cs="AdvMINION-R"/>
          <w:sz w:val="24"/>
          <w:szCs w:val="24"/>
        </w:rPr>
        <w:t xml:space="preserve">of </w:t>
      </w:r>
      <w:r>
        <w:rPr>
          <w:rFonts w:cs="AdvMINION-R"/>
          <w:sz w:val="24"/>
          <w:szCs w:val="24"/>
        </w:rPr>
        <w:t>L</w:t>
      </w:r>
      <w:r w:rsidRPr="008C740F">
        <w:rPr>
          <w:rFonts w:cs="AdvMINION-R"/>
          <w:sz w:val="24"/>
          <w:szCs w:val="24"/>
        </w:rPr>
        <w:t>aboratory-</w:t>
      </w:r>
      <w:r>
        <w:rPr>
          <w:rFonts w:cs="AdvMINION-R"/>
          <w:sz w:val="24"/>
          <w:szCs w:val="24"/>
        </w:rPr>
        <w:t>C</w:t>
      </w:r>
      <w:r w:rsidRPr="008C740F">
        <w:rPr>
          <w:rFonts w:cs="AdvMINION-R"/>
          <w:sz w:val="24"/>
          <w:szCs w:val="24"/>
        </w:rPr>
        <w:t xml:space="preserve">onfirmed </w:t>
      </w:r>
      <w:r>
        <w:rPr>
          <w:rFonts w:cs="AdvMINION-R"/>
          <w:sz w:val="24"/>
          <w:szCs w:val="24"/>
        </w:rPr>
        <w:t>I</w:t>
      </w:r>
      <w:r w:rsidRPr="008C740F">
        <w:rPr>
          <w:rFonts w:cs="AdvMINION-R"/>
          <w:sz w:val="24"/>
          <w:szCs w:val="24"/>
        </w:rPr>
        <w:t xml:space="preserve">nfluenza </w:t>
      </w:r>
      <w:r>
        <w:rPr>
          <w:rFonts w:cs="AdvMINION-R"/>
          <w:sz w:val="24"/>
          <w:szCs w:val="24"/>
        </w:rPr>
        <w:t>H</w:t>
      </w:r>
      <w:r w:rsidRPr="008C740F">
        <w:rPr>
          <w:rFonts w:cs="AdvMINION-R"/>
          <w:sz w:val="24"/>
          <w:szCs w:val="24"/>
        </w:rPr>
        <w:t xml:space="preserve">ospitalization </w:t>
      </w:r>
      <w:r>
        <w:rPr>
          <w:rFonts w:cs="AdvMINION-R"/>
          <w:sz w:val="24"/>
          <w:szCs w:val="24"/>
        </w:rPr>
        <w:t>per 100,000 Population and Corresponding Intensity Thresholds, Adults Aged &gt;64 Years, by Surveillance Week and Season, the US Influenza Hospitalization Network (</w:t>
      </w:r>
      <w:r w:rsidRPr="008C740F">
        <w:rPr>
          <w:rFonts w:cs="AdvMINION-R"/>
          <w:sz w:val="24"/>
          <w:szCs w:val="24"/>
        </w:rPr>
        <w:t>FluSurv</w:t>
      </w:r>
      <w:r>
        <w:rPr>
          <w:rFonts w:cs="AdvMINION-R"/>
          <w:sz w:val="24"/>
          <w:szCs w:val="24"/>
        </w:rPr>
        <w:t>-NET),</w:t>
      </w:r>
      <w:r w:rsidRPr="008C740F">
        <w:rPr>
          <w:rFonts w:cs="AdvMINION-R"/>
          <w:sz w:val="24"/>
          <w:szCs w:val="24"/>
        </w:rPr>
        <w:t xml:space="preserve"> United States, </w:t>
      </w:r>
      <w:r>
        <w:rPr>
          <w:rFonts w:cs="AdvMINION-R"/>
          <w:sz w:val="24"/>
          <w:szCs w:val="24"/>
        </w:rPr>
        <w:t xml:space="preserve">2005–06 </w:t>
      </w:r>
      <w:proofErr w:type="gramStart"/>
      <w:r>
        <w:rPr>
          <w:rFonts w:cs="AdvMINION-R"/>
          <w:sz w:val="24"/>
          <w:szCs w:val="24"/>
        </w:rPr>
        <w:t>Through</w:t>
      </w:r>
      <w:proofErr w:type="gramEnd"/>
      <w:r>
        <w:rPr>
          <w:rFonts w:cs="AdvMINION-R"/>
          <w:sz w:val="24"/>
          <w:szCs w:val="24"/>
        </w:rPr>
        <w:t xml:space="preserve">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 xml:space="preserve">s            </w:t>
      </w:r>
    </w:p>
    <w:p w:rsidR="007A4E05" w:rsidRDefault="007A4E05" w:rsidP="007A4E05">
      <w:pPr>
        <w:spacing w:after="0" w:line="240" w:lineRule="auto"/>
        <w:rPr>
          <w:rFonts w:cs="AdvMINION-R"/>
          <w:sz w:val="24"/>
          <w:szCs w:val="24"/>
        </w:rPr>
      </w:pPr>
      <w:r>
        <w:rPr>
          <w:rFonts w:cs="AdvMINION-R"/>
          <w:sz w:val="24"/>
          <w:szCs w:val="24"/>
        </w:rPr>
        <w:t>C) Percentage of All Deaths Due to Pneumonia and Influenza and Corresponding Intensity Threshold, Adults Aged &gt;64 Years, by Surveillance Week and Season, 122 Cities Mortality Reporting System, United States</w:t>
      </w:r>
      <w:proofErr w:type="gramStart"/>
      <w:r>
        <w:rPr>
          <w:rFonts w:cs="AdvMINION-R"/>
          <w:sz w:val="24"/>
          <w:szCs w:val="24"/>
        </w:rPr>
        <w:t>,  2003</w:t>
      </w:r>
      <w:proofErr w:type="gramEnd"/>
      <w:r>
        <w:rPr>
          <w:rFonts w:cs="AdvMINION-R"/>
          <w:sz w:val="24"/>
          <w:szCs w:val="24"/>
        </w:rPr>
        <w:t xml:space="preserve">–04 Through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s</w:t>
      </w:r>
    </w:p>
    <w:p w:rsidR="007A4E05" w:rsidRDefault="007A4E05" w:rsidP="007A4E05">
      <w:pPr>
        <w:spacing w:after="0" w:line="240" w:lineRule="auto"/>
        <w:rPr>
          <w:rFonts w:cs="AdvMINION-R"/>
          <w:sz w:val="24"/>
          <w:szCs w:val="24"/>
        </w:rPr>
      </w:pPr>
      <w:r>
        <w:rPr>
          <w:rFonts w:cs="AdvMINION-R"/>
          <w:sz w:val="24"/>
          <w:szCs w:val="24"/>
        </w:rPr>
        <w:t>D)</w:t>
      </w:r>
      <w:r w:rsidRPr="00C64596">
        <w:rPr>
          <w:rFonts w:cs="AdvMINION-R"/>
          <w:sz w:val="24"/>
          <w:szCs w:val="24"/>
        </w:rPr>
        <w:t xml:space="preserve"> </w:t>
      </w:r>
      <w:r>
        <w:rPr>
          <w:rFonts w:cs="AdvMINION-R"/>
          <w:sz w:val="24"/>
          <w:szCs w:val="24"/>
        </w:rPr>
        <w:t>Percentage of All Deaths Due to Pneumonia and Influenza and Corresponding Intensity Threshold,</w:t>
      </w:r>
      <w:r w:rsidRPr="00424630">
        <w:rPr>
          <w:rFonts w:cs="AdvMINION-R"/>
          <w:sz w:val="24"/>
          <w:szCs w:val="24"/>
        </w:rPr>
        <w:t xml:space="preserve"> </w:t>
      </w:r>
      <w:r>
        <w:rPr>
          <w:rFonts w:cs="AdvMINION-R"/>
          <w:sz w:val="24"/>
          <w:szCs w:val="24"/>
        </w:rPr>
        <w:t xml:space="preserve">Adults Aged &gt;64 Years, by Surveillance Week and Season, National Center for Health Statistics Mortality Surveillance System, United States, 2003–04 Through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s</w:t>
      </w:r>
    </w:p>
    <w:p w:rsidR="007A4E05" w:rsidRDefault="007A4E05" w:rsidP="007A4E05">
      <w:pPr>
        <w:spacing w:after="0" w:line="240" w:lineRule="auto"/>
        <w:rPr>
          <w:rFonts w:cs="AdvMINION-R"/>
          <w:sz w:val="24"/>
          <w:szCs w:val="24"/>
        </w:rPr>
      </w:pPr>
    </w:p>
    <w:p w:rsidR="007A4E05" w:rsidRDefault="007A4E05" w:rsidP="007A4E05">
      <w:pPr>
        <w:spacing w:after="0" w:line="240" w:lineRule="auto"/>
        <w:rPr>
          <w:rFonts w:cs="AdvMINION-R"/>
          <w:sz w:val="24"/>
          <w:szCs w:val="24"/>
        </w:rPr>
      </w:pPr>
    </w:p>
    <w:p w:rsidR="007A4E05" w:rsidRDefault="00021677" w:rsidP="007A4E05">
      <w:pPr>
        <w:rPr>
          <w:rFonts w:cs="AdvMINION-R"/>
          <w:sz w:val="24"/>
          <w:szCs w:val="24"/>
        </w:rPr>
      </w:pPr>
      <w:r>
        <w:rPr>
          <w:rFonts w:cs="AdvMINION-R"/>
          <w:noProof/>
          <w:sz w:val="24"/>
          <w:szCs w:val="24"/>
        </w:rPr>
        <w:drawing>
          <wp:inline distT="0" distB="0" distL="0" distR="0">
            <wp:extent cx="6400800" cy="4800600"/>
            <wp:effectExtent l="0" t="0" r="0" b="0"/>
            <wp:docPr id="4" name="Picture 4" descr="\\cdc.gov\private\L116\zmo2\pandemic severity\seasonal\manuscript\Supplemental_Figures_submit\Supplemental 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c.gov\private\L116\zmo2\pandemic severity\seasonal\manuscript\Supplemental_Figures_submit\Supplemental Figure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r w:rsidR="007A4E05">
        <w:rPr>
          <w:rFonts w:cs="AdvMINION-R"/>
          <w:sz w:val="24"/>
          <w:szCs w:val="24"/>
        </w:rPr>
        <w:br w:type="page"/>
      </w:r>
    </w:p>
    <w:p w:rsidR="007A4E05" w:rsidRDefault="00BA75BE" w:rsidP="007A4E05">
      <w:pPr>
        <w:spacing w:after="0" w:line="240" w:lineRule="auto"/>
        <w:rPr>
          <w:rFonts w:cs="AdvMINION-R"/>
          <w:sz w:val="24"/>
          <w:szCs w:val="24"/>
        </w:rPr>
      </w:pPr>
      <w:r>
        <w:rPr>
          <w:rFonts w:cs="AdvMINION-R"/>
          <w:sz w:val="24"/>
          <w:szCs w:val="24"/>
        </w:rPr>
        <w:lastRenderedPageBreak/>
        <w:t>Web</w:t>
      </w:r>
      <w:r w:rsidR="007A4E05">
        <w:rPr>
          <w:rFonts w:cs="AdvMINION-R"/>
          <w:sz w:val="24"/>
          <w:szCs w:val="24"/>
        </w:rPr>
        <w:t xml:space="preserve"> Figure 4. </w:t>
      </w:r>
    </w:p>
    <w:p w:rsidR="007A4E05" w:rsidRDefault="007A4E05" w:rsidP="007A4E05">
      <w:pPr>
        <w:spacing w:after="0" w:line="240" w:lineRule="auto"/>
        <w:rPr>
          <w:rFonts w:cs="AdvMINION-R"/>
          <w:sz w:val="24"/>
          <w:szCs w:val="24"/>
        </w:rPr>
      </w:pPr>
      <w:r w:rsidRPr="008C740F">
        <w:rPr>
          <w:rFonts w:cs="AdvMINION-R"/>
          <w:sz w:val="24"/>
          <w:szCs w:val="24"/>
        </w:rPr>
        <w:t xml:space="preserve">Percentage of </w:t>
      </w:r>
      <w:r>
        <w:rPr>
          <w:rFonts w:cs="AdvMINION-R"/>
          <w:sz w:val="24"/>
          <w:szCs w:val="24"/>
        </w:rPr>
        <w:t>V</w:t>
      </w:r>
      <w:r w:rsidRPr="008C740F">
        <w:rPr>
          <w:rFonts w:cs="AdvMINION-R"/>
          <w:sz w:val="24"/>
          <w:szCs w:val="24"/>
        </w:rPr>
        <w:t xml:space="preserve">isits for </w:t>
      </w:r>
      <w:r>
        <w:rPr>
          <w:rFonts w:cs="AdvMINION-R"/>
          <w:sz w:val="24"/>
          <w:szCs w:val="24"/>
        </w:rPr>
        <w:t>I</w:t>
      </w:r>
      <w:r w:rsidRPr="008C740F">
        <w:rPr>
          <w:rFonts w:cs="AdvMINION-R"/>
          <w:sz w:val="24"/>
          <w:szCs w:val="24"/>
        </w:rPr>
        <w:t>nfluenza-</w:t>
      </w:r>
      <w:r>
        <w:rPr>
          <w:rFonts w:cs="AdvMINION-R"/>
          <w:sz w:val="24"/>
          <w:szCs w:val="24"/>
        </w:rPr>
        <w:t>L</w:t>
      </w:r>
      <w:r w:rsidRPr="008C740F">
        <w:rPr>
          <w:rFonts w:cs="AdvMINION-R"/>
          <w:sz w:val="24"/>
          <w:szCs w:val="24"/>
        </w:rPr>
        <w:t xml:space="preserve">ike </w:t>
      </w:r>
      <w:r>
        <w:rPr>
          <w:rFonts w:cs="AdvMINION-R"/>
          <w:sz w:val="24"/>
          <w:szCs w:val="24"/>
        </w:rPr>
        <w:t>I</w:t>
      </w:r>
      <w:r w:rsidRPr="008C740F">
        <w:rPr>
          <w:rFonts w:cs="AdvMINION-R"/>
          <w:sz w:val="24"/>
          <w:szCs w:val="24"/>
        </w:rPr>
        <w:t xml:space="preserve">llness (ILI) </w:t>
      </w:r>
      <w:r>
        <w:rPr>
          <w:rFonts w:cs="AdvMINION-R"/>
          <w:sz w:val="24"/>
          <w:szCs w:val="24"/>
        </w:rPr>
        <w:t xml:space="preserve">Aligned by the Start Week of the Season, by Seasonal Intensity Classification, </w:t>
      </w:r>
      <w:r w:rsidRPr="008C740F">
        <w:rPr>
          <w:rFonts w:cs="AdvMINION-R"/>
          <w:sz w:val="24"/>
          <w:szCs w:val="24"/>
        </w:rPr>
        <w:t>U.S. Outpatient Influenza-Like Illness Surveillance Network</w:t>
      </w:r>
      <w:r>
        <w:rPr>
          <w:rFonts w:cs="AdvMINION-R"/>
          <w:sz w:val="24"/>
          <w:szCs w:val="24"/>
        </w:rPr>
        <w:t xml:space="preserve"> (ILINet)</w:t>
      </w:r>
      <w:r w:rsidRPr="008C740F">
        <w:rPr>
          <w:rFonts w:cs="AdvMINION-R"/>
          <w:sz w:val="24"/>
          <w:szCs w:val="24"/>
        </w:rPr>
        <w:t xml:space="preserve">, United States, </w:t>
      </w:r>
      <w:r>
        <w:rPr>
          <w:rFonts w:cs="AdvMINION-R"/>
          <w:sz w:val="24"/>
          <w:szCs w:val="24"/>
        </w:rPr>
        <w:t xml:space="preserve">2003–04 </w:t>
      </w:r>
      <w:proofErr w:type="gramStart"/>
      <w:r>
        <w:rPr>
          <w:rFonts w:cs="AdvMINION-R"/>
          <w:sz w:val="24"/>
          <w:szCs w:val="24"/>
        </w:rPr>
        <w:t>Through</w:t>
      </w:r>
      <w:proofErr w:type="gramEnd"/>
      <w:r>
        <w:rPr>
          <w:rFonts w:cs="AdvMINION-R"/>
          <w:sz w:val="24"/>
          <w:szCs w:val="24"/>
        </w:rPr>
        <w:t xml:space="preserve">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s</w:t>
      </w:r>
    </w:p>
    <w:p w:rsidR="00021677" w:rsidRDefault="00021677" w:rsidP="007A4E05">
      <w:pPr>
        <w:rPr>
          <w:rFonts w:cs="AdvMINION-R"/>
          <w:sz w:val="24"/>
          <w:szCs w:val="24"/>
        </w:rPr>
      </w:pPr>
    </w:p>
    <w:p w:rsidR="007A4E05" w:rsidRDefault="00021677" w:rsidP="007A4E05">
      <w:pPr>
        <w:rPr>
          <w:rFonts w:cs="AdvMINION-R"/>
          <w:sz w:val="24"/>
          <w:szCs w:val="24"/>
        </w:rPr>
      </w:pPr>
      <w:r>
        <w:rPr>
          <w:rFonts w:cs="AdvMINION-R"/>
          <w:noProof/>
          <w:sz w:val="24"/>
          <w:szCs w:val="24"/>
        </w:rPr>
        <w:drawing>
          <wp:inline distT="0" distB="0" distL="0" distR="0">
            <wp:extent cx="6400800" cy="4800600"/>
            <wp:effectExtent l="0" t="0" r="0" b="0"/>
            <wp:docPr id="5" name="Picture 5" descr="\\cdc.gov\private\L116\zmo2\pandemic severity\seasonal\manuscript\Supplemental_Figures_submit\Supplemental 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c.gov\private\L116\zmo2\pandemic severity\seasonal\manuscript\Supplemental_Figures_submit\Supplemental Figure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r w:rsidR="007A4E05">
        <w:rPr>
          <w:rFonts w:cs="AdvMINION-R"/>
          <w:sz w:val="24"/>
          <w:szCs w:val="24"/>
        </w:rPr>
        <w:br w:type="page"/>
      </w:r>
    </w:p>
    <w:p w:rsidR="002A6534" w:rsidRDefault="002A6534" w:rsidP="002A6534">
      <w:pPr>
        <w:spacing w:after="0" w:line="240" w:lineRule="auto"/>
        <w:rPr>
          <w:rFonts w:cs="AdvMINION-R"/>
          <w:sz w:val="24"/>
          <w:szCs w:val="24"/>
        </w:rPr>
      </w:pPr>
      <w:r>
        <w:rPr>
          <w:rFonts w:cs="AdvMINION-R"/>
          <w:sz w:val="24"/>
          <w:szCs w:val="24"/>
        </w:rPr>
        <w:lastRenderedPageBreak/>
        <w:t xml:space="preserve">Web Table 1. </w:t>
      </w:r>
      <w:r w:rsidRPr="002A32EF">
        <w:rPr>
          <w:rFonts w:cs="AdvMINION-R"/>
          <w:sz w:val="24"/>
          <w:szCs w:val="24"/>
        </w:rPr>
        <w:t xml:space="preserve">Influenza </w:t>
      </w:r>
      <w:r>
        <w:rPr>
          <w:rFonts w:cs="AdvMINION-R"/>
          <w:sz w:val="24"/>
          <w:szCs w:val="24"/>
        </w:rPr>
        <w:t>S</w:t>
      </w:r>
      <w:r w:rsidRPr="002A32EF">
        <w:rPr>
          <w:rFonts w:cs="AdvMINION-R"/>
          <w:sz w:val="24"/>
          <w:szCs w:val="24"/>
        </w:rPr>
        <w:t xml:space="preserve">eason </w:t>
      </w:r>
      <w:r>
        <w:rPr>
          <w:rFonts w:cs="AdvMINION-R"/>
          <w:sz w:val="24"/>
          <w:szCs w:val="24"/>
        </w:rPr>
        <w:t>S</w:t>
      </w:r>
      <w:r w:rsidRPr="002A32EF">
        <w:rPr>
          <w:rFonts w:cs="AdvMINION-R"/>
          <w:sz w:val="24"/>
          <w:szCs w:val="24"/>
        </w:rPr>
        <w:t xml:space="preserve">everity </w:t>
      </w:r>
      <w:r>
        <w:rPr>
          <w:rFonts w:cs="AdvMINION-R"/>
          <w:sz w:val="24"/>
          <w:szCs w:val="24"/>
        </w:rPr>
        <w:t>C</w:t>
      </w:r>
      <w:r w:rsidRPr="002A32EF">
        <w:rPr>
          <w:rFonts w:cs="AdvMINION-R"/>
          <w:sz w:val="24"/>
          <w:szCs w:val="24"/>
        </w:rPr>
        <w:t xml:space="preserve">lassifications, by </w:t>
      </w:r>
      <w:r>
        <w:rPr>
          <w:rFonts w:cs="AdvMINION-R"/>
          <w:sz w:val="24"/>
          <w:szCs w:val="24"/>
        </w:rPr>
        <w:t>S</w:t>
      </w:r>
      <w:r w:rsidRPr="002A32EF">
        <w:rPr>
          <w:rFonts w:cs="AdvMINION-R"/>
          <w:sz w:val="24"/>
          <w:szCs w:val="24"/>
        </w:rPr>
        <w:t xml:space="preserve">eason and </w:t>
      </w:r>
      <w:r>
        <w:rPr>
          <w:rFonts w:cs="AdvMINION-R"/>
          <w:sz w:val="24"/>
          <w:szCs w:val="24"/>
        </w:rPr>
        <w:t>A</w:t>
      </w:r>
      <w:r w:rsidRPr="002A32EF">
        <w:rPr>
          <w:rFonts w:cs="AdvMINION-R"/>
          <w:sz w:val="24"/>
          <w:szCs w:val="24"/>
        </w:rPr>
        <w:t xml:space="preserve">ge </w:t>
      </w:r>
      <w:r>
        <w:rPr>
          <w:rFonts w:cs="AdvMINION-R"/>
          <w:sz w:val="24"/>
          <w:szCs w:val="24"/>
        </w:rPr>
        <w:t>G</w:t>
      </w:r>
      <w:r w:rsidRPr="002A32EF">
        <w:rPr>
          <w:rFonts w:cs="AdvMINION-R"/>
          <w:sz w:val="24"/>
          <w:szCs w:val="24"/>
        </w:rPr>
        <w:t>roup, United States</w:t>
      </w:r>
      <w:r>
        <w:rPr>
          <w:rFonts w:cs="AdvMINION-R"/>
          <w:sz w:val="24"/>
          <w:szCs w:val="24"/>
        </w:rPr>
        <w:t xml:space="preserve">, </w:t>
      </w:r>
      <w:r w:rsidRPr="0036021D">
        <w:rPr>
          <w:rFonts w:cs="AdvMINION-R"/>
          <w:sz w:val="24"/>
          <w:szCs w:val="24"/>
        </w:rPr>
        <w:t>200</w:t>
      </w:r>
      <w:r>
        <w:rPr>
          <w:rFonts w:cs="AdvMINION-R"/>
          <w:sz w:val="24"/>
          <w:szCs w:val="24"/>
        </w:rPr>
        <w:t>3–04</w:t>
      </w:r>
      <w:r w:rsidRPr="0036021D">
        <w:rPr>
          <w:rFonts w:cs="AdvMINION-R"/>
          <w:sz w:val="24"/>
          <w:szCs w:val="24"/>
        </w:rPr>
        <w:t xml:space="preserve"> to 20</w:t>
      </w:r>
      <w:r>
        <w:rPr>
          <w:rFonts w:cs="AdvMINION-R"/>
          <w:sz w:val="24"/>
          <w:szCs w:val="24"/>
        </w:rPr>
        <w:t>15–16 influenza seasons</w:t>
      </w:r>
      <w:r w:rsidRPr="002A32EF">
        <w:rPr>
          <w:rFonts w:cs="AdvMINION-R"/>
          <w:sz w:val="24"/>
          <w:szCs w:val="24"/>
        </w:rPr>
        <w:t xml:space="preserve">.  </w:t>
      </w:r>
    </w:p>
    <w:tbl>
      <w:tblPr>
        <w:tblW w:w="9018" w:type="dxa"/>
        <w:jc w:val="center"/>
        <w:tblLayout w:type="fixed"/>
        <w:tblCellMar>
          <w:left w:w="0" w:type="dxa"/>
          <w:right w:w="0" w:type="dxa"/>
        </w:tblCellMar>
        <w:tblLook w:val="0020" w:firstRow="1" w:lastRow="0" w:firstColumn="0" w:lastColumn="0" w:noHBand="0" w:noVBand="0"/>
      </w:tblPr>
      <w:tblGrid>
        <w:gridCol w:w="2076"/>
        <w:gridCol w:w="1735"/>
        <w:gridCol w:w="1736"/>
        <w:gridCol w:w="1735"/>
        <w:gridCol w:w="1736"/>
      </w:tblGrid>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2A6534" w:rsidRPr="006C6522" w:rsidRDefault="002A6534" w:rsidP="0004763A">
            <w:pPr>
              <w:spacing w:after="0" w:line="240" w:lineRule="auto"/>
              <w:rPr>
                <w:rFonts w:cs="AdvMINION-R"/>
                <w:sz w:val="24"/>
                <w:szCs w:val="24"/>
              </w:rPr>
            </w:pPr>
            <w:r w:rsidRPr="006C6522">
              <w:rPr>
                <w:rFonts w:cs="AdvMINION-R"/>
                <w:b/>
                <w:bCs/>
                <w:sz w:val="24"/>
                <w:szCs w:val="24"/>
              </w:rPr>
              <w:t>Season</w:t>
            </w:r>
          </w:p>
        </w:tc>
        <w:tc>
          <w:tcPr>
            <w:tcW w:w="1735" w:type="dxa"/>
            <w:tcBorders>
              <w:top w:val="single" w:sz="8" w:space="0" w:color="auto"/>
              <w:left w:val="single" w:sz="8" w:space="0" w:color="auto"/>
              <w:bottom w:val="single" w:sz="4" w:space="0" w:color="auto"/>
              <w:right w:val="single" w:sz="8" w:space="0" w:color="auto"/>
            </w:tcBorders>
            <w:shd w:val="clear" w:color="auto" w:fill="auto"/>
            <w:tcMar>
              <w:top w:w="72" w:type="dxa"/>
              <w:left w:w="144" w:type="dxa"/>
              <w:bottom w:w="72" w:type="dxa"/>
              <w:right w:w="144" w:type="dxa"/>
            </w:tcMar>
            <w:vAlign w:val="center"/>
          </w:tcPr>
          <w:p w:rsidR="002A6534" w:rsidRPr="006C6522" w:rsidRDefault="002A6534" w:rsidP="0004763A">
            <w:pPr>
              <w:spacing w:after="0" w:line="240" w:lineRule="auto"/>
              <w:jc w:val="center"/>
              <w:rPr>
                <w:rFonts w:cs="AdvMINION-R"/>
                <w:b/>
                <w:bCs/>
                <w:sz w:val="24"/>
                <w:szCs w:val="24"/>
              </w:rPr>
            </w:pPr>
            <w:r>
              <w:rPr>
                <w:rFonts w:cs="AdvMINION-R"/>
                <w:b/>
                <w:bCs/>
                <w:sz w:val="24"/>
                <w:szCs w:val="24"/>
              </w:rPr>
              <w:t>Child</w:t>
            </w:r>
          </w:p>
        </w:tc>
        <w:tc>
          <w:tcPr>
            <w:tcW w:w="1736" w:type="dxa"/>
            <w:tcBorders>
              <w:top w:val="single" w:sz="8" w:space="0" w:color="auto"/>
              <w:left w:val="single" w:sz="8" w:space="0" w:color="auto"/>
              <w:bottom w:val="single" w:sz="4" w:space="0" w:color="auto"/>
              <w:right w:val="single" w:sz="8" w:space="0" w:color="auto"/>
            </w:tcBorders>
            <w:shd w:val="clear" w:color="auto" w:fill="auto"/>
            <w:tcMar>
              <w:top w:w="72" w:type="dxa"/>
              <w:left w:w="144" w:type="dxa"/>
              <w:bottom w:w="72" w:type="dxa"/>
              <w:right w:w="144" w:type="dxa"/>
            </w:tcMar>
            <w:vAlign w:val="center"/>
          </w:tcPr>
          <w:p w:rsidR="002A6534" w:rsidRPr="009E0BE2" w:rsidRDefault="002A6534" w:rsidP="0004763A">
            <w:pPr>
              <w:spacing w:after="0" w:line="240" w:lineRule="auto"/>
              <w:jc w:val="center"/>
              <w:rPr>
                <w:rFonts w:cs="AdvMINION-R"/>
                <w:b/>
                <w:sz w:val="24"/>
                <w:szCs w:val="24"/>
              </w:rPr>
            </w:pPr>
            <w:r w:rsidRPr="009E0BE2">
              <w:rPr>
                <w:rFonts w:cs="AdvMINION-R"/>
                <w:b/>
                <w:sz w:val="24"/>
                <w:szCs w:val="24"/>
              </w:rPr>
              <w:t>Adults</w:t>
            </w:r>
          </w:p>
        </w:tc>
        <w:tc>
          <w:tcPr>
            <w:tcW w:w="1735" w:type="dxa"/>
            <w:tcBorders>
              <w:top w:val="single" w:sz="8" w:space="0" w:color="auto"/>
              <w:left w:val="single" w:sz="8" w:space="0" w:color="auto"/>
              <w:bottom w:val="single" w:sz="4" w:space="0" w:color="auto"/>
              <w:right w:val="single" w:sz="8" w:space="0" w:color="auto"/>
            </w:tcBorders>
            <w:shd w:val="clear" w:color="auto" w:fill="auto"/>
            <w:tcMar>
              <w:top w:w="72" w:type="dxa"/>
              <w:left w:w="144" w:type="dxa"/>
              <w:bottom w:w="72" w:type="dxa"/>
              <w:right w:w="144" w:type="dxa"/>
            </w:tcMar>
            <w:vAlign w:val="center"/>
          </w:tcPr>
          <w:p w:rsidR="002A6534" w:rsidRPr="009E0BE2" w:rsidRDefault="002A6534" w:rsidP="0004763A">
            <w:pPr>
              <w:spacing w:after="0" w:line="240" w:lineRule="auto"/>
              <w:jc w:val="center"/>
              <w:rPr>
                <w:rFonts w:cs="AdvMINION-R"/>
                <w:b/>
                <w:sz w:val="24"/>
                <w:szCs w:val="24"/>
              </w:rPr>
            </w:pPr>
            <w:r w:rsidRPr="009E0BE2">
              <w:rPr>
                <w:rFonts w:cs="AdvMINION-R"/>
                <w:b/>
                <w:sz w:val="24"/>
                <w:szCs w:val="24"/>
              </w:rPr>
              <w:t>Older Adults</w:t>
            </w:r>
          </w:p>
        </w:tc>
        <w:tc>
          <w:tcPr>
            <w:tcW w:w="1736" w:type="dxa"/>
            <w:tcBorders>
              <w:top w:val="single" w:sz="8" w:space="0" w:color="auto"/>
              <w:left w:val="single" w:sz="8" w:space="0" w:color="auto"/>
              <w:bottom w:val="single" w:sz="4" w:space="0" w:color="auto"/>
              <w:right w:val="single" w:sz="8" w:space="0" w:color="auto"/>
            </w:tcBorders>
            <w:vAlign w:val="center"/>
          </w:tcPr>
          <w:p w:rsidR="002A6534" w:rsidRPr="009E0BE2" w:rsidRDefault="002A6534" w:rsidP="0004763A">
            <w:pPr>
              <w:spacing w:after="0" w:line="240" w:lineRule="auto"/>
              <w:jc w:val="center"/>
              <w:rPr>
                <w:rFonts w:cs="AdvMINION-R"/>
                <w:b/>
                <w:bCs/>
                <w:sz w:val="24"/>
                <w:szCs w:val="24"/>
              </w:rPr>
            </w:pPr>
            <w:r w:rsidRPr="009E0BE2">
              <w:rPr>
                <w:rFonts w:cs="AdvMINION-R"/>
                <w:b/>
                <w:bCs/>
                <w:sz w:val="24"/>
                <w:szCs w:val="24"/>
              </w:rPr>
              <w:t>Overall</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Pr>
                <w:rFonts w:cs="AdvMINION-R"/>
                <w:sz w:val="24"/>
                <w:szCs w:val="24"/>
              </w:rPr>
              <w:t>20</w:t>
            </w:r>
            <w:r w:rsidRPr="006C6522">
              <w:rPr>
                <w:rFonts w:cs="AdvMINION-R"/>
                <w:sz w:val="24"/>
                <w:szCs w:val="24"/>
              </w:rPr>
              <w:t>03</w:t>
            </w:r>
            <w:r>
              <w:rPr>
                <w:rFonts w:cs="AdvMINION-R"/>
                <w:sz w:val="24"/>
                <w:szCs w:val="24"/>
              </w:rPr>
              <w:t>–</w:t>
            </w:r>
            <w:r w:rsidRPr="006C6522">
              <w:rPr>
                <w:rFonts w:cs="AdvMINION-R"/>
                <w:sz w:val="24"/>
                <w:szCs w:val="24"/>
              </w:rPr>
              <w:t>04</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asciiTheme="minorHAnsi" w:eastAsiaTheme="minorHAnsi" w:hAnsiTheme="minorHAnsi" w:cs="AdvMINION-R"/>
                <w:sz w:val="24"/>
                <w:szCs w:val="24"/>
              </w:rPr>
            </w:pPr>
            <w:r w:rsidRPr="005C667E">
              <w:rPr>
                <w:color w:val="000000"/>
                <w:sz w:val="24"/>
              </w:rPr>
              <w:t>Very High</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High</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sz w:val="24"/>
                <w:szCs w:val="24"/>
              </w:rPr>
            </w:pPr>
            <w:r>
              <w:rPr>
                <w:rFonts w:cs="AdvMINION-R"/>
                <w:bCs/>
                <w:sz w:val="24"/>
                <w:szCs w:val="24"/>
              </w:rPr>
              <w:t>High</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sidRPr="006C6522">
              <w:rPr>
                <w:rFonts w:cs="AdvMINION-R"/>
                <w:sz w:val="24"/>
                <w:szCs w:val="24"/>
              </w:rPr>
              <w:t>2004</w:t>
            </w:r>
            <w:r>
              <w:rPr>
                <w:rFonts w:cs="AdvMINION-R"/>
                <w:sz w:val="24"/>
                <w:szCs w:val="24"/>
              </w:rPr>
              <w:t>–</w:t>
            </w:r>
            <w:r w:rsidRPr="006C6522">
              <w:rPr>
                <w:rFonts w:cs="AdvMINION-R"/>
                <w:sz w:val="24"/>
                <w:szCs w:val="24"/>
              </w:rPr>
              <w:t>05</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sz w:val="24"/>
                <w:szCs w:val="24"/>
              </w:rPr>
            </w:pPr>
            <w:r>
              <w:rPr>
                <w:rFonts w:cs="AdvMINION-R"/>
                <w:bCs/>
                <w:sz w:val="24"/>
                <w:szCs w:val="24"/>
              </w:rPr>
              <w:t>Moderate</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sidRPr="006C6522">
              <w:rPr>
                <w:rFonts w:cs="AdvMINION-R"/>
                <w:sz w:val="24"/>
                <w:szCs w:val="24"/>
              </w:rPr>
              <w:t>2005</w:t>
            </w:r>
            <w:r>
              <w:rPr>
                <w:rFonts w:cs="AdvMINION-R"/>
                <w:sz w:val="24"/>
                <w:szCs w:val="24"/>
              </w:rPr>
              <w:t>–</w:t>
            </w:r>
            <w:r w:rsidRPr="006C6522">
              <w:rPr>
                <w:rFonts w:cs="AdvMINION-R"/>
                <w:sz w:val="24"/>
                <w:szCs w:val="24"/>
              </w:rPr>
              <w:t>06</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sz w:val="24"/>
                <w:szCs w:val="24"/>
              </w:rPr>
            </w:pPr>
            <w:r>
              <w:rPr>
                <w:rFonts w:cs="AdvMINION-R"/>
                <w:bCs/>
                <w:sz w:val="24"/>
                <w:szCs w:val="24"/>
              </w:rPr>
              <w:t>Low</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sidRPr="006C6522">
              <w:rPr>
                <w:rFonts w:cs="AdvMINION-R"/>
                <w:sz w:val="24"/>
                <w:szCs w:val="24"/>
              </w:rPr>
              <w:t>2006</w:t>
            </w:r>
            <w:r>
              <w:rPr>
                <w:rFonts w:cs="AdvMINION-R"/>
                <w:sz w:val="24"/>
                <w:szCs w:val="24"/>
              </w:rPr>
              <w:t>–</w:t>
            </w:r>
            <w:r w:rsidRPr="006C6522">
              <w:rPr>
                <w:rFonts w:cs="AdvMINION-R"/>
                <w:sz w:val="24"/>
                <w:szCs w:val="24"/>
              </w:rPr>
              <w:t>07</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sz w:val="24"/>
                <w:szCs w:val="24"/>
              </w:rPr>
            </w:pPr>
            <w:r>
              <w:rPr>
                <w:rFonts w:cs="AdvMINION-R"/>
                <w:bCs/>
                <w:sz w:val="24"/>
                <w:szCs w:val="24"/>
              </w:rPr>
              <w:t>Low</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sidRPr="006C6522">
              <w:rPr>
                <w:rFonts w:cs="AdvMINION-R"/>
                <w:sz w:val="24"/>
                <w:szCs w:val="24"/>
              </w:rPr>
              <w:t>2007</w:t>
            </w:r>
            <w:r>
              <w:rPr>
                <w:rFonts w:cs="AdvMINION-R"/>
                <w:sz w:val="24"/>
                <w:szCs w:val="24"/>
              </w:rPr>
              <w:t>–</w:t>
            </w:r>
            <w:r w:rsidRPr="006C6522">
              <w:rPr>
                <w:rFonts w:cs="AdvMINION-R"/>
                <w:sz w:val="24"/>
                <w:szCs w:val="24"/>
              </w:rPr>
              <w:t>08</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sz w:val="24"/>
                <w:szCs w:val="24"/>
              </w:rPr>
            </w:pPr>
            <w:r>
              <w:rPr>
                <w:rFonts w:cs="AdvMINION-R"/>
                <w:bCs/>
                <w:sz w:val="24"/>
                <w:szCs w:val="24"/>
              </w:rPr>
              <w:t>Moderate</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sidRPr="006C6522">
              <w:rPr>
                <w:rFonts w:cs="AdvMINION-R"/>
                <w:sz w:val="24"/>
                <w:szCs w:val="24"/>
              </w:rPr>
              <w:t>2008</w:t>
            </w:r>
            <w:r>
              <w:rPr>
                <w:rFonts w:cs="AdvMINION-R"/>
                <w:sz w:val="24"/>
                <w:szCs w:val="24"/>
              </w:rPr>
              <w:t>–</w:t>
            </w:r>
            <w:r w:rsidRPr="006C6522">
              <w:rPr>
                <w:rFonts w:cs="AdvMINION-R"/>
                <w:sz w:val="24"/>
                <w:szCs w:val="24"/>
              </w:rPr>
              <w:t>09</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sz w:val="24"/>
                <w:szCs w:val="24"/>
              </w:rPr>
            </w:pPr>
            <w:r>
              <w:rPr>
                <w:rFonts w:cs="AdvMINION-R"/>
                <w:bCs/>
                <w:sz w:val="24"/>
                <w:szCs w:val="24"/>
              </w:rPr>
              <w:t>Low</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sidRPr="006C6522">
              <w:rPr>
                <w:rFonts w:cs="AdvMINION-R"/>
                <w:sz w:val="24"/>
                <w:szCs w:val="24"/>
              </w:rPr>
              <w:t>2009</w:t>
            </w:r>
            <w:r>
              <w:rPr>
                <w:rFonts w:cs="AdvMINION-R"/>
                <w:sz w:val="24"/>
                <w:szCs w:val="24"/>
              </w:rPr>
              <w:t>–</w:t>
            </w:r>
            <w:r w:rsidRPr="006C6522">
              <w:rPr>
                <w:rFonts w:cs="AdvMINION-R"/>
                <w:sz w:val="24"/>
                <w:szCs w:val="24"/>
              </w:rPr>
              <w:t>10</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asciiTheme="minorHAnsi" w:eastAsiaTheme="minorHAnsi" w:hAnsiTheme="minorHAnsi" w:cs="AdvMINION-R"/>
                <w:sz w:val="24"/>
                <w:szCs w:val="24"/>
              </w:rPr>
            </w:pPr>
            <w:r w:rsidRPr="005C667E">
              <w:rPr>
                <w:color w:val="000000"/>
                <w:sz w:val="24"/>
              </w:rPr>
              <w:t>Very High</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sz w:val="24"/>
                <w:szCs w:val="24"/>
              </w:rPr>
            </w:pPr>
            <w:r>
              <w:rPr>
                <w:rFonts w:cs="AdvMINION-R"/>
                <w:bCs/>
                <w:sz w:val="24"/>
                <w:szCs w:val="24"/>
              </w:rPr>
              <w:t>Moderate</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sidRPr="006C6522">
              <w:rPr>
                <w:rFonts w:cs="AdvMINION-R"/>
                <w:sz w:val="24"/>
                <w:szCs w:val="24"/>
              </w:rPr>
              <w:t>2010</w:t>
            </w:r>
            <w:r>
              <w:rPr>
                <w:rFonts w:cs="AdvMINION-R"/>
                <w:sz w:val="24"/>
                <w:szCs w:val="24"/>
              </w:rPr>
              <w:t>–</w:t>
            </w:r>
            <w:r w:rsidRPr="006C6522">
              <w:rPr>
                <w:rFonts w:cs="AdvMINION-R"/>
                <w:sz w:val="24"/>
                <w:szCs w:val="24"/>
              </w:rPr>
              <w:t>11</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sz w:val="24"/>
                <w:szCs w:val="24"/>
              </w:rPr>
            </w:pPr>
            <w:r>
              <w:rPr>
                <w:rFonts w:cs="AdvMINION-R"/>
                <w:bCs/>
                <w:sz w:val="24"/>
                <w:szCs w:val="24"/>
              </w:rPr>
              <w:t>Moderate</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sidRPr="006C6522">
              <w:rPr>
                <w:rFonts w:cs="AdvMINION-R"/>
                <w:sz w:val="24"/>
                <w:szCs w:val="24"/>
              </w:rPr>
              <w:t>2011</w:t>
            </w:r>
            <w:r>
              <w:rPr>
                <w:rFonts w:cs="AdvMINION-R"/>
                <w:sz w:val="24"/>
                <w:szCs w:val="24"/>
              </w:rPr>
              <w:t>–</w:t>
            </w:r>
            <w:r w:rsidRPr="006C6522">
              <w:rPr>
                <w:rFonts w:cs="AdvMINION-R"/>
                <w:sz w:val="24"/>
                <w:szCs w:val="24"/>
              </w:rPr>
              <w:t>12</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Low</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sz w:val="24"/>
                <w:szCs w:val="24"/>
              </w:rPr>
            </w:pPr>
            <w:r>
              <w:rPr>
                <w:rFonts w:cs="AdvMINION-R"/>
                <w:bCs/>
                <w:sz w:val="24"/>
                <w:szCs w:val="24"/>
              </w:rPr>
              <w:t>Low</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sidRPr="006C6522">
              <w:rPr>
                <w:rFonts w:cs="AdvMINION-R"/>
                <w:sz w:val="24"/>
                <w:szCs w:val="24"/>
              </w:rPr>
              <w:t>2012</w:t>
            </w:r>
            <w:r>
              <w:rPr>
                <w:rFonts w:cs="AdvMINION-R"/>
                <w:sz w:val="24"/>
                <w:szCs w:val="24"/>
              </w:rPr>
              <w:t>–</w:t>
            </w:r>
            <w:r w:rsidRPr="006C6522">
              <w:rPr>
                <w:rFonts w:cs="AdvMINION-R"/>
                <w:sz w:val="24"/>
                <w:szCs w:val="24"/>
              </w:rPr>
              <w:t>13</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High</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sz w:val="24"/>
                <w:szCs w:val="24"/>
              </w:rPr>
            </w:pPr>
            <w:r>
              <w:rPr>
                <w:rFonts w:cs="AdvMINION-R"/>
                <w:bCs/>
                <w:sz w:val="24"/>
                <w:szCs w:val="24"/>
              </w:rPr>
              <w:t>Moderate</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sidRPr="006C6522">
              <w:rPr>
                <w:rFonts w:cs="AdvMINION-R"/>
                <w:sz w:val="24"/>
                <w:szCs w:val="24"/>
              </w:rPr>
              <w:t>2013</w:t>
            </w:r>
            <w:r>
              <w:rPr>
                <w:rFonts w:cs="AdvMINION-R"/>
                <w:sz w:val="24"/>
                <w:szCs w:val="24"/>
              </w:rPr>
              <w:t>–</w:t>
            </w:r>
            <w:r w:rsidRPr="006C6522">
              <w:rPr>
                <w:rFonts w:cs="AdvMINION-R"/>
                <w:sz w:val="24"/>
                <w:szCs w:val="24"/>
              </w:rPr>
              <w:t>14</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sz w:val="24"/>
                <w:szCs w:val="24"/>
              </w:rPr>
            </w:pPr>
            <w:r>
              <w:rPr>
                <w:rFonts w:cs="AdvMINION-R"/>
                <w:bCs/>
                <w:sz w:val="24"/>
                <w:szCs w:val="24"/>
              </w:rPr>
              <w:t>Moderate</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sidRPr="006C6522">
              <w:rPr>
                <w:rFonts w:cs="AdvMINION-R"/>
                <w:sz w:val="24"/>
                <w:szCs w:val="24"/>
              </w:rPr>
              <w:t>2014</w:t>
            </w:r>
            <w:r>
              <w:rPr>
                <w:rFonts w:cs="AdvMINION-R"/>
                <w:sz w:val="24"/>
                <w:szCs w:val="24"/>
              </w:rPr>
              <w:t>–</w:t>
            </w:r>
            <w:r w:rsidRPr="006C6522">
              <w:rPr>
                <w:rFonts w:cs="AdvMINION-R"/>
                <w:sz w:val="24"/>
                <w:szCs w:val="24"/>
              </w:rPr>
              <w:t>15</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Moderate</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5C667E" w:rsidRDefault="002A6534" w:rsidP="0004763A">
            <w:pPr>
              <w:spacing w:after="0" w:line="240" w:lineRule="auto"/>
              <w:jc w:val="center"/>
              <w:rPr>
                <w:rFonts w:cs="AdvMINION-R"/>
                <w:sz w:val="24"/>
                <w:szCs w:val="24"/>
              </w:rPr>
            </w:pPr>
            <w:r w:rsidRPr="005C667E">
              <w:rPr>
                <w:rFonts w:cs="AdvMINION-R"/>
                <w:sz w:val="24"/>
                <w:szCs w:val="24"/>
              </w:rPr>
              <w:t>High</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sz w:val="24"/>
                <w:szCs w:val="24"/>
              </w:rPr>
            </w:pPr>
            <w:r>
              <w:rPr>
                <w:rFonts w:cs="AdvMINION-R"/>
                <w:bCs/>
                <w:sz w:val="24"/>
                <w:szCs w:val="24"/>
              </w:rPr>
              <w:t>High</w:t>
            </w:r>
          </w:p>
        </w:tc>
      </w:tr>
      <w:tr w:rsidR="002A6534" w:rsidRPr="006C6522" w:rsidTr="0004763A">
        <w:trPr>
          <w:trHeight w:val="144"/>
          <w:jc w:val="center"/>
        </w:trPr>
        <w:tc>
          <w:tcPr>
            <w:tcW w:w="2076"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A6534" w:rsidRPr="006C6522" w:rsidRDefault="002A6534" w:rsidP="0004763A">
            <w:pPr>
              <w:spacing w:after="0" w:line="240" w:lineRule="auto"/>
              <w:jc w:val="center"/>
              <w:rPr>
                <w:rFonts w:cs="AdvMINION-R"/>
                <w:sz w:val="24"/>
                <w:szCs w:val="24"/>
              </w:rPr>
            </w:pPr>
            <w:r>
              <w:rPr>
                <w:rFonts w:cs="AdvMINION-R"/>
                <w:sz w:val="24"/>
                <w:szCs w:val="24"/>
              </w:rPr>
              <w:t>2015–16</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Default="002A6534" w:rsidP="0004763A">
            <w:pPr>
              <w:spacing w:after="0" w:line="240" w:lineRule="auto"/>
              <w:jc w:val="center"/>
              <w:rPr>
                <w:rFonts w:cs="AdvMINION-R"/>
                <w:sz w:val="24"/>
                <w:szCs w:val="24"/>
              </w:rPr>
            </w:pPr>
            <w:r>
              <w:rPr>
                <w:rFonts w:cs="AdvMINION-R"/>
                <w:sz w:val="24"/>
                <w:szCs w:val="24"/>
              </w:rPr>
              <w:t>Low</w:t>
            </w:r>
          </w:p>
        </w:tc>
        <w:tc>
          <w:tcPr>
            <w:tcW w:w="1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Default="002A6534" w:rsidP="0004763A">
            <w:pPr>
              <w:spacing w:after="0" w:line="240" w:lineRule="auto"/>
              <w:jc w:val="center"/>
              <w:rPr>
                <w:rFonts w:cs="AdvMINION-R"/>
                <w:sz w:val="24"/>
                <w:szCs w:val="24"/>
              </w:rPr>
            </w:pPr>
            <w:r>
              <w:rPr>
                <w:rFonts w:cs="AdvMINION-R"/>
                <w:sz w:val="24"/>
                <w:szCs w:val="24"/>
              </w:rPr>
              <w:t>Moderate</w:t>
            </w:r>
          </w:p>
        </w:tc>
        <w:tc>
          <w:tcPr>
            <w:tcW w:w="17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A6534" w:rsidRPr="00B323BA" w:rsidRDefault="002A6534" w:rsidP="0004763A">
            <w:pPr>
              <w:spacing w:after="0" w:line="240" w:lineRule="auto"/>
              <w:jc w:val="center"/>
              <w:rPr>
                <w:rFonts w:cs="AdvMINION-R"/>
                <w:sz w:val="24"/>
                <w:szCs w:val="24"/>
              </w:rPr>
            </w:pPr>
            <w:r>
              <w:rPr>
                <w:rFonts w:cs="AdvMINION-R"/>
                <w:sz w:val="24"/>
                <w:szCs w:val="24"/>
              </w:rPr>
              <w:t>Low</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A6534" w:rsidRPr="00B323BA" w:rsidRDefault="002A6534" w:rsidP="0004763A">
            <w:pPr>
              <w:spacing w:after="0" w:line="240" w:lineRule="auto"/>
              <w:jc w:val="center"/>
              <w:rPr>
                <w:rFonts w:cs="AdvMINION-R"/>
                <w:bCs/>
                <w:sz w:val="24"/>
                <w:szCs w:val="24"/>
              </w:rPr>
            </w:pPr>
            <w:r>
              <w:rPr>
                <w:rFonts w:cs="AdvMINION-R"/>
                <w:bCs/>
                <w:sz w:val="24"/>
                <w:szCs w:val="24"/>
              </w:rPr>
              <w:t>Moderate</w:t>
            </w:r>
          </w:p>
        </w:tc>
      </w:tr>
    </w:tbl>
    <w:p w:rsidR="002A6534" w:rsidRDefault="002A6534" w:rsidP="007A4E05">
      <w:pPr>
        <w:spacing w:after="0" w:line="240" w:lineRule="auto"/>
        <w:rPr>
          <w:noProof/>
        </w:rPr>
      </w:pPr>
    </w:p>
    <w:p w:rsidR="002A6534" w:rsidRDefault="002A6534">
      <w:pPr>
        <w:rPr>
          <w:noProof/>
        </w:rPr>
      </w:pPr>
      <w:r>
        <w:rPr>
          <w:noProof/>
        </w:rPr>
        <w:br w:type="page"/>
      </w:r>
    </w:p>
    <w:p w:rsidR="007A4E05" w:rsidRDefault="00BA75BE" w:rsidP="007A4E05">
      <w:pPr>
        <w:spacing w:after="0" w:line="240" w:lineRule="auto"/>
        <w:rPr>
          <w:noProof/>
        </w:rPr>
      </w:pPr>
      <w:r>
        <w:rPr>
          <w:noProof/>
        </w:rPr>
        <w:lastRenderedPageBreak/>
        <w:t>Web</w:t>
      </w:r>
      <w:r w:rsidR="007A4E05">
        <w:rPr>
          <w:noProof/>
        </w:rPr>
        <w:t xml:space="preserve"> Figure 5</w:t>
      </w:r>
    </w:p>
    <w:p w:rsidR="007A4E05" w:rsidRDefault="007A4E05" w:rsidP="007A4E05">
      <w:pPr>
        <w:spacing w:after="0" w:line="240" w:lineRule="auto"/>
        <w:rPr>
          <w:rFonts w:cs="AdvMINION-R"/>
          <w:sz w:val="24"/>
          <w:szCs w:val="24"/>
        </w:rPr>
      </w:pPr>
      <w:r>
        <w:t>Cumulative R</w:t>
      </w:r>
      <w:r w:rsidRPr="008C740F">
        <w:rPr>
          <w:rFonts w:cs="AdvMINION-R"/>
          <w:sz w:val="24"/>
          <w:szCs w:val="24"/>
        </w:rPr>
        <w:t>ate</w:t>
      </w:r>
      <w:r>
        <w:rPr>
          <w:rFonts w:cs="AdvMINION-R"/>
          <w:sz w:val="24"/>
          <w:szCs w:val="24"/>
        </w:rPr>
        <w:t xml:space="preserve"> </w:t>
      </w:r>
      <w:r w:rsidRPr="008C740F">
        <w:rPr>
          <w:rFonts w:cs="AdvMINION-R"/>
          <w:sz w:val="24"/>
          <w:szCs w:val="24"/>
        </w:rPr>
        <w:t xml:space="preserve">of </w:t>
      </w:r>
      <w:r>
        <w:rPr>
          <w:rFonts w:cs="AdvMINION-R"/>
          <w:sz w:val="24"/>
          <w:szCs w:val="24"/>
        </w:rPr>
        <w:t>L</w:t>
      </w:r>
      <w:r w:rsidRPr="008C740F">
        <w:rPr>
          <w:rFonts w:cs="AdvMINION-R"/>
          <w:sz w:val="24"/>
          <w:szCs w:val="24"/>
        </w:rPr>
        <w:t>aboratory-</w:t>
      </w:r>
      <w:r>
        <w:rPr>
          <w:rFonts w:cs="AdvMINION-R"/>
          <w:sz w:val="24"/>
          <w:szCs w:val="24"/>
        </w:rPr>
        <w:t>C</w:t>
      </w:r>
      <w:r w:rsidRPr="008C740F">
        <w:rPr>
          <w:rFonts w:cs="AdvMINION-R"/>
          <w:sz w:val="24"/>
          <w:szCs w:val="24"/>
        </w:rPr>
        <w:t xml:space="preserve">onfirmed </w:t>
      </w:r>
      <w:r>
        <w:rPr>
          <w:rFonts w:cs="AdvMINION-R"/>
          <w:sz w:val="24"/>
          <w:szCs w:val="24"/>
        </w:rPr>
        <w:t>I</w:t>
      </w:r>
      <w:r w:rsidRPr="008C740F">
        <w:rPr>
          <w:rFonts w:cs="AdvMINION-R"/>
          <w:sz w:val="24"/>
          <w:szCs w:val="24"/>
        </w:rPr>
        <w:t xml:space="preserve">nfluenza </w:t>
      </w:r>
      <w:r>
        <w:rPr>
          <w:rFonts w:cs="AdvMINION-R"/>
          <w:sz w:val="24"/>
          <w:szCs w:val="24"/>
        </w:rPr>
        <w:t>H</w:t>
      </w:r>
      <w:r w:rsidRPr="008C740F">
        <w:rPr>
          <w:rFonts w:cs="AdvMINION-R"/>
          <w:sz w:val="24"/>
          <w:szCs w:val="24"/>
        </w:rPr>
        <w:t xml:space="preserve">ospitalization </w:t>
      </w:r>
      <w:r>
        <w:rPr>
          <w:rFonts w:cs="AdvMINION-R"/>
          <w:sz w:val="24"/>
          <w:szCs w:val="24"/>
        </w:rPr>
        <w:t xml:space="preserve">per 100,000 Population and Seasonal Intensity Classification, by Season, </w:t>
      </w:r>
      <w:r w:rsidRPr="008C740F">
        <w:rPr>
          <w:rFonts w:cs="AdvMINION-R"/>
          <w:sz w:val="24"/>
          <w:szCs w:val="24"/>
        </w:rPr>
        <w:t>FluSurv</w:t>
      </w:r>
      <w:r>
        <w:rPr>
          <w:rFonts w:cs="AdvMINION-R"/>
          <w:sz w:val="24"/>
          <w:szCs w:val="24"/>
        </w:rPr>
        <w:t>-NET,</w:t>
      </w:r>
      <w:r w:rsidRPr="008C740F">
        <w:rPr>
          <w:rFonts w:cs="AdvMINION-R"/>
          <w:sz w:val="24"/>
          <w:szCs w:val="24"/>
        </w:rPr>
        <w:t xml:space="preserve"> United States, </w:t>
      </w:r>
      <w:r>
        <w:rPr>
          <w:rFonts w:cs="AdvMINION-R"/>
          <w:sz w:val="24"/>
          <w:szCs w:val="24"/>
        </w:rPr>
        <w:t xml:space="preserve">2005–06 </w:t>
      </w:r>
      <w:proofErr w:type="gramStart"/>
      <w:r>
        <w:rPr>
          <w:rFonts w:cs="AdvMINION-R"/>
          <w:sz w:val="24"/>
          <w:szCs w:val="24"/>
        </w:rPr>
        <w:t>Through</w:t>
      </w:r>
      <w:proofErr w:type="gramEnd"/>
      <w:r>
        <w:rPr>
          <w:rFonts w:cs="AdvMINION-R"/>
          <w:sz w:val="24"/>
          <w:szCs w:val="24"/>
        </w:rPr>
        <w:t xml:space="preserve"> </w:t>
      </w:r>
      <w:r w:rsidRPr="008C740F">
        <w:rPr>
          <w:rFonts w:cs="AdvMINION-R"/>
          <w:sz w:val="24"/>
          <w:szCs w:val="24"/>
        </w:rPr>
        <w:t xml:space="preserve">2015–16 </w:t>
      </w:r>
      <w:r>
        <w:rPr>
          <w:rFonts w:cs="AdvMINION-R"/>
          <w:sz w:val="24"/>
          <w:szCs w:val="24"/>
        </w:rPr>
        <w:t>I</w:t>
      </w:r>
      <w:r w:rsidRPr="008C740F">
        <w:rPr>
          <w:rFonts w:cs="AdvMINION-R"/>
          <w:sz w:val="24"/>
          <w:szCs w:val="24"/>
        </w:rPr>
        <w:t xml:space="preserve">nfluenza </w:t>
      </w:r>
      <w:r>
        <w:rPr>
          <w:rFonts w:cs="AdvMINION-R"/>
          <w:sz w:val="24"/>
          <w:szCs w:val="24"/>
        </w:rPr>
        <w:t>S</w:t>
      </w:r>
      <w:r w:rsidRPr="008C740F">
        <w:rPr>
          <w:rFonts w:cs="AdvMINION-R"/>
          <w:sz w:val="24"/>
          <w:szCs w:val="24"/>
        </w:rPr>
        <w:t>eason</w:t>
      </w:r>
      <w:r>
        <w:rPr>
          <w:rFonts w:cs="AdvMINION-R"/>
          <w:sz w:val="24"/>
          <w:szCs w:val="24"/>
        </w:rPr>
        <w:t xml:space="preserve">s            </w:t>
      </w:r>
    </w:p>
    <w:p w:rsidR="007A4E05" w:rsidRDefault="007A4E05" w:rsidP="007A4E05">
      <w:pPr>
        <w:spacing w:after="0" w:line="240" w:lineRule="auto"/>
        <w:rPr>
          <w:noProof/>
        </w:rPr>
      </w:pPr>
    </w:p>
    <w:p w:rsidR="00021677" w:rsidRDefault="00021677" w:rsidP="007A4E05">
      <w:pPr>
        <w:spacing w:after="0" w:line="240" w:lineRule="auto"/>
        <w:rPr>
          <w:noProof/>
        </w:rPr>
      </w:pPr>
      <w:r>
        <w:rPr>
          <w:noProof/>
        </w:rPr>
        <w:drawing>
          <wp:inline distT="0" distB="0" distL="0" distR="0">
            <wp:extent cx="6400800" cy="4800600"/>
            <wp:effectExtent l="0" t="0" r="0" b="0"/>
            <wp:docPr id="6" name="Picture 6" descr="\\cdc.gov\private\L116\zmo2\pandemic severity\seasonal\manuscript\Supplemental_Figures_submit\Supplemental 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c.gov\private\L116\zmo2\pandemic severity\seasonal\manuscript\Supplemental_Figures_submit\Supplemental Figure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rsidR="007A4E05" w:rsidRDefault="007A4E05" w:rsidP="007A4E05">
      <w:pPr>
        <w:spacing w:after="0" w:line="240" w:lineRule="auto"/>
        <w:rPr>
          <w:noProof/>
        </w:rPr>
      </w:pPr>
    </w:p>
    <w:p w:rsidR="00DC57CC" w:rsidRDefault="00DC57CC"/>
    <w:sectPr w:rsidR="00DC57CC"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E05" w:rsidRDefault="007A4E05" w:rsidP="008B5D54">
      <w:pPr>
        <w:spacing w:after="0" w:line="240" w:lineRule="auto"/>
      </w:pPr>
      <w:r>
        <w:separator/>
      </w:r>
    </w:p>
  </w:endnote>
  <w:endnote w:type="continuationSeparator" w:id="0">
    <w:p w:rsidR="007A4E05" w:rsidRDefault="007A4E0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vMINION-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E05" w:rsidRDefault="007A4E05" w:rsidP="008B5D54">
      <w:pPr>
        <w:spacing w:after="0" w:line="240" w:lineRule="auto"/>
      </w:pPr>
      <w:r>
        <w:separator/>
      </w:r>
    </w:p>
  </w:footnote>
  <w:footnote w:type="continuationSeparator" w:id="0">
    <w:p w:rsidR="007A4E05" w:rsidRDefault="007A4E05"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05"/>
    <w:rsid w:val="00021677"/>
    <w:rsid w:val="002A6534"/>
    <w:rsid w:val="00334C82"/>
    <w:rsid w:val="005F7CFD"/>
    <w:rsid w:val="00695D0A"/>
    <w:rsid w:val="006C6578"/>
    <w:rsid w:val="007A4E05"/>
    <w:rsid w:val="00863E90"/>
    <w:rsid w:val="00875077"/>
    <w:rsid w:val="008A6D68"/>
    <w:rsid w:val="008B5D54"/>
    <w:rsid w:val="009D46D0"/>
    <w:rsid w:val="00B55735"/>
    <w:rsid w:val="00B608AC"/>
    <w:rsid w:val="00BA75BE"/>
    <w:rsid w:val="00BF55CB"/>
    <w:rsid w:val="00DC57CC"/>
    <w:rsid w:val="00F0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344E52"/>
  <w15:chartTrackingRefBased/>
  <w15:docId w15:val="{EF39780A-F4EB-43C3-93CA-37663FDB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E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EFBA-C353-4EA7-BD78-CD6BC85F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Biggerstaff</dc:creator>
  <cp:keywords/>
  <dc:description/>
  <cp:lastModifiedBy>Biggerstaff, Matthew (CDC/OID/NCIRD)</cp:lastModifiedBy>
  <cp:revision>4</cp:revision>
  <dcterms:created xsi:type="dcterms:W3CDTF">2017-09-25T14:06:00Z</dcterms:created>
  <dcterms:modified xsi:type="dcterms:W3CDTF">2017-09-25T14:35:00Z</dcterms:modified>
</cp:coreProperties>
</file>