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0D" w:rsidRDefault="0086260D" w:rsidP="00743227">
      <w:pPr>
        <w:pStyle w:val="Heading4"/>
        <w:spacing w:before="0" w:line="480" w:lineRule="auto"/>
        <w:rPr>
          <w:rStyle w:val="Heading4Char"/>
          <w:rFonts w:ascii="Calibri" w:hAnsi="Calibri" w:cs="Calibri"/>
          <w:b/>
          <w:bCs/>
          <w:color w:val="auto"/>
        </w:rPr>
      </w:pPr>
      <w:r>
        <w:rPr>
          <w:rStyle w:val="Heading4Char"/>
          <w:rFonts w:ascii="Calibri" w:hAnsi="Calibri" w:cs="Calibri"/>
          <w:b/>
          <w:bCs/>
          <w:color w:val="auto"/>
        </w:rPr>
        <w:t>Supplemental Digital Content</w:t>
      </w:r>
    </w:p>
    <w:p w:rsidR="0086260D" w:rsidRDefault="0086260D" w:rsidP="00F3697D">
      <w:pPr>
        <w:pStyle w:val="Heading4"/>
        <w:spacing w:before="0" w:line="240" w:lineRule="auto"/>
        <w:rPr>
          <w:rStyle w:val="Heading4Char"/>
          <w:rFonts w:ascii="Calibri" w:hAnsi="Calibri" w:cs="Calibri"/>
          <w:b/>
          <w:bCs/>
          <w:color w:val="auto"/>
        </w:rPr>
      </w:pPr>
      <w:r>
        <w:rPr>
          <w:rStyle w:val="Heading4Char"/>
          <w:rFonts w:ascii="Calibri" w:hAnsi="Calibri" w:cs="Calibri"/>
          <w:b/>
          <w:bCs/>
          <w:color w:val="auto"/>
        </w:rPr>
        <w:br w:type="page"/>
      </w:r>
    </w:p>
    <w:p w:rsidR="0086260D" w:rsidRPr="000C5A7B" w:rsidRDefault="0086260D" w:rsidP="003230AE">
      <w:pPr>
        <w:pStyle w:val="Heading4"/>
        <w:spacing w:before="0" w:line="360" w:lineRule="auto"/>
        <w:rPr>
          <w:rFonts w:ascii="Calibri" w:hAnsi="Calibri" w:cs="Calibri"/>
          <w:b/>
          <w:bCs/>
          <w:color w:val="auto"/>
        </w:rPr>
      </w:pPr>
      <w:r>
        <w:rPr>
          <w:rStyle w:val="Heading4Char"/>
          <w:rFonts w:ascii="Calibri" w:hAnsi="Calibri" w:cs="Calibri"/>
          <w:b/>
          <w:bCs/>
          <w:color w:val="auto"/>
        </w:rPr>
        <w:t xml:space="preserve">TABLE 7: COMMUNITY CONNECTEDNESS AND </w:t>
      </w:r>
      <w:r w:rsidRPr="00EF4C5C">
        <w:rPr>
          <w:rStyle w:val="Heading4Char"/>
          <w:rFonts w:ascii="Calibri" w:hAnsi="Calibri" w:cs="Calibri"/>
          <w:b/>
          <w:bCs/>
          <w:color w:val="auto"/>
        </w:rPr>
        <w:t>SUPPORT</w:t>
      </w:r>
    </w:p>
    <w:tbl>
      <w:tblPr>
        <w:tblW w:w="13675" w:type="dxa"/>
        <w:tblInd w:w="-1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85"/>
        <w:gridCol w:w="7920"/>
        <w:gridCol w:w="3870"/>
      </w:tblGrid>
      <w:tr w:rsidR="0086260D" w:rsidRPr="00182C5A">
        <w:trPr>
          <w:trHeight w:val="260"/>
          <w:tblHeader/>
        </w:trPr>
        <w:tc>
          <w:tcPr>
            <w:tcW w:w="1885" w:type="dxa"/>
            <w:tcBorders>
              <w:top w:val="single" w:sz="4" w:space="0" w:color="auto"/>
              <w:bottom w:val="single" w:sz="4" w:space="0" w:color="auto"/>
            </w:tcBorders>
          </w:tcPr>
          <w:p w:rsidR="0086260D" w:rsidRPr="00182C5A" w:rsidRDefault="0086260D" w:rsidP="00182C5A">
            <w:pPr>
              <w:spacing w:after="0" w:line="480" w:lineRule="auto"/>
              <w:rPr>
                <w:b/>
                <w:bCs/>
                <w:sz w:val="20"/>
                <w:szCs w:val="20"/>
              </w:rPr>
            </w:pPr>
            <w:r w:rsidRPr="00182C5A">
              <w:rPr>
                <w:b/>
                <w:bCs/>
                <w:sz w:val="20"/>
                <w:szCs w:val="20"/>
              </w:rPr>
              <w:t>Construct</w:t>
            </w:r>
          </w:p>
        </w:tc>
        <w:tc>
          <w:tcPr>
            <w:tcW w:w="7920" w:type="dxa"/>
            <w:tcBorders>
              <w:top w:val="single" w:sz="4" w:space="0" w:color="auto"/>
              <w:bottom w:val="single" w:sz="4" w:space="0" w:color="auto"/>
            </w:tcBorders>
          </w:tcPr>
          <w:p w:rsidR="0086260D" w:rsidRPr="00182C5A" w:rsidRDefault="0086260D" w:rsidP="00F3697D">
            <w:pPr>
              <w:spacing w:after="0" w:line="480" w:lineRule="auto"/>
              <w:rPr>
                <w:b/>
                <w:bCs/>
                <w:sz w:val="20"/>
                <w:szCs w:val="20"/>
              </w:rPr>
            </w:pPr>
            <w:r w:rsidRPr="00182C5A">
              <w:rPr>
                <w:b/>
                <w:bCs/>
                <w:sz w:val="20"/>
                <w:szCs w:val="20"/>
              </w:rPr>
              <w:t>Indicators</w:t>
            </w:r>
            <w:r w:rsidR="003230AE">
              <w:rPr>
                <w:rStyle w:val="EndnoteReference"/>
                <w:b/>
                <w:bCs/>
                <w:sz w:val="20"/>
                <w:szCs w:val="20"/>
              </w:rPr>
              <w:endnoteReference w:id="1"/>
            </w:r>
          </w:p>
        </w:tc>
        <w:tc>
          <w:tcPr>
            <w:tcW w:w="3870" w:type="dxa"/>
            <w:tcBorders>
              <w:top w:val="single" w:sz="4" w:space="0" w:color="auto"/>
              <w:bottom w:val="single" w:sz="4" w:space="0" w:color="auto"/>
            </w:tcBorders>
          </w:tcPr>
          <w:p w:rsidR="0086260D" w:rsidRPr="00182C5A" w:rsidRDefault="0086260D" w:rsidP="00182C5A">
            <w:pPr>
              <w:spacing w:after="0" w:line="480" w:lineRule="auto"/>
              <w:rPr>
                <w:b/>
                <w:bCs/>
                <w:sz w:val="20"/>
                <w:szCs w:val="20"/>
              </w:rPr>
            </w:pPr>
            <w:r w:rsidRPr="00182C5A">
              <w:rPr>
                <w:b/>
                <w:bCs/>
                <w:sz w:val="20"/>
                <w:szCs w:val="20"/>
              </w:rPr>
              <w:t>Data Source</w:t>
            </w:r>
          </w:p>
        </w:tc>
      </w:tr>
      <w:tr w:rsidR="0086260D" w:rsidRPr="00182C5A">
        <w:trPr>
          <w:trHeight w:val="343"/>
        </w:trPr>
        <w:tc>
          <w:tcPr>
            <w:tcW w:w="1885" w:type="dxa"/>
            <w:tcBorders>
              <w:top w:val="nil"/>
            </w:tcBorders>
          </w:tcPr>
          <w:p w:rsidR="0086260D" w:rsidRPr="00182C5A" w:rsidRDefault="0086260D" w:rsidP="00182C5A">
            <w:pPr>
              <w:spacing w:after="0" w:line="240" w:lineRule="auto"/>
              <w:rPr>
                <w:color w:val="000000"/>
                <w:sz w:val="20"/>
                <w:szCs w:val="20"/>
              </w:rPr>
            </w:pPr>
            <w:r w:rsidRPr="00182C5A">
              <w:rPr>
                <w:color w:val="000000"/>
                <w:sz w:val="20"/>
                <w:szCs w:val="20"/>
              </w:rPr>
              <w:t>Civic engagement</w:t>
            </w:r>
            <w:r w:rsidRPr="00182C5A">
              <w:rPr>
                <w:noProof/>
                <w:color w:val="000000"/>
                <w:sz w:val="20"/>
                <w:szCs w:val="20"/>
                <w:vertAlign w:val="superscript"/>
              </w:rPr>
              <w:t>139</w:t>
            </w:r>
          </w:p>
        </w:tc>
        <w:tc>
          <w:tcPr>
            <w:tcW w:w="7920" w:type="dxa"/>
            <w:tcBorders>
              <w:top w:val="nil"/>
              <w:bottom w:val="nil"/>
            </w:tcBorders>
          </w:tcPr>
          <w:p w:rsidR="0086260D" w:rsidRPr="00182C5A" w:rsidRDefault="0086260D" w:rsidP="00182C5A">
            <w:pPr>
              <w:spacing w:after="0" w:line="480" w:lineRule="auto"/>
              <w:rPr>
                <w:color w:val="000000"/>
                <w:sz w:val="20"/>
                <w:szCs w:val="20"/>
              </w:rPr>
            </w:pPr>
            <w:r w:rsidRPr="00182C5A">
              <w:rPr>
                <w:color w:val="000000"/>
                <w:sz w:val="20"/>
                <w:szCs w:val="20"/>
                <w:u w:val="single"/>
              </w:rPr>
              <w:t>Electoral participation</w:t>
            </w:r>
            <w:r w:rsidRPr="00182C5A">
              <w:rPr>
                <w:color w:val="000000"/>
                <w:sz w:val="20"/>
                <w:szCs w:val="20"/>
              </w:rPr>
              <w:t xml:space="preserve">: Fraction of the eligible population who voted; </w:t>
            </w:r>
            <w:r w:rsidRPr="00182C5A">
              <w:rPr>
                <w:color w:val="000000"/>
                <w:sz w:val="20"/>
                <w:szCs w:val="20"/>
              </w:rPr>
              <w:br/>
            </w:r>
            <w:r w:rsidRPr="00182C5A">
              <w:rPr>
                <w:color w:val="000000"/>
                <w:sz w:val="20"/>
                <w:szCs w:val="20"/>
                <w:u w:val="single"/>
              </w:rPr>
              <w:t>Elk membership</w:t>
            </w:r>
            <w:r w:rsidRPr="00182C5A">
              <w:rPr>
                <w:color w:val="000000"/>
                <w:sz w:val="20"/>
                <w:szCs w:val="20"/>
              </w:rPr>
              <w:t>: Number of members per 100,000 resident population</w:t>
            </w:r>
          </w:p>
        </w:tc>
        <w:tc>
          <w:tcPr>
            <w:tcW w:w="3870" w:type="dxa"/>
            <w:tcBorders>
              <w:top w:val="nil"/>
              <w:bottom w:val="nil"/>
            </w:tcBorders>
          </w:tcPr>
          <w:p w:rsidR="0086260D" w:rsidRPr="00182C5A" w:rsidRDefault="0086260D" w:rsidP="00182C5A">
            <w:pPr>
              <w:spacing w:after="0" w:line="480" w:lineRule="auto"/>
              <w:rPr>
                <w:color w:val="000000"/>
                <w:sz w:val="20"/>
                <w:szCs w:val="20"/>
              </w:rPr>
            </w:pPr>
            <w:r w:rsidRPr="00182C5A">
              <w:rPr>
                <w:color w:val="000000"/>
                <w:sz w:val="20"/>
                <w:szCs w:val="20"/>
              </w:rPr>
              <w:t>Election Data Book &amp; Elks Membership data</w:t>
            </w:r>
          </w:p>
        </w:tc>
      </w:tr>
      <w:tr w:rsidR="0086260D" w:rsidRPr="00182C5A">
        <w:trPr>
          <w:trHeight w:val="343"/>
        </w:trPr>
        <w:tc>
          <w:tcPr>
            <w:tcW w:w="1885" w:type="dxa"/>
          </w:tcPr>
          <w:p w:rsidR="0086260D" w:rsidRPr="00182C5A" w:rsidRDefault="0086260D" w:rsidP="00182C5A">
            <w:pPr>
              <w:spacing w:after="0" w:line="240" w:lineRule="auto"/>
              <w:rPr>
                <w:color w:val="000000"/>
                <w:sz w:val="20"/>
                <w:szCs w:val="20"/>
              </w:rPr>
            </w:pPr>
            <w:r w:rsidRPr="00182C5A">
              <w:rPr>
                <w:color w:val="000000"/>
                <w:sz w:val="20"/>
                <w:szCs w:val="20"/>
              </w:rPr>
              <w:t>Collective efficacy</w:t>
            </w:r>
            <w:r w:rsidRPr="00182C5A">
              <w:rPr>
                <w:noProof/>
                <w:color w:val="000000"/>
                <w:sz w:val="20"/>
                <w:szCs w:val="20"/>
                <w:vertAlign w:val="superscript"/>
              </w:rPr>
              <w:t>140</w:t>
            </w:r>
          </w:p>
        </w:tc>
        <w:tc>
          <w:tcPr>
            <w:tcW w:w="7920" w:type="dxa"/>
            <w:tcBorders>
              <w:top w:val="nil"/>
              <w:bottom w:val="nil"/>
              <w:right w:val="nil"/>
            </w:tcBorders>
          </w:tcPr>
          <w:p w:rsidR="0086260D" w:rsidRPr="00182C5A" w:rsidRDefault="0086260D" w:rsidP="00182C5A">
            <w:pPr>
              <w:spacing w:after="0" w:line="480" w:lineRule="auto"/>
              <w:rPr>
                <w:color w:val="000000"/>
                <w:sz w:val="20"/>
                <w:szCs w:val="20"/>
              </w:rPr>
            </w:pPr>
            <w:r w:rsidRPr="00182C5A">
              <w:rPr>
                <w:color w:val="000000"/>
                <w:sz w:val="20"/>
                <w:szCs w:val="20"/>
              </w:rPr>
              <w:t>Index of: the percentage of foreign-born residents, the percentage of linguistic isolation, and the percentage of renters in an area</w:t>
            </w:r>
          </w:p>
        </w:tc>
        <w:tc>
          <w:tcPr>
            <w:tcW w:w="3870" w:type="dxa"/>
            <w:tcBorders>
              <w:top w:val="nil"/>
              <w:left w:val="nil"/>
              <w:bottom w:val="nil"/>
            </w:tcBorders>
          </w:tcPr>
          <w:p w:rsidR="0086260D" w:rsidRPr="00182C5A" w:rsidRDefault="0086260D" w:rsidP="00182C5A">
            <w:pPr>
              <w:spacing w:after="0" w:line="480" w:lineRule="auto"/>
              <w:rPr>
                <w:color w:val="000000"/>
                <w:sz w:val="20"/>
                <w:szCs w:val="20"/>
              </w:rPr>
            </w:pPr>
            <w:r w:rsidRPr="00182C5A">
              <w:rPr>
                <w:color w:val="000000"/>
                <w:sz w:val="20"/>
                <w:szCs w:val="20"/>
              </w:rPr>
              <w:t>U.S. Census</w:t>
            </w:r>
          </w:p>
        </w:tc>
      </w:tr>
      <w:tr w:rsidR="0086260D" w:rsidRPr="00182C5A">
        <w:trPr>
          <w:trHeight w:val="343"/>
        </w:trPr>
        <w:tc>
          <w:tcPr>
            <w:tcW w:w="1885" w:type="dxa"/>
          </w:tcPr>
          <w:p w:rsidR="0086260D" w:rsidRPr="00182C5A" w:rsidRDefault="0086260D" w:rsidP="00182C5A">
            <w:pPr>
              <w:spacing w:after="0" w:line="480" w:lineRule="auto"/>
              <w:rPr>
                <w:color w:val="000000"/>
                <w:sz w:val="20"/>
                <w:szCs w:val="20"/>
              </w:rPr>
            </w:pPr>
            <w:r w:rsidRPr="00182C5A">
              <w:rPr>
                <w:color w:val="000000"/>
                <w:sz w:val="20"/>
                <w:szCs w:val="20"/>
              </w:rPr>
              <w:t>Communitarian social capital</w:t>
            </w:r>
            <w:bookmarkStart w:id="0" w:name="_Ref482975096"/>
            <w:r w:rsidRPr="00182C5A">
              <w:rPr>
                <w:noProof/>
                <w:color w:val="000000"/>
                <w:sz w:val="20"/>
                <w:szCs w:val="20"/>
                <w:vertAlign w:val="superscript"/>
              </w:rPr>
              <w:t>141</w:t>
            </w:r>
            <w:bookmarkEnd w:id="0"/>
          </w:p>
        </w:tc>
        <w:tc>
          <w:tcPr>
            <w:tcW w:w="7920" w:type="dxa"/>
            <w:tcBorders>
              <w:top w:val="nil"/>
            </w:tcBorders>
          </w:tcPr>
          <w:p w:rsidR="0086260D" w:rsidRPr="00182C5A" w:rsidRDefault="0086260D" w:rsidP="00182C5A">
            <w:pPr>
              <w:spacing w:after="0" w:line="480" w:lineRule="auto"/>
              <w:rPr>
                <w:color w:val="000000"/>
                <w:sz w:val="20"/>
                <w:szCs w:val="20"/>
              </w:rPr>
            </w:pPr>
            <w:r w:rsidRPr="00182C5A">
              <w:rPr>
                <w:color w:val="000000"/>
                <w:sz w:val="20"/>
                <w:szCs w:val="20"/>
              </w:rPr>
              <w:t>Bonding relationship with community; bridging relationship between community &amp; government; bridging relationship between community &amp; private developer</w:t>
            </w:r>
          </w:p>
        </w:tc>
        <w:tc>
          <w:tcPr>
            <w:tcW w:w="3870" w:type="dxa"/>
            <w:tcBorders>
              <w:top w:val="nil"/>
            </w:tcBorders>
          </w:tcPr>
          <w:p w:rsidR="0086260D" w:rsidRPr="00182C5A" w:rsidRDefault="0086260D" w:rsidP="00182C5A">
            <w:pPr>
              <w:spacing w:after="0" w:line="480" w:lineRule="auto"/>
              <w:rPr>
                <w:color w:val="000000"/>
                <w:sz w:val="20"/>
                <w:szCs w:val="20"/>
              </w:rPr>
            </w:pPr>
            <w:r w:rsidRPr="00182C5A">
              <w:rPr>
                <w:color w:val="000000"/>
                <w:sz w:val="20"/>
                <w:szCs w:val="20"/>
              </w:rPr>
              <w:t>Medical archives, historical accounts, past and present newspaper accounts</w:t>
            </w:r>
          </w:p>
        </w:tc>
      </w:tr>
      <w:tr w:rsidR="0086260D" w:rsidRPr="00182C5A">
        <w:trPr>
          <w:trHeight w:val="548"/>
        </w:trPr>
        <w:tc>
          <w:tcPr>
            <w:tcW w:w="1885" w:type="dxa"/>
          </w:tcPr>
          <w:p w:rsidR="0086260D" w:rsidRPr="00182C5A" w:rsidRDefault="0086260D" w:rsidP="00182C5A">
            <w:pPr>
              <w:spacing w:after="0" w:line="480" w:lineRule="auto"/>
              <w:rPr>
                <w:sz w:val="20"/>
                <w:szCs w:val="20"/>
              </w:rPr>
            </w:pPr>
            <w:r w:rsidRPr="00182C5A">
              <w:rPr>
                <w:sz w:val="20"/>
                <w:szCs w:val="20"/>
              </w:rPr>
              <w:t>Informal social control</w:t>
            </w:r>
            <w:r w:rsidRPr="00182C5A">
              <w:rPr>
                <w:noProof/>
                <w:sz w:val="20"/>
                <w:szCs w:val="20"/>
                <w:vertAlign w:val="superscript"/>
              </w:rPr>
              <w:t>142</w:t>
            </w:r>
          </w:p>
        </w:tc>
        <w:tc>
          <w:tcPr>
            <w:tcW w:w="7920" w:type="dxa"/>
          </w:tcPr>
          <w:p w:rsidR="0086260D" w:rsidRPr="00182C5A" w:rsidRDefault="0086260D" w:rsidP="00182C5A">
            <w:pPr>
              <w:spacing w:after="0" w:line="480" w:lineRule="auto"/>
              <w:rPr>
                <w:sz w:val="20"/>
                <w:szCs w:val="20"/>
              </w:rPr>
            </w:pPr>
            <w:r w:rsidRPr="00182C5A">
              <w:rPr>
                <w:sz w:val="20"/>
                <w:szCs w:val="20"/>
              </w:rPr>
              <w:t>Ratio of adults (persons aged 18 years and older) to children (persons aged 17 years and younger)</w:t>
            </w:r>
          </w:p>
        </w:tc>
        <w:tc>
          <w:tcPr>
            <w:tcW w:w="3870" w:type="dxa"/>
          </w:tcPr>
          <w:p w:rsidR="0086260D" w:rsidRPr="00182C5A" w:rsidRDefault="0086260D" w:rsidP="00182C5A">
            <w:pPr>
              <w:spacing w:after="0" w:line="480" w:lineRule="auto"/>
              <w:rPr>
                <w:sz w:val="20"/>
                <w:szCs w:val="20"/>
              </w:rPr>
            </w:pPr>
            <w:r w:rsidRPr="00182C5A">
              <w:rPr>
                <w:sz w:val="20"/>
                <w:szCs w:val="20"/>
              </w:rPr>
              <w:t>U.S. Census</w:t>
            </w:r>
          </w:p>
        </w:tc>
      </w:tr>
      <w:tr w:rsidR="0086260D" w:rsidRPr="00182C5A">
        <w:trPr>
          <w:trHeight w:val="476"/>
        </w:trPr>
        <w:tc>
          <w:tcPr>
            <w:tcW w:w="1885" w:type="dxa"/>
          </w:tcPr>
          <w:p w:rsidR="0086260D" w:rsidRPr="00182C5A" w:rsidRDefault="0086260D" w:rsidP="00182C5A">
            <w:pPr>
              <w:spacing w:after="0" w:line="480" w:lineRule="auto"/>
              <w:rPr>
                <w:color w:val="000000"/>
                <w:sz w:val="20"/>
                <w:szCs w:val="20"/>
              </w:rPr>
            </w:pPr>
            <w:r w:rsidRPr="00182C5A">
              <w:rPr>
                <w:color w:val="000000"/>
                <w:sz w:val="20"/>
                <w:szCs w:val="20"/>
              </w:rPr>
              <w:t>Institutional social capital</w:t>
            </w:r>
            <w:r w:rsidRPr="00182C5A">
              <w:rPr>
                <w:noProof/>
                <w:color w:val="000000"/>
                <w:sz w:val="20"/>
                <w:szCs w:val="20"/>
                <w:vertAlign w:val="superscript"/>
              </w:rPr>
              <w:t>141</w:t>
            </w:r>
          </w:p>
        </w:tc>
        <w:tc>
          <w:tcPr>
            <w:tcW w:w="7920" w:type="dxa"/>
          </w:tcPr>
          <w:p w:rsidR="0086260D" w:rsidRPr="00182C5A" w:rsidRDefault="0086260D" w:rsidP="00182C5A">
            <w:pPr>
              <w:spacing w:after="0" w:line="480" w:lineRule="auto"/>
              <w:rPr>
                <w:color w:val="000000"/>
                <w:sz w:val="20"/>
                <w:szCs w:val="20"/>
              </w:rPr>
            </w:pPr>
            <w:r w:rsidRPr="00182C5A">
              <w:rPr>
                <w:color w:val="000000"/>
                <w:sz w:val="20"/>
                <w:szCs w:val="20"/>
              </w:rPr>
              <w:t>Government support of community housing needs, bridging network between government and private developer; private developer support of community housing needs; ratio of community organizations to population size; relationship between community organizations and institutional entities [accountability vs acceptance]; trust between residents and community organizations; relationship between community organizations and the government [institutional and political support for community residents’ political and economic needs]</w:t>
            </w:r>
          </w:p>
        </w:tc>
        <w:tc>
          <w:tcPr>
            <w:tcW w:w="3870" w:type="dxa"/>
          </w:tcPr>
          <w:p w:rsidR="0086260D" w:rsidRPr="00182C5A" w:rsidRDefault="0086260D" w:rsidP="00182C5A">
            <w:pPr>
              <w:spacing w:after="0" w:line="480" w:lineRule="auto"/>
              <w:rPr>
                <w:color w:val="000000"/>
                <w:sz w:val="20"/>
                <w:szCs w:val="20"/>
              </w:rPr>
            </w:pPr>
            <w:r w:rsidRPr="00182C5A">
              <w:rPr>
                <w:color w:val="000000"/>
                <w:sz w:val="20"/>
                <w:szCs w:val="20"/>
              </w:rPr>
              <w:t>Medical archives, historical accounts, past and present newspaper accounts</w:t>
            </w:r>
          </w:p>
        </w:tc>
      </w:tr>
      <w:tr w:rsidR="0086260D" w:rsidRPr="00182C5A">
        <w:trPr>
          <w:trHeight w:val="476"/>
        </w:trPr>
        <w:tc>
          <w:tcPr>
            <w:tcW w:w="1885" w:type="dxa"/>
          </w:tcPr>
          <w:p w:rsidR="0086260D" w:rsidRPr="00182C5A" w:rsidRDefault="0086260D" w:rsidP="00182C5A">
            <w:pPr>
              <w:spacing w:after="0" w:line="480" w:lineRule="auto"/>
              <w:rPr>
                <w:color w:val="000000"/>
                <w:sz w:val="20"/>
                <w:szCs w:val="20"/>
              </w:rPr>
            </w:pPr>
            <w:r w:rsidRPr="00182C5A">
              <w:rPr>
                <w:color w:val="000000"/>
                <w:sz w:val="20"/>
                <w:szCs w:val="20"/>
              </w:rPr>
              <w:t>Neighborhood aesthetics</w:t>
            </w:r>
            <w:r w:rsidRPr="00182C5A">
              <w:rPr>
                <w:noProof/>
                <w:color w:val="000000"/>
                <w:sz w:val="20"/>
                <w:szCs w:val="20"/>
                <w:vertAlign w:val="superscript"/>
              </w:rPr>
              <w:t>143</w:t>
            </w:r>
          </w:p>
        </w:tc>
        <w:tc>
          <w:tcPr>
            <w:tcW w:w="7920" w:type="dxa"/>
          </w:tcPr>
          <w:p w:rsidR="0086260D" w:rsidRPr="00182C5A" w:rsidRDefault="0086260D" w:rsidP="00182C5A">
            <w:pPr>
              <w:spacing w:after="0" w:line="480" w:lineRule="auto"/>
              <w:rPr>
                <w:color w:val="000000"/>
                <w:sz w:val="20"/>
                <w:szCs w:val="20"/>
              </w:rPr>
            </w:pPr>
            <w:r w:rsidRPr="00182C5A">
              <w:rPr>
                <w:color w:val="000000"/>
                <w:sz w:val="20"/>
                <w:szCs w:val="20"/>
                <w:u w:val="single"/>
              </w:rPr>
              <w:t>Sidewalk cafes</w:t>
            </w:r>
            <w:r w:rsidRPr="00182C5A">
              <w:rPr>
                <w:color w:val="000000"/>
                <w:sz w:val="20"/>
                <w:szCs w:val="20"/>
              </w:rPr>
              <w:t xml:space="preserve">: Locations of one or more legally operating sidewalk cafés by zip code; </w:t>
            </w:r>
          </w:p>
          <w:p w:rsidR="0086260D" w:rsidRPr="00182C5A" w:rsidRDefault="0086260D" w:rsidP="00182C5A">
            <w:pPr>
              <w:spacing w:after="0" w:line="480" w:lineRule="auto"/>
              <w:rPr>
                <w:color w:val="000000"/>
                <w:sz w:val="20"/>
                <w:szCs w:val="20"/>
              </w:rPr>
            </w:pPr>
            <w:r w:rsidRPr="00182C5A">
              <w:rPr>
                <w:color w:val="000000"/>
                <w:sz w:val="20"/>
                <w:szCs w:val="20"/>
                <w:u w:val="single"/>
              </w:rPr>
              <w:t>Street trees</w:t>
            </w:r>
            <w:r w:rsidRPr="00182C5A">
              <w:rPr>
                <w:color w:val="000000"/>
                <w:sz w:val="20"/>
                <w:szCs w:val="20"/>
              </w:rPr>
              <w:t xml:space="preserve">: Density of street trees per square kilometer; </w:t>
            </w:r>
          </w:p>
          <w:p w:rsidR="0086260D" w:rsidRPr="00182C5A" w:rsidRDefault="0086260D" w:rsidP="00182C5A">
            <w:pPr>
              <w:spacing w:after="0" w:line="480" w:lineRule="auto"/>
              <w:rPr>
                <w:color w:val="000000"/>
                <w:sz w:val="20"/>
                <w:szCs w:val="20"/>
              </w:rPr>
            </w:pPr>
            <w:r w:rsidRPr="00182C5A">
              <w:rPr>
                <w:color w:val="000000"/>
                <w:sz w:val="20"/>
                <w:szCs w:val="20"/>
                <w:u w:val="single"/>
              </w:rPr>
              <w:t>Clean streets</w:t>
            </w:r>
            <w:r w:rsidRPr="00182C5A">
              <w:rPr>
                <w:color w:val="000000"/>
                <w:sz w:val="20"/>
                <w:szCs w:val="20"/>
              </w:rPr>
              <w:t xml:space="preserve">: Proportion of streets rated as acceptably clean (as informed by the Department </w:t>
            </w:r>
            <w:r w:rsidRPr="00182C5A">
              <w:rPr>
                <w:color w:val="000000"/>
                <w:sz w:val="20"/>
                <w:szCs w:val="20"/>
              </w:rPr>
              <w:lastRenderedPageBreak/>
              <w:t>of Sanitation’s standards and public surveys)</w:t>
            </w:r>
          </w:p>
        </w:tc>
        <w:tc>
          <w:tcPr>
            <w:tcW w:w="3870" w:type="dxa"/>
          </w:tcPr>
          <w:p w:rsidR="0086260D" w:rsidRPr="00182C5A" w:rsidRDefault="0086260D" w:rsidP="00182C5A">
            <w:pPr>
              <w:spacing w:after="0" w:line="480" w:lineRule="auto"/>
              <w:rPr>
                <w:color w:val="000000"/>
                <w:sz w:val="20"/>
                <w:szCs w:val="20"/>
              </w:rPr>
            </w:pPr>
            <w:r w:rsidRPr="00182C5A">
              <w:rPr>
                <w:color w:val="000000"/>
                <w:sz w:val="20"/>
                <w:szCs w:val="20"/>
              </w:rPr>
              <w:lastRenderedPageBreak/>
              <w:t xml:space="preserve">NYC Department of Consumer Affairs, NYC Department of Parks &amp; Recreation, &amp; Project Scorecard conducted by the Mayor’s Office </w:t>
            </w:r>
            <w:r w:rsidRPr="00182C5A">
              <w:rPr>
                <w:color w:val="000000"/>
                <w:sz w:val="20"/>
                <w:szCs w:val="20"/>
              </w:rPr>
              <w:lastRenderedPageBreak/>
              <w:t>of Operations &amp; Department of Sanitation</w:t>
            </w:r>
          </w:p>
        </w:tc>
      </w:tr>
      <w:tr w:rsidR="0086260D" w:rsidRPr="00182C5A">
        <w:trPr>
          <w:trHeight w:val="476"/>
        </w:trPr>
        <w:tc>
          <w:tcPr>
            <w:tcW w:w="1885" w:type="dxa"/>
          </w:tcPr>
          <w:p w:rsidR="0086260D" w:rsidRPr="00182C5A" w:rsidRDefault="0086260D" w:rsidP="00182C5A">
            <w:pPr>
              <w:spacing w:after="0" w:line="480" w:lineRule="auto"/>
              <w:rPr>
                <w:sz w:val="20"/>
                <w:szCs w:val="20"/>
              </w:rPr>
            </w:pPr>
            <w:r w:rsidRPr="00182C5A">
              <w:rPr>
                <w:sz w:val="20"/>
                <w:szCs w:val="20"/>
              </w:rPr>
              <w:lastRenderedPageBreak/>
              <w:t>Neighborhood stability</w:t>
            </w:r>
            <w:r w:rsidRPr="00182C5A">
              <w:rPr>
                <w:noProof/>
                <w:sz w:val="20"/>
                <w:szCs w:val="20"/>
                <w:vertAlign w:val="superscript"/>
              </w:rPr>
              <w:t>81</w:t>
            </w:r>
          </w:p>
        </w:tc>
        <w:tc>
          <w:tcPr>
            <w:tcW w:w="7920" w:type="dxa"/>
          </w:tcPr>
          <w:p w:rsidR="0086260D" w:rsidRPr="00182C5A" w:rsidRDefault="0086260D" w:rsidP="00182C5A">
            <w:pPr>
              <w:spacing w:after="0" w:line="480" w:lineRule="auto"/>
              <w:rPr>
                <w:sz w:val="20"/>
                <w:szCs w:val="20"/>
              </w:rPr>
            </w:pPr>
            <w:r w:rsidRPr="00182C5A">
              <w:rPr>
                <w:sz w:val="20"/>
                <w:szCs w:val="20"/>
              </w:rPr>
              <w:t>Median number of years a householder has lived in the unit within the census tract</w:t>
            </w:r>
          </w:p>
        </w:tc>
        <w:tc>
          <w:tcPr>
            <w:tcW w:w="3870" w:type="dxa"/>
          </w:tcPr>
          <w:p w:rsidR="0086260D" w:rsidRPr="00182C5A" w:rsidRDefault="0086260D" w:rsidP="00182C5A">
            <w:pPr>
              <w:spacing w:after="0" w:line="480" w:lineRule="auto"/>
              <w:rPr>
                <w:sz w:val="20"/>
                <w:szCs w:val="20"/>
              </w:rPr>
            </w:pPr>
            <w:r w:rsidRPr="00182C5A">
              <w:rPr>
                <w:sz w:val="20"/>
                <w:szCs w:val="20"/>
              </w:rPr>
              <w:t>U.S. Census</w:t>
            </w:r>
          </w:p>
        </w:tc>
      </w:tr>
      <w:tr w:rsidR="0086260D" w:rsidRPr="00182C5A">
        <w:trPr>
          <w:trHeight w:val="476"/>
        </w:trPr>
        <w:tc>
          <w:tcPr>
            <w:tcW w:w="1885" w:type="dxa"/>
          </w:tcPr>
          <w:p w:rsidR="0086260D" w:rsidRPr="00182C5A" w:rsidRDefault="0086260D" w:rsidP="00182C5A">
            <w:pPr>
              <w:spacing w:after="0" w:line="480" w:lineRule="auto"/>
              <w:rPr>
                <w:sz w:val="20"/>
                <w:szCs w:val="20"/>
              </w:rPr>
            </w:pPr>
            <w:r w:rsidRPr="00182C5A">
              <w:rPr>
                <w:sz w:val="20"/>
                <w:szCs w:val="20"/>
              </w:rPr>
              <w:t>Residential stability</w:t>
            </w:r>
            <w:r w:rsidRPr="00182C5A">
              <w:rPr>
                <w:noProof/>
                <w:sz w:val="20"/>
                <w:szCs w:val="20"/>
                <w:vertAlign w:val="superscript"/>
              </w:rPr>
              <w:t>144, 145</w:t>
            </w:r>
          </w:p>
        </w:tc>
        <w:tc>
          <w:tcPr>
            <w:tcW w:w="7920" w:type="dxa"/>
          </w:tcPr>
          <w:p w:rsidR="0086260D" w:rsidRPr="00182C5A" w:rsidRDefault="0086260D" w:rsidP="00182C5A">
            <w:pPr>
              <w:spacing w:after="0" w:line="480" w:lineRule="auto"/>
              <w:rPr>
                <w:sz w:val="20"/>
                <w:szCs w:val="20"/>
              </w:rPr>
            </w:pPr>
            <w:r w:rsidRPr="00182C5A">
              <w:rPr>
                <w:sz w:val="20"/>
                <w:szCs w:val="20"/>
              </w:rPr>
              <w:t>Average number of years residents have lived in neighborhood</w:t>
            </w:r>
          </w:p>
        </w:tc>
        <w:tc>
          <w:tcPr>
            <w:tcW w:w="3870" w:type="dxa"/>
          </w:tcPr>
          <w:p w:rsidR="0086260D" w:rsidRPr="00182C5A" w:rsidRDefault="0086260D" w:rsidP="00182C5A">
            <w:pPr>
              <w:spacing w:after="0" w:line="480" w:lineRule="auto"/>
              <w:rPr>
                <w:sz w:val="20"/>
                <w:szCs w:val="20"/>
              </w:rPr>
            </w:pPr>
            <w:r w:rsidRPr="00182C5A">
              <w:rPr>
                <w:sz w:val="20"/>
                <w:szCs w:val="20"/>
              </w:rPr>
              <w:t>U.S. Census</w:t>
            </w:r>
          </w:p>
        </w:tc>
      </w:tr>
      <w:tr w:rsidR="0086260D" w:rsidRPr="00182C5A">
        <w:trPr>
          <w:trHeight w:val="476"/>
        </w:trPr>
        <w:tc>
          <w:tcPr>
            <w:tcW w:w="1885" w:type="dxa"/>
          </w:tcPr>
          <w:p w:rsidR="0086260D" w:rsidRPr="00182C5A" w:rsidRDefault="0086260D" w:rsidP="00182C5A">
            <w:pPr>
              <w:spacing w:after="0" w:line="480" w:lineRule="auto"/>
              <w:rPr>
                <w:sz w:val="20"/>
                <w:szCs w:val="20"/>
              </w:rPr>
            </w:pPr>
            <w:r w:rsidRPr="00182C5A">
              <w:rPr>
                <w:sz w:val="20"/>
                <w:szCs w:val="20"/>
              </w:rPr>
              <w:t>Residential stability</w:t>
            </w:r>
            <w:r w:rsidRPr="00182C5A">
              <w:rPr>
                <w:noProof/>
                <w:sz w:val="20"/>
                <w:szCs w:val="20"/>
                <w:vertAlign w:val="superscript"/>
              </w:rPr>
              <w:t>146</w:t>
            </w:r>
            <w:r w:rsidRPr="00182C5A">
              <w:rPr>
                <w:sz w:val="20"/>
                <w:szCs w:val="20"/>
              </w:rPr>
              <w:t xml:space="preserve"> </w:t>
            </w:r>
          </w:p>
        </w:tc>
        <w:tc>
          <w:tcPr>
            <w:tcW w:w="7920" w:type="dxa"/>
          </w:tcPr>
          <w:p w:rsidR="0086260D" w:rsidRPr="00182C5A" w:rsidRDefault="0086260D" w:rsidP="00182C5A">
            <w:pPr>
              <w:spacing w:after="0" w:line="480" w:lineRule="auto"/>
              <w:rPr>
                <w:sz w:val="20"/>
                <w:szCs w:val="20"/>
              </w:rPr>
            </w:pPr>
            <w:r w:rsidRPr="00182C5A">
              <w:rPr>
                <w:sz w:val="20"/>
                <w:szCs w:val="20"/>
              </w:rPr>
              <w:t>Index of: Percentage change in total number of households between 1990 and 2000 (reverse-coded), Percentage of the population over age 5 who lived in the same house a year earlier</w:t>
            </w:r>
          </w:p>
        </w:tc>
        <w:tc>
          <w:tcPr>
            <w:tcW w:w="3870" w:type="dxa"/>
          </w:tcPr>
          <w:p w:rsidR="0086260D" w:rsidRPr="00182C5A" w:rsidRDefault="0086260D" w:rsidP="00182C5A">
            <w:pPr>
              <w:spacing w:after="0" w:line="480" w:lineRule="auto"/>
              <w:rPr>
                <w:sz w:val="20"/>
                <w:szCs w:val="20"/>
              </w:rPr>
            </w:pPr>
            <w:r w:rsidRPr="00182C5A">
              <w:rPr>
                <w:sz w:val="20"/>
                <w:szCs w:val="20"/>
              </w:rPr>
              <w:t>U.S. Census</w:t>
            </w:r>
          </w:p>
        </w:tc>
      </w:tr>
      <w:tr w:rsidR="0086260D" w:rsidRPr="00182C5A">
        <w:trPr>
          <w:trHeight w:val="476"/>
        </w:trPr>
        <w:tc>
          <w:tcPr>
            <w:tcW w:w="1885" w:type="dxa"/>
          </w:tcPr>
          <w:p w:rsidR="0086260D" w:rsidRPr="00182C5A" w:rsidRDefault="0086260D" w:rsidP="00182C5A">
            <w:pPr>
              <w:spacing w:after="0" w:line="240" w:lineRule="auto"/>
              <w:rPr>
                <w:color w:val="000000"/>
                <w:sz w:val="20"/>
                <w:szCs w:val="20"/>
              </w:rPr>
            </w:pPr>
            <w:r w:rsidRPr="00182C5A">
              <w:rPr>
                <w:color w:val="000000"/>
                <w:sz w:val="20"/>
                <w:szCs w:val="20"/>
              </w:rPr>
              <w:t>Social capital</w:t>
            </w:r>
            <w:r w:rsidRPr="00182C5A">
              <w:rPr>
                <w:noProof/>
                <w:color w:val="000000"/>
                <w:sz w:val="20"/>
                <w:szCs w:val="20"/>
                <w:vertAlign w:val="superscript"/>
              </w:rPr>
              <w:t>44</w:t>
            </w:r>
          </w:p>
        </w:tc>
        <w:tc>
          <w:tcPr>
            <w:tcW w:w="7920" w:type="dxa"/>
          </w:tcPr>
          <w:p w:rsidR="0086260D" w:rsidRPr="00182C5A" w:rsidRDefault="0086260D" w:rsidP="00182C5A">
            <w:pPr>
              <w:spacing w:after="0" w:line="480" w:lineRule="auto"/>
              <w:rPr>
                <w:color w:val="000000"/>
                <w:sz w:val="20"/>
                <w:szCs w:val="20"/>
              </w:rPr>
            </w:pPr>
            <w:r w:rsidRPr="00182C5A">
              <w:rPr>
                <w:color w:val="000000"/>
                <w:sz w:val="20"/>
                <w:szCs w:val="20"/>
              </w:rPr>
              <w:t>Index of: Census response rate (U.S. Census), associational density per capita (CBP), tax-exempt non-profit organizations per capita (NCCS), turnout rates for an election (EAC)</w:t>
            </w:r>
          </w:p>
        </w:tc>
        <w:tc>
          <w:tcPr>
            <w:tcW w:w="3870" w:type="dxa"/>
          </w:tcPr>
          <w:p w:rsidR="0086260D" w:rsidRPr="00182C5A" w:rsidRDefault="0086260D" w:rsidP="00182C5A">
            <w:pPr>
              <w:spacing w:after="0" w:line="480" w:lineRule="auto"/>
              <w:rPr>
                <w:color w:val="000000"/>
                <w:sz w:val="20"/>
                <w:szCs w:val="20"/>
              </w:rPr>
            </w:pPr>
            <w:r w:rsidRPr="00182C5A">
              <w:rPr>
                <w:color w:val="000000"/>
                <w:sz w:val="20"/>
                <w:szCs w:val="20"/>
              </w:rPr>
              <w:t>U.S. Census, County Business Patterns, National Center for Charitable Statistics, &amp; U.S. Election Assistance Commission</w:t>
            </w:r>
          </w:p>
        </w:tc>
      </w:tr>
      <w:tr w:rsidR="0086260D" w:rsidRPr="00182C5A" w:rsidTr="003230AE">
        <w:trPr>
          <w:trHeight w:val="476"/>
        </w:trPr>
        <w:tc>
          <w:tcPr>
            <w:tcW w:w="1885" w:type="dxa"/>
          </w:tcPr>
          <w:p w:rsidR="0086260D" w:rsidRPr="00182C5A" w:rsidRDefault="0086260D" w:rsidP="00182C5A">
            <w:pPr>
              <w:spacing w:after="0" w:line="480" w:lineRule="auto"/>
              <w:rPr>
                <w:sz w:val="20"/>
                <w:szCs w:val="20"/>
              </w:rPr>
            </w:pPr>
            <w:r w:rsidRPr="00182C5A">
              <w:rPr>
                <w:sz w:val="20"/>
                <w:szCs w:val="20"/>
              </w:rPr>
              <w:t>Social disorganization/ Social control</w:t>
            </w:r>
            <w:r w:rsidRPr="00182C5A">
              <w:rPr>
                <w:noProof/>
                <w:sz w:val="20"/>
                <w:szCs w:val="20"/>
                <w:vertAlign w:val="superscript"/>
              </w:rPr>
              <w:t>40</w:t>
            </w:r>
          </w:p>
        </w:tc>
        <w:tc>
          <w:tcPr>
            <w:tcW w:w="7920" w:type="dxa"/>
            <w:tcBorders>
              <w:bottom w:val="nil"/>
            </w:tcBorders>
          </w:tcPr>
          <w:p w:rsidR="0086260D" w:rsidRPr="00182C5A" w:rsidRDefault="0086260D" w:rsidP="00182C5A">
            <w:pPr>
              <w:spacing w:after="0" w:line="480" w:lineRule="auto"/>
              <w:rPr>
                <w:sz w:val="20"/>
                <w:szCs w:val="20"/>
              </w:rPr>
            </w:pPr>
            <w:r w:rsidRPr="00182C5A">
              <w:rPr>
                <w:sz w:val="20"/>
                <w:szCs w:val="20"/>
                <w:u w:val="single"/>
              </w:rPr>
              <w:t>Active street prevalence</w:t>
            </w:r>
            <w:r w:rsidRPr="00182C5A">
              <w:rPr>
                <w:sz w:val="20"/>
                <w:szCs w:val="20"/>
              </w:rPr>
              <w:t xml:space="preserve">: Proportion of block faces within a tract on which adults are observed; </w:t>
            </w:r>
            <w:r w:rsidRPr="00182C5A">
              <w:rPr>
                <w:sz w:val="20"/>
                <w:szCs w:val="20"/>
                <w:u w:val="single"/>
              </w:rPr>
              <w:t>Mixed land use</w:t>
            </w:r>
            <w:r w:rsidRPr="00182C5A">
              <w:rPr>
                <w:sz w:val="20"/>
                <w:szCs w:val="20"/>
              </w:rPr>
              <w:t xml:space="preserve">: Proportion of block faces within a tract that have both residential and commercial land use; </w:t>
            </w:r>
          </w:p>
          <w:p w:rsidR="0086260D" w:rsidRPr="00182C5A" w:rsidRDefault="0086260D" w:rsidP="00182C5A">
            <w:pPr>
              <w:spacing w:after="0" w:line="480" w:lineRule="auto"/>
              <w:rPr>
                <w:sz w:val="20"/>
                <w:szCs w:val="20"/>
              </w:rPr>
            </w:pPr>
            <w:r w:rsidRPr="00182C5A">
              <w:rPr>
                <w:sz w:val="20"/>
                <w:szCs w:val="20"/>
                <w:u w:val="single"/>
              </w:rPr>
              <w:t>Business presence</w:t>
            </w:r>
            <w:r w:rsidRPr="00182C5A">
              <w:rPr>
                <w:sz w:val="20"/>
                <w:szCs w:val="20"/>
              </w:rPr>
              <w:t>: Mean number of businesses per block face within a tract</w:t>
            </w:r>
          </w:p>
        </w:tc>
        <w:tc>
          <w:tcPr>
            <w:tcW w:w="3870" w:type="dxa"/>
            <w:tcBorders>
              <w:bottom w:val="nil"/>
            </w:tcBorders>
          </w:tcPr>
          <w:p w:rsidR="0086260D" w:rsidRPr="00182C5A" w:rsidRDefault="0086260D" w:rsidP="00182C5A">
            <w:pPr>
              <w:spacing w:after="0" w:line="480" w:lineRule="auto"/>
              <w:rPr>
                <w:sz w:val="20"/>
                <w:szCs w:val="20"/>
              </w:rPr>
            </w:pPr>
            <w:r w:rsidRPr="00182C5A">
              <w:rPr>
                <w:sz w:val="20"/>
                <w:szCs w:val="20"/>
              </w:rPr>
              <w:t>Systematic Social Observation using rater assessments &amp; U.S. Census</w:t>
            </w:r>
          </w:p>
        </w:tc>
      </w:tr>
      <w:tr w:rsidR="0086260D" w:rsidRPr="00182C5A" w:rsidTr="003230AE">
        <w:trPr>
          <w:trHeight w:val="476"/>
        </w:trPr>
        <w:tc>
          <w:tcPr>
            <w:tcW w:w="1885" w:type="dxa"/>
          </w:tcPr>
          <w:p w:rsidR="0086260D" w:rsidRPr="00182C5A" w:rsidRDefault="0086260D" w:rsidP="00182C5A">
            <w:pPr>
              <w:spacing w:after="0" w:line="480" w:lineRule="auto"/>
              <w:rPr>
                <w:color w:val="000000"/>
                <w:sz w:val="20"/>
                <w:szCs w:val="20"/>
              </w:rPr>
            </w:pPr>
            <w:r w:rsidRPr="00182C5A">
              <w:rPr>
                <w:color w:val="000000"/>
                <w:sz w:val="20"/>
                <w:szCs w:val="20"/>
              </w:rPr>
              <w:t>Social network cohesiveness</w:t>
            </w:r>
            <w:r w:rsidRPr="00182C5A">
              <w:rPr>
                <w:noProof/>
                <w:color w:val="000000"/>
                <w:sz w:val="20"/>
                <w:szCs w:val="20"/>
                <w:vertAlign w:val="superscript"/>
              </w:rPr>
              <w:t>29</w:t>
            </w:r>
          </w:p>
        </w:tc>
        <w:tc>
          <w:tcPr>
            <w:tcW w:w="7920" w:type="dxa"/>
            <w:tcBorders>
              <w:top w:val="nil"/>
              <w:bottom w:val="single" w:sz="4" w:space="0" w:color="auto"/>
            </w:tcBorders>
          </w:tcPr>
          <w:p w:rsidR="0086260D" w:rsidRPr="00182C5A" w:rsidRDefault="0086260D" w:rsidP="00182C5A">
            <w:pPr>
              <w:spacing w:after="0" w:line="480" w:lineRule="auto"/>
              <w:rPr>
                <w:color w:val="000000"/>
                <w:sz w:val="20"/>
                <w:szCs w:val="20"/>
              </w:rPr>
            </w:pPr>
            <w:r w:rsidRPr="00182C5A">
              <w:rPr>
                <w:color w:val="000000"/>
                <w:sz w:val="20"/>
                <w:szCs w:val="20"/>
                <w:u w:val="single"/>
              </w:rPr>
              <w:t>Diameter</w:t>
            </w:r>
            <w:r w:rsidRPr="00182C5A">
              <w:rPr>
                <w:color w:val="000000"/>
                <w:sz w:val="20"/>
                <w:szCs w:val="20"/>
              </w:rPr>
              <w:t xml:space="preserve">: Maximum number of individuals who must be passed through on a path connecting any two members of the network; </w:t>
            </w:r>
          </w:p>
          <w:p w:rsidR="0086260D" w:rsidRPr="00182C5A" w:rsidRDefault="0086260D" w:rsidP="003230AE">
            <w:pPr>
              <w:spacing w:after="0" w:line="480" w:lineRule="auto"/>
              <w:rPr>
                <w:color w:val="000000"/>
                <w:sz w:val="20"/>
                <w:szCs w:val="20"/>
              </w:rPr>
            </w:pPr>
            <w:r w:rsidRPr="00182C5A">
              <w:rPr>
                <w:color w:val="000000"/>
                <w:sz w:val="20"/>
                <w:szCs w:val="20"/>
                <w:u w:val="single"/>
              </w:rPr>
              <w:t>Average connectivity (cohesiveness)</w:t>
            </w:r>
            <w:r w:rsidRPr="00182C5A">
              <w:rPr>
                <w:color w:val="000000"/>
                <w:sz w:val="20"/>
                <w:szCs w:val="20"/>
              </w:rPr>
              <w:t>: Number of paths (social ties) between any two members (more different, redundant paths between two member the greater their connectedness);</w:t>
            </w:r>
          </w:p>
        </w:tc>
        <w:tc>
          <w:tcPr>
            <w:tcW w:w="3870" w:type="dxa"/>
            <w:tcBorders>
              <w:top w:val="nil"/>
              <w:bottom w:val="single" w:sz="4" w:space="0" w:color="auto"/>
            </w:tcBorders>
          </w:tcPr>
          <w:p w:rsidR="0086260D" w:rsidRPr="00182C5A" w:rsidRDefault="0086260D" w:rsidP="00182C5A">
            <w:pPr>
              <w:spacing w:after="0" w:line="480" w:lineRule="auto"/>
              <w:rPr>
                <w:i/>
                <w:iCs/>
                <w:color w:val="000000"/>
                <w:sz w:val="20"/>
                <w:szCs w:val="20"/>
              </w:rPr>
            </w:pPr>
            <w:proofErr w:type="spellStart"/>
            <w:r w:rsidRPr="00182C5A">
              <w:rPr>
                <w:i/>
                <w:iCs/>
                <w:color w:val="000000"/>
                <w:sz w:val="20"/>
                <w:szCs w:val="20"/>
              </w:rPr>
              <w:t>mySpaceCrawler</w:t>
            </w:r>
            <w:proofErr w:type="spellEnd"/>
            <w:r w:rsidRPr="00182C5A">
              <w:rPr>
                <w:i/>
                <w:iCs/>
                <w:color w:val="000000"/>
                <w:sz w:val="20"/>
                <w:szCs w:val="20"/>
              </w:rPr>
              <w:t>,</w:t>
            </w:r>
            <w:r w:rsidRPr="00182C5A">
              <w:rPr>
                <w:color w:val="000000"/>
                <w:sz w:val="20"/>
                <w:szCs w:val="20"/>
              </w:rPr>
              <w:t xml:space="preserve">(version 6) was used to collect data; </w:t>
            </w:r>
            <w:r w:rsidRPr="00182C5A">
              <w:rPr>
                <w:i/>
                <w:iCs/>
                <w:color w:val="000000"/>
                <w:sz w:val="20"/>
                <w:szCs w:val="20"/>
              </w:rPr>
              <w:t>Network</w:t>
            </w:r>
            <w:r w:rsidRPr="00182C5A">
              <w:rPr>
                <w:color w:val="000000"/>
                <w:sz w:val="20"/>
                <w:szCs w:val="20"/>
              </w:rPr>
              <w:t xml:space="preserve"> package (version 1.3) available for R was used to analyze data; </w:t>
            </w:r>
            <w:proofErr w:type="spellStart"/>
            <w:r w:rsidRPr="00182C5A">
              <w:rPr>
                <w:rFonts w:ascii="AdvOT863180fb" w:hAnsi="AdvOT863180fb" w:cs="AdvOT863180fb"/>
                <w:sz w:val="20"/>
                <w:szCs w:val="20"/>
              </w:rPr>
              <w:t>Pajek</w:t>
            </w:r>
            <w:proofErr w:type="spellEnd"/>
            <w:r w:rsidRPr="00182C5A">
              <w:rPr>
                <w:rFonts w:ascii="AdvOT863180fb" w:hAnsi="AdvOT863180fb" w:cs="AdvOT863180fb"/>
                <w:sz w:val="20"/>
                <w:szCs w:val="20"/>
              </w:rPr>
              <w:t xml:space="preserve"> (version 1.17) was used to visualize the data</w:t>
            </w:r>
          </w:p>
        </w:tc>
      </w:tr>
      <w:tr w:rsidR="003230AE" w:rsidRPr="00182C5A" w:rsidTr="003230AE">
        <w:trPr>
          <w:trHeight w:val="476"/>
        </w:trPr>
        <w:tc>
          <w:tcPr>
            <w:tcW w:w="1885" w:type="dxa"/>
            <w:tcBorders>
              <w:bottom w:val="nil"/>
            </w:tcBorders>
          </w:tcPr>
          <w:p w:rsidR="003230AE" w:rsidRPr="00182C5A" w:rsidRDefault="003230AE" w:rsidP="00182C5A">
            <w:pPr>
              <w:spacing w:after="0" w:line="240" w:lineRule="auto"/>
              <w:rPr>
                <w:sz w:val="20"/>
                <w:szCs w:val="20"/>
              </w:rPr>
            </w:pPr>
          </w:p>
        </w:tc>
        <w:tc>
          <w:tcPr>
            <w:tcW w:w="7920" w:type="dxa"/>
            <w:tcBorders>
              <w:top w:val="single" w:sz="4" w:space="0" w:color="auto"/>
              <w:bottom w:val="nil"/>
              <w:right w:val="nil"/>
            </w:tcBorders>
          </w:tcPr>
          <w:p w:rsidR="003230AE" w:rsidRDefault="003230AE" w:rsidP="003230AE">
            <w:pPr>
              <w:spacing w:after="0" w:line="480" w:lineRule="auto"/>
              <w:rPr>
                <w:color w:val="000000"/>
                <w:sz w:val="20"/>
                <w:szCs w:val="20"/>
              </w:rPr>
            </w:pPr>
            <w:r w:rsidRPr="00182C5A">
              <w:rPr>
                <w:color w:val="000000"/>
                <w:sz w:val="20"/>
                <w:szCs w:val="20"/>
                <w:u w:val="single"/>
              </w:rPr>
              <w:t>Density (cohesiveness)</w:t>
            </w:r>
            <w:r w:rsidRPr="00182C5A">
              <w:rPr>
                <w:color w:val="000000"/>
                <w:sz w:val="20"/>
                <w:szCs w:val="20"/>
              </w:rPr>
              <w:t>: Number of all social ties in the network/all possible ties if every member was connected to every other member;</w:t>
            </w:r>
          </w:p>
          <w:p w:rsidR="003230AE" w:rsidRPr="00182C5A" w:rsidRDefault="003230AE" w:rsidP="003230AE">
            <w:pPr>
              <w:spacing w:after="0" w:line="480" w:lineRule="auto"/>
              <w:rPr>
                <w:color w:val="000000"/>
                <w:sz w:val="20"/>
                <w:szCs w:val="20"/>
              </w:rPr>
            </w:pPr>
            <w:r w:rsidRPr="00182C5A">
              <w:rPr>
                <w:color w:val="000000"/>
                <w:sz w:val="20"/>
                <w:szCs w:val="20"/>
                <w:u w:val="single"/>
              </w:rPr>
              <w:t>Average nodal degree (popularity)</w:t>
            </w:r>
            <w:r w:rsidRPr="00182C5A">
              <w:rPr>
                <w:color w:val="000000"/>
                <w:sz w:val="20"/>
                <w:szCs w:val="20"/>
              </w:rPr>
              <w:t xml:space="preserve">: Number of neighboring members of the network to whom a given individual is directly connected; </w:t>
            </w:r>
          </w:p>
          <w:p w:rsidR="003230AE" w:rsidRPr="00182C5A" w:rsidRDefault="003230AE" w:rsidP="003230AE">
            <w:pPr>
              <w:spacing w:after="0" w:line="480" w:lineRule="auto"/>
              <w:rPr>
                <w:sz w:val="20"/>
                <w:szCs w:val="20"/>
                <w:u w:val="single"/>
              </w:rPr>
            </w:pPr>
            <w:r w:rsidRPr="00182C5A">
              <w:rPr>
                <w:color w:val="000000"/>
                <w:sz w:val="20"/>
                <w:szCs w:val="20"/>
                <w:u w:val="single"/>
              </w:rPr>
              <w:t>Nodal degree distribution</w:t>
            </w:r>
            <w:r w:rsidRPr="00182C5A">
              <w:rPr>
                <w:color w:val="000000"/>
                <w:sz w:val="20"/>
                <w:szCs w:val="20"/>
              </w:rPr>
              <w:t>: Range in number of direct connections of each member of the network (e.g., 100% connected to one person; 80% connected to three members)</w:t>
            </w:r>
          </w:p>
        </w:tc>
        <w:tc>
          <w:tcPr>
            <w:tcW w:w="3870" w:type="dxa"/>
            <w:tcBorders>
              <w:top w:val="single" w:sz="4" w:space="0" w:color="auto"/>
              <w:left w:val="nil"/>
              <w:bottom w:val="nil"/>
            </w:tcBorders>
          </w:tcPr>
          <w:p w:rsidR="003230AE" w:rsidRPr="00182C5A" w:rsidRDefault="003230AE" w:rsidP="00182C5A">
            <w:pPr>
              <w:spacing w:after="0" w:line="480" w:lineRule="auto"/>
              <w:rPr>
                <w:sz w:val="20"/>
                <w:szCs w:val="20"/>
              </w:rPr>
            </w:pPr>
          </w:p>
        </w:tc>
      </w:tr>
      <w:tr w:rsidR="0086260D" w:rsidRPr="00182C5A" w:rsidTr="003230AE">
        <w:trPr>
          <w:trHeight w:val="476"/>
        </w:trPr>
        <w:tc>
          <w:tcPr>
            <w:tcW w:w="1885" w:type="dxa"/>
            <w:tcBorders>
              <w:top w:val="nil"/>
              <w:bottom w:val="single" w:sz="4" w:space="0" w:color="auto"/>
            </w:tcBorders>
          </w:tcPr>
          <w:p w:rsidR="0086260D" w:rsidRPr="00182C5A" w:rsidRDefault="0086260D" w:rsidP="00182C5A">
            <w:pPr>
              <w:spacing w:after="0" w:line="240" w:lineRule="auto"/>
              <w:rPr>
                <w:sz w:val="20"/>
                <w:szCs w:val="20"/>
              </w:rPr>
            </w:pPr>
            <w:r w:rsidRPr="00182C5A">
              <w:rPr>
                <w:sz w:val="20"/>
                <w:szCs w:val="20"/>
              </w:rPr>
              <w:t>Social organization</w:t>
            </w:r>
            <w:r w:rsidRPr="00182C5A">
              <w:rPr>
                <w:noProof/>
                <w:sz w:val="20"/>
                <w:szCs w:val="20"/>
                <w:vertAlign w:val="superscript"/>
              </w:rPr>
              <w:t>48</w:t>
            </w:r>
          </w:p>
        </w:tc>
        <w:tc>
          <w:tcPr>
            <w:tcW w:w="7920" w:type="dxa"/>
            <w:tcBorders>
              <w:top w:val="nil"/>
              <w:bottom w:val="single" w:sz="4" w:space="0" w:color="auto"/>
              <w:right w:val="nil"/>
            </w:tcBorders>
          </w:tcPr>
          <w:p w:rsidR="0086260D" w:rsidRPr="00182C5A" w:rsidRDefault="0086260D" w:rsidP="00182C5A">
            <w:pPr>
              <w:spacing w:after="0" w:line="480" w:lineRule="auto"/>
              <w:rPr>
                <w:sz w:val="20"/>
                <w:szCs w:val="20"/>
              </w:rPr>
            </w:pPr>
            <w:r w:rsidRPr="00182C5A">
              <w:rPr>
                <w:sz w:val="20"/>
                <w:szCs w:val="20"/>
                <w:u w:val="single"/>
              </w:rPr>
              <w:t>Index of residential stability</w:t>
            </w:r>
            <w:r w:rsidRPr="00182C5A">
              <w:rPr>
                <w:sz w:val="20"/>
                <w:szCs w:val="20"/>
              </w:rPr>
              <w:t xml:space="preserve">: Proportion of persons in each county that lived in the same county 5 years prior to the census &amp; proportion that lived in the same house 5 years prior to the census; </w:t>
            </w:r>
          </w:p>
          <w:p w:rsidR="0086260D" w:rsidRPr="00182C5A" w:rsidRDefault="0086260D" w:rsidP="00182C5A">
            <w:pPr>
              <w:spacing w:after="0" w:line="480" w:lineRule="auto"/>
              <w:rPr>
                <w:sz w:val="20"/>
                <w:szCs w:val="20"/>
              </w:rPr>
            </w:pPr>
            <w:r w:rsidRPr="00182C5A">
              <w:rPr>
                <w:sz w:val="20"/>
                <w:szCs w:val="20"/>
                <w:u w:val="single"/>
              </w:rPr>
              <w:t>Index of local investment</w:t>
            </w:r>
            <w:r w:rsidRPr="00182C5A">
              <w:rPr>
                <w:sz w:val="20"/>
                <w:szCs w:val="20"/>
              </w:rPr>
              <w:t>:  Proportion of housing u</w:t>
            </w:r>
            <w:bookmarkStart w:id="1" w:name="_GoBack"/>
            <w:bookmarkEnd w:id="1"/>
            <w:r w:rsidRPr="00182C5A">
              <w:rPr>
                <w:sz w:val="20"/>
                <w:szCs w:val="20"/>
              </w:rPr>
              <w:t xml:space="preserve">nits that are owner occupied; </w:t>
            </w:r>
          </w:p>
          <w:p w:rsidR="0086260D" w:rsidRPr="00182C5A" w:rsidRDefault="0086260D" w:rsidP="00182C5A">
            <w:pPr>
              <w:spacing w:after="0" w:line="480" w:lineRule="auto"/>
              <w:rPr>
                <w:sz w:val="20"/>
                <w:szCs w:val="20"/>
              </w:rPr>
            </w:pPr>
            <w:r w:rsidRPr="00182C5A">
              <w:rPr>
                <w:sz w:val="20"/>
                <w:szCs w:val="20"/>
                <w:u w:val="single"/>
              </w:rPr>
              <w:t>Index of local capitalism/economic independence</w:t>
            </w:r>
            <w:r w:rsidRPr="00182C5A">
              <w:rPr>
                <w:sz w:val="20"/>
                <w:szCs w:val="20"/>
              </w:rPr>
              <w:t xml:space="preserve">: Proportion of all manufacturing firms in the county that employ less than 20 workers; number of family farms in the county per 1,000 people; proportion of workers that are self-employed; proportion of workers that work at home; </w:t>
            </w:r>
          </w:p>
          <w:p w:rsidR="0086260D" w:rsidRPr="00182C5A" w:rsidRDefault="0086260D" w:rsidP="00182C5A">
            <w:pPr>
              <w:spacing w:after="0" w:line="480" w:lineRule="auto"/>
              <w:rPr>
                <w:sz w:val="20"/>
                <w:szCs w:val="20"/>
              </w:rPr>
            </w:pPr>
            <w:r w:rsidRPr="00182C5A">
              <w:rPr>
                <w:sz w:val="20"/>
                <w:szCs w:val="20"/>
                <w:u w:val="single"/>
              </w:rPr>
              <w:t>Index of civic engagement</w:t>
            </w:r>
            <w:r w:rsidRPr="00182C5A">
              <w:rPr>
                <w:sz w:val="20"/>
                <w:szCs w:val="20"/>
              </w:rPr>
              <w:t>: Civically engaged denominations; rate of voter turnout in the 2000 presidential election; number of congregations per 1,000 people; number of civic and social organizations per 1,000 people</w:t>
            </w:r>
          </w:p>
        </w:tc>
        <w:tc>
          <w:tcPr>
            <w:tcW w:w="3870" w:type="dxa"/>
            <w:tcBorders>
              <w:top w:val="nil"/>
              <w:left w:val="nil"/>
              <w:bottom w:val="single" w:sz="4" w:space="0" w:color="auto"/>
            </w:tcBorders>
          </w:tcPr>
          <w:p w:rsidR="0086260D" w:rsidRPr="00182C5A" w:rsidRDefault="0086260D" w:rsidP="00182C5A">
            <w:pPr>
              <w:spacing w:after="0" w:line="480" w:lineRule="auto"/>
              <w:rPr>
                <w:sz w:val="20"/>
                <w:szCs w:val="20"/>
              </w:rPr>
            </w:pPr>
            <w:r w:rsidRPr="00182C5A">
              <w:rPr>
                <w:sz w:val="20"/>
                <w:szCs w:val="20"/>
              </w:rPr>
              <w:t>U.S. Census; 2000 Census of Churches and Church Membership; U.S. Elections Archive; County Business Patterns Data File</w:t>
            </w:r>
          </w:p>
        </w:tc>
      </w:tr>
    </w:tbl>
    <w:p w:rsidR="00F3697D" w:rsidRDefault="00F3697D" w:rsidP="00D32C19">
      <w:pPr>
        <w:pStyle w:val="EndNoteBibliography"/>
        <w:spacing w:after="0" w:line="480" w:lineRule="auto"/>
        <w:ind w:left="720" w:hanging="720"/>
      </w:pPr>
    </w:p>
    <w:p w:rsidR="0086260D" w:rsidRDefault="0086260D" w:rsidP="00D32C19">
      <w:pPr>
        <w:pStyle w:val="EndNoteBibliography"/>
        <w:spacing w:after="0" w:line="480" w:lineRule="auto"/>
        <w:ind w:left="720" w:hanging="720"/>
      </w:pPr>
      <w:r>
        <w:t>139.</w:t>
      </w:r>
      <w:r>
        <w:tab/>
        <w:t>Rosenfeld R, Messner SF, Baumer EP. Social Capital and Homicide. Social Forces. 2001;80:283-309. (in English).</w:t>
      </w:r>
    </w:p>
    <w:p w:rsidR="0086260D" w:rsidRDefault="0086260D" w:rsidP="00D32C19">
      <w:pPr>
        <w:pStyle w:val="EndNoteBibliography"/>
        <w:spacing w:after="0" w:line="480" w:lineRule="auto"/>
        <w:ind w:left="720" w:hanging="720"/>
      </w:pPr>
      <w:r>
        <w:lastRenderedPageBreak/>
        <w:t>140.</w:t>
      </w:r>
      <w:r>
        <w:tab/>
        <w:t>Wu B. Intimate Homicide Between Asians and Non-Asians. The Impact of Community Context. Journal of Interpersonal Violence. 2009;24:1148-64. (in English).</w:t>
      </w:r>
    </w:p>
    <w:p w:rsidR="0086260D" w:rsidRDefault="0086260D" w:rsidP="00D32C19">
      <w:pPr>
        <w:pStyle w:val="EndNoteBibliography"/>
        <w:spacing w:after="0" w:line="480" w:lineRule="auto"/>
        <w:ind w:left="720" w:hanging="720"/>
      </w:pPr>
      <w:r>
        <w:t>141.</w:t>
      </w:r>
      <w:r>
        <w:tab/>
        <w:t>Gomez MB, Muntaner C. Urban redevelopment and neighborhood health in East Baltimore, Maryland: The role of communitarian and institutional social capital. Critical Public Health. 2005;15:83-102.</w:t>
      </w:r>
    </w:p>
    <w:p w:rsidR="0086260D" w:rsidRDefault="0086260D" w:rsidP="00D32C19">
      <w:pPr>
        <w:pStyle w:val="EndNoteBibliography"/>
        <w:spacing w:after="0" w:line="480" w:lineRule="auto"/>
        <w:ind w:left="720" w:hanging="720"/>
      </w:pPr>
      <w:r>
        <w:t>142.</w:t>
      </w:r>
      <w:r>
        <w:tab/>
        <w:t>Martinez R, Jr., Stowell JI, Lee MT. Immigration and crime in an era of transformation: A longitudinal analysis of homicides in San Diego neighborhoods, 1980-2000. Criminology: An Interdisciplinary Journal. 2010;48:797-829.</w:t>
      </w:r>
    </w:p>
    <w:p w:rsidR="0086260D" w:rsidRDefault="0086260D" w:rsidP="00D32C19">
      <w:pPr>
        <w:pStyle w:val="EndNoteBibliography"/>
        <w:spacing w:after="0" w:line="480" w:lineRule="auto"/>
        <w:ind w:left="720" w:hanging="720"/>
      </w:pPr>
      <w:r>
        <w:t>143.</w:t>
      </w:r>
      <w:r>
        <w:tab/>
        <w:t>Lovasi GS, Schwartz-Soicher O, Neckerman KM, Konty K, Kerker B, Quinn J, et al. Aesthetic amenities and safety hazards associated with walking and bicycling for transportation in New York City. Annals of Behavioral Medicine. 2013;45 Suppl 1:S76-85.</w:t>
      </w:r>
    </w:p>
    <w:p w:rsidR="0086260D" w:rsidRDefault="0086260D" w:rsidP="00D32C19">
      <w:pPr>
        <w:pStyle w:val="EndNoteBibliography"/>
        <w:spacing w:after="0" w:line="480" w:lineRule="auto"/>
        <w:ind w:left="720" w:hanging="720"/>
      </w:pPr>
      <w:r>
        <w:t>144.</w:t>
      </w:r>
      <w:r>
        <w:tab/>
        <w:t>Ahern J, Cerda M, Lippnnan SA, Tardiff KJ, Vlahov D, Galea S. Navigating non-positivity in neighbourhood studies: An analysis of collective efficacy and violence. Journal of Epidemiology and Community Health. 2013;67:159-65.</w:t>
      </w:r>
    </w:p>
    <w:p w:rsidR="0086260D" w:rsidRDefault="0086260D" w:rsidP="00D32C19">
      <w:pPr>
        <w:pStyle w:val="EndNoteBibliography"/>
        <w:spacing w:after="0" w:line="480" w:lineRule="auto"/>
        <w:ind w:left="720" w:hanging="720"/>
      </w:pPr>
      <w:r>
        <w:t>145.</w:t>
      </w:r>
      <w:r>
        <w:tab/>
        <w:t>Hipp JR, Tita GE, Greenbaum RT. Drive-bys and Trade-ups: Examining the Directionality of the Crime and Residential Instability Relationship. Social Forces. 2009;87:1777-812. (in English).</w:t>
      </w:r>
    </w:p>
    <w:p w:rsidR="003230AE" w:rsidRPr="00F3697D" w:rsidRDefault="0086260D" w:rsidP="003230AE">
      <w:pPr>
        <w:spacing w:after="0" w:line="480" w:lineRule="auto"/>
        <w:ind w:left="720" w:hanging="720"/>
        <w:rPr>
          <w:rFonts w:ascii="Calibri Light" w:hAnsi="Calibri Light" w:cs="Calibri Light"/>
        </w:rPr>
      </w:pPr>
      <w:r w:rsidRPr="00F3697D">
        <w:rPr>
          <w:rFonts w:ascii="Calibri Light" w:hAnsi="Calibri Light" w:cs="Calibri Light"/>
        </w:rPr>
        <w:t>146.</w:t>
      </w:r>
      <w:r w:rsidRPr="00F3697D">
        <w:rPr>
          <w:rFonts w:ascii="Calibri Light" w:hAnsi="Calibri Light" w:cs="Calibri Light"/>
        </w:rPr>
        <w:tab/>
      </w:r>
      <w:proofErr w:type="spellStart"/>
      <w:r w:rsidRPr="00F3697D">
        <w:rPr>
          <w:rFonts w:ascii="Calibri Light" w:hAnsi="Calibri Light" w:cs="Calibri Light"/>
        </w:rPr>
        <w:t>Barkan</w:t>
      </w:r>
      <w:proofErr w:type="spellEnd"/>
      <w:r w:rsidRPr="00F3697D">
        <w:rPr>
          <w:rFonts w:ascii="Calibri Light" w:hAnsi="Calibri Light" w:cs="Calibri Light"/>
        </w:rPr>
        <w:t xml:space="preserve"> SE, </w:t>
      </w:r>
      <w:proofErr w:type="spellStart"/>
      <w:r w:rsidRPr="00F3697D">
        <w:rPr>
          <w:rFonts w:ascii="Calibri Light" w:hAnsi="Calibri Light" w:cs="Calibri Light"/>
        </w:rPr>
        <w:t>Rocque</w:t>
      </w:r>
      <w:proofErr w:type="spellEnd"/>
      <w:r w:rsidRPr="00F3697D">
        <w:rPr>
          <w:rFonts w:ascii="Calibri Light" w:hAnsi="Calibri Light" w:cs="Calibri Light"/>
        </w:rPr>
        <w:t xml:space="preserve"> M, </w:t>
      </w:r>
      <w:proofErr w:type="spellStart"/>
      <w:r w:rsidRPr="00F3697D">
        <w:rPr>
          <w:rFonts w:ascii="Calibri Light" w:hAnsi="Calibri Light" w:cs="Calibri Light"/>
        </w:rPr>
        <w:t>Houle</w:t>
      </w:r>
      <w:proofErr w:type="spellEnd"/>
      <w:r w:rsidRPr="00F3697D">
        <w:rPr>
          <w:rFonts w:ascii="Calibri Light" w:hAnsi="Calibri Light" w:cs="Calibri Light"/>
        </w:rPr>
        <w:t xml:space="preserve"> J. State </w:t>
      </w:r>
      <w:proofErr w:type="gramStart"/>
      <w:r w:rsidRPr="00F3697D">
        <w:rPr>
          <w:rFonts w:ascii="Calibri Light" w:hAnsi="Calibri Light" w:cs="Calibri Light"/>
        </w:rPr>
        <w:t>And</w:t>
      </w:r>
      <w:proofErr w:type="gramEnd"/>
      <w:r w:rsidRPr="00F3697D">
        <w:rPr>
          <w:rFonts w:ascii="Calibri Light" w:hAnsi="Calibri Light" w:cs="Calibri Light"/>
        </w:rPr>
        <w:t xml:space="preserve"> Regional Suicide Rates: A New Look At An Old Puzzle. Sociological Perspectives. 2013</w:t>
      </w:r>
      <w:proofErr w:type="gramStart"/>
      <w:r w:rsidRPr="00F3697D">
        <w:rPr>
          <w:rFonts w:ascii="Calibri Light" w:hAnsi="Calibri Light" w:cs="Calibri Light"/>
        </w:rPr>
        <w:t>;56:287</w:t>
      </w:r>
      <w:proofErr w:type="gramEnd"/>
      <w:r w:rsidRPr="00F3697D">
        <w:rPr>
          <w:rFonts w:ascii="Calibri Light" w:hAnsi="Calibri Light" w:cs="Calibri Light"/>
        </w:rPr>
        <w:t>-97. (</w:t>
      </w:r>
      <w:proofErr w:type="gramStart"/>
      <w:r w:rsidRPr="00F3697D">
        <w:rPr>
          <w:rFonts w:ascii="Calibri Light" w:hAnsi="Calibri Light" w:cs="Calibri Light"/>
        </w:rPr>
        <w:t>in</w:t>
      </w:r>
      <w:proofErr w:type="gramEnd"/>
      <w:r w:rsidRPr="00F3697D">
        <w:rPr>
          <w:rFonts w:ascii="Calibri Light" w:hAnsi="Calibri Light" w:cs="Calibri Light"/>
        </w:rPr>
        <w:t xml:space="preserve"> English).</w:t>
      </w:r>
    </w:p>
    <w:sectPr w:rsidR="003230AE" w:rsidRPr="00F3697D" w:rsidSect="008B7C97">
      <w:headerReference w:type="default" r:id="rId7"/>
      <w:footnotePr>
        <w:numFmt w:val="chicago"/>
        <w:numStart w:val="11"/>
      </w:footnotePr>
      <w:endnotePr>
        <w:numFmt w:val="lowerLetter"/>
      </w:endnotePr>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0D" w:rsidRDefault="0086260D" w:rsidP="00504790">
      <w:pPr>
        <w:spacing w:after="0" w:line="240" w:lineRule="auto"/>
      </w:pPr>
      <w:r>
        <w:separator/>
      </w:r>
    </w:p>
  </w:endnote>
  <w:endnote w:type="continuationSeparator" w:id="0">
    <w:p w:rsidR="0086260D" w:rsidRDefault="0086260D" w:rsidP="00504790">
      <w:pPr>
        <w:spacing w:after="0" w:line="240" w:lineRule="auto"/>
      </w:pPr>
      <w:r>
        <w:continuationSeparator/>
      </w:r>
    </w:p>
  </w:endnote>
  <w:endnote w:id="1">
    <w:p w:rsidR="003230AE" w:rsidRDefault="003230AE" w:rsidP="003230AE">
      <w:pPr>
        <w:pStyle w:val="EndnoteText"/>
        <w:spacing w:after="0" w:line="480" w:lineRule="auto"/>
      </w:pPr>
      <w:r>
        <w:rPr>
          <w:rStyle w:val="EndnoteReference"/>
        </w:rPr>
        <w:endnoteRef/>
      </w:r>
      <w:r>
        <w:t xml:space="preserve"> </w:t>
      </w:r>
      <w:r>
        <w:t>Multiple indicators that represent some form of an index are formatted with the prefix “index of”; constructs that are represented by multiple sub-constructs/indices are underlined and separated by semi-colons; otherwise multiple indicators that are not part of an index are separated by commas.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0D" w:rsidRDefault="0086260D" w:rsidP="00504790">
      <w:pPr>
        <w:spacing w:after="0" w:line="240" w:lineRule="auto"/>
      </w:pPr>
      <w:r>
        <w:separator/>
      </w:r>
    </w:p>
  </w:footnote>
  <w:footnote w:type="continuationSeparator" w:id="0">
    <w:p w:rsidR="0086260D" w:rsidRDefault="0086260D" w:rsidP="0050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0D" w:rsidRDefault="0086260D">
    <w:pPr>
      <w:pStyle w:val="Header"/>
    </w:pPr>
    <w:r>
      <w:t>INDICATORS FOR VIOLENCE PREVENTION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characterSpacingControl w:val="doNotCompress"/>
  <w:doNotValidateAgainstSchema/>
  <w:doNotDemarcateInvalidXml/>
  <w:footnotePr>
    <w:numFmt w:val="chicago"/>
    <w:numStart w:val="11"/>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68F"/>
    <w:rsid w:val="000C5A7B"/>
    <w:rsid w:val="00174B44"/>
    <w:rsid w:val="00182C5A"/>
    <w:rsid w:val="001C1997"/>
    <w:rsid w:val="003230AE"/>
    <w:rsid w:val="00504790"/>
    <w:rsid w:val="0063368F"/>
    <w:rsid w:val="00637A77"/>
    <w:rsid w:val="00676F48"/>
    <w:rsid w:val="00743227"/>
    <w:rsid w:val="0086260D"/>
    <w:rsid w:val="00865D9D"/>
    <w:rsid w:val="008B7C97"/>
    <w:rsid w:val="009E16F1"/>
    <w:rsid w:val="009E4E4F"/>
    <w:rsid w:val="00AB1EE7"/>
    <w:rsid w:val="00C92C96"/>
    <w:rsid w:val="00CE5B98"/>
    <w:rsid w:val="00D12E10"/>
    <w:rsid w:val="00D26908"/>
    <w:rsid w:val="00D32C19"/>
    <w:rsid w:val="00E3288E"/>
    <w:rsid w:val="00E40F7D"/>
    <w:rsid w:val="00EA1948"/>
    <w:rsid w:val="00EF4C5C"/>
    <w:rsid w:val="00F3697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F7F8C"/>
  <w15:docId w15:val="{EB5DB62D-8216-48FB-9685-CE9C47B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F1"/>
    <w:pPr>
      <w:spacing w:after="160" w:line="259" w:lineRule="auto"/>
    </w:pPr>
    <w:rPr>
      <w:rFonts w:cs="Calibri"/>
    </w:rPr>
  </w:style>
  <w:style w:type="paragraph" w:styleId="Heading1">
    <w:name w:val="heading 1"/>
    <w:basedOn w:val="Normal"/>
    <w:next w:val="Normal"/>
    <w:link w:val="Heading1Char"/>
    <w:uiPriority w:val="99"/>
    <w:qFormat/>
    <w:rsid w:val="00676F48"/>
    <w:pPr>
      <w:keepNext/>
      <w:keepLines/>
      <w:spacing w:before="240" w:after="0"/>
      <w:outlineLvl w:val="0"/>
    </w:pPr>
    <w:rPr>
      <w:rFonts w:ascii="Calibri Light" w:eastAsia="Times New Roman" w:hAnsi="Calibri Light" w:cs="Calibri Light"/>
      <w:color w:val="2E74B5"/>
      <w:sz w:val="32"/>
      <w:szCs w:val="32"/>
    </w:rPr>
  </w:style>
  <w:style w:type="paragraph" w:styleId="Heading4">
    <w:name w:val="heading 4"/>
    <w:basedOn w:val="Normal"/>
    <w:next w:val="Normal"/>
    <w:link w:val="Heading4Char"/>
    <w:uiPriority w:val="99"/>
    <w:qFormat/>
    <w:rsid w:val="0063368F"/>
    <w:pPr>
      <w:keepNext/>
      <w:keepLines/>
      <w:spacing w:before="40" w:after="0" w:line="276" w:lineRule="auto"/>
      <w:outlineLvl w:val="3"/>
    </w:pPr>
    <w:rPr>
      <w:rFonts w:ascii="Calibri Light" w:eastAsia="Times New Roman"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F48"/>
    <w:rPr>
      <w:rFonts w:ascii="Calibri Light" w:hAnsi="Calibri Light" w:cs="Calibri Light"/>
      <w:color w:val="2E74B5"/>
      <w:sz w:val="32"/>
      <w:szCs w:val="32"/>
    </w:rPr>
  </w:style>
  <w:style w:type="character" w:customStyle="1" w:styleId="Heading4Char">
    <w:name w:val="Heading 4 Char"/>
    <w:basedOn w:val="DefaultParagraphFont"/>
    <w:link w:val="Heading4"/>
    <w:uiPriority w:val="99"/>
    <w:locked/>
    <w:rsid w:val="0063368F"/>
    <w:rPr>
      <w:rFonts w:ascii="Calibri Light" w:hAnsi="Calibri Light" w:cs="Calibri Light"/>
      <w:i/>
      <w:iCs/>
      <w:color w:val="2E74B5"/>
    </w:rPr>
  </w:style>
  <w:style w:type="paragraph" w:styleId="Header">
    <w:name w:val="header"/>
    <w:basedOn w:val="Normal"/>
    <w:link w:val="HeaderChar"/>
    <w:uiPriority w:val="99"/>
    <w:rsid w:val="005047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4790"/>
  </w:style>
  <w:style w:type="paragraph" w:styleId="Footer">
    <w:name w:val="footer"/>
    <w:basedOn w:val="Normal"/>
    <w:link w:val="FooterChar"/>
    <w:uiPriority w:val="99"/>
    <w:rsid w:val="005047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4790"/>
  </w:style>
  <w:style w:type="table" w:styleId="TableGrid">
    <w:name w:val="Table Grid"/>
    <w:basedOn w:val="TableNormal"/>
    <w:uiPriority w:val="99"/>
    <w:rsid w:val="001C19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B7C9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B7C97"/>
    <w:rPr>
      <w:sz w:val="20"/>
      <w:szCs w:val="20"/>
    </w:rPr>
  </w:style>
  <w:style w:type="character" w:styleId="FootnoteReference">
    <w:name w:val="footnote reference"/>
    <w:basedOn w:val="DefaultParagraphFont"/>
    <w:uiPriority w:val="99"/>
    <w:semiHidden/>
    <w:rsid w:val="008B7C97"/>
    <w:rPr>
      <w:vertAlign w:val="superscript"/>
    </w:rPr>
  </w:style>
  <w:style w:type="character" w:customStyle="1" w:styleId="reference-text">
    <w:name w:val="reference-text"/>
    <w:basedOn w:val="DefaultParagraphFont"/>
    <w:uiPriority w:val="99"/>
    <w:rsid w:val="008B7C97"/>
  </w:style>
  <w:style w:type="character" w:styleId="CommentReference">
    <w:name w:val="annotation reference"/>
    <w:basedOn w:val="DefaultParagraphFont"/>
    <w:uiPriority w:val="99"/>
    <w:semiHidden/>
    <w:rsid w:val="009E4E4F"/>
    <w:rPr>
      <w:sz w:val="16"/>
      <w:szCs w:val="16"/>
    </w:rPr>
  </w:style>
  <w:style w:type="paragraph" w:customStyle="1" w:styleId="EndNoteBibliography">
    <w:name w:val="EndNote Bibliography"/>
    <w:basedOn w:val="Normal"/>
    <w:link w:val="EndNoteBibliographyChar"/>
    <w:uiPriority w:val="99"/>
    <w:pPr>
      <w:spacing w:line="240" w:lineRule="auto"/>
    </w:pPr>
    <w:rPr>
      <w:rFonts w:ascii="Calibri Light" w:hAnsi="Calibri Light" w:cs="Calibri Light"/>
      <w:noProof/>
    </w:rPr>
  </w:style>
  <w:style w:type="character" w:customStyle="1" w:styleId="EndNoteBibliographyChar">
    <w:name w:val="EndNote Bibliography Char"/>
    <w:basedOn w:val="DefaultParagraphFont"/>
    <w:link w:val="EndNoteBibliography"/>
    <w:uiPriority w:val="99"/>
    <w:locked/>
    <w:rPr>
      <w:rFonts w:ascii="Calibri Light" w:hAnsi="Calibri Light" w:cs="Calibri Light"/>
      <w:noProof/>
      <w:sz w:val="22"/>
      <w:szCs w:val="22"/>
      <w:lang w:val="en-US" w:eastAsia="en-US"/>
    </w:rPr>
  </w:style>
  <w:style w:type="paragraph" w:styleId="EndnoteText">
    <w:name w:val="endnote text"/>
    <w:basedOn w:val="Normal"/>
    <w:link w:val="EndnoteTextChar"/>
    <w:uiPriority w:val="99"/>
    <w:semiHidden/>
    <w:unhideWhenUsed/>
    <w:rsid w:val="003230AE"/>
    <w:rPr>
      <w:sz w:val="20"/>
      <w:szCs w:val="20"/>
    </w:rPr>
  </w:style>
  <w:style w:type="character" w:customStyle="1" w:styleId="EndnoteTextChar">
    <w:name w:val="Endnote Text Char"/>
    <w:basedOn w:val="DefaultParagraphFont"/>
    <w:link w:val="EndnoteText"/>
    <w:uiPriority w:val="99"/>
    <w:semiHidden/>
    <w:rsid w:val="003230AE"/>
    <w:rPr>
      <w:rFonts w:cs="Calibri"/>
      <w:sz w:val="20"/>
      <w:szCs w:val="20"/>
    </w:rPr>
  </w:style>
  <w:style w:type="character" w:styleId="EndnoteReference">
    <w:name w:val="endnote reference"/>
    <w:basedOn w:val="DefaultParagraphFont"/>
    <w:uiPriority w:val="99"/>
    <w:semiHidden/>
    <w:unhideWhenUsed/>
    <w:rsid w:val="00323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4BD8-E7F3-4AE2-9388-787DAEF0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976</Words>
  <Characters>5567</Characters>
  <Application>Microsoft Office Word</Application>
  <DocSecurity>0</DocSecurity>
  <Lines>46</Lines>
  <Paragraphs>13</Paragraphs>
  <ScaleCrop>false</ScaleCrop>
  <Company>Centers for Disease Control and Prevention</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Armstead, Theresa (CDC/ONDIEH/NCIPC)</dc:creator>
  <cp:keywords/>
  <dc:description/>
  <cp:lastModifiedBy>Armstead, Theresa (CDC/ONDIEH/NCIPC)</cp:lastModifiedBy>
  <cp:revision>5</cp:revision>
  <dcterms:created xsi:type="dcterms:W3CDTF">2017-07-27T18:42:00Z</dcterms:created>
  <dcterms:modified xsi:type="dcterms:W3CDTF">2017-09-26T14:34:00Z</dcterms:modified>
</cp:coreProperties>
</file>