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2F" w:rsidRDefault="00844A2F" w:rsidP="004678D0">
      <w:pPr>
        <w:pStyle w:val="Heading4"/>
        <w:spacing w:before="0" w:line="480" w:lineRule="auto"/>
        <w:rPr>
          <w:rStyle w:val="Heading4Char"/>
          <w:rFonts w:ascii="Calibri" w:hAnsi="Calibri" w:cs="Calibri"/>
          <w:b/>
          <w:bCs/>
          <w:color w:val="auto"/>
        </w:rPr>
      </w:pPr>
      <w:r>
        <w:rPr>
          <w:rStyle w:val="Heading4Char"/>
          <w:rFonts w:ascii="Calibri" w:hAnsi="Calibri" w:cs="Calibri"/>
          <w:b/>
          <w:bCs/>
          <w:color w:val="auto"/>
        </w:rPr>
        <w:t>Supplemental Digital Content</w:t>
      </w:r>
    </w:p>
    <w:p w:rsidR="00844A2F" w:rsidRDefault="00844A2F" w:rsidP="00865D9D">
      <w:pPr>
        <w:pStyle w:val="Heading4"/>
        <w:spacing w:before="0" w:line="480" w:lineRule="auto"/>
        <w:rPr>
          <w:rStyle w:val="Heading4Char"/>
          <w:rFonts w:ascii="Calibri" w:hAnsi="Calibri" w:cs="Calibri"/>
          <w:b/>
          <w:bCs/>
          <w:color w:val="auto"/>
        </w:rPr>
      </w:pPr>
      <w:r>
        <w:rPr>
          <w:rStyle w:val="Heading4Char"/>
          <w:rFonts w:ascii="Calibri" w:hAnsi="Calibri" w:cs="Calibri"/>
          <w:b/>
          <w:bCs/>
          <w:color w:val="auto"/>
        </w:rPr>
        <w:br w:type="page"/>
      </w:r>
    </w:p>
    <w:p w:rsidR="00844A2F" w:rsidRPr="00EF4C5C" w:rsidRDefault="00844A2F" w:rsidP="00865D9D">
      <w:pPr>
        <w:pStyle w:val="Heading4"/>
        <w:spacing w:before="0" w:line="480" w:lineRule="auto"/>
        <w:rPr>
          <w:rFonts w:ascii="Calibri" w:hAnsi="Calibri" w:cs="Calibri"/>
          <w:b/>
          <w:bCs/>
          <w:i w:val="0"/>
          <w:iCs w:val="0"/>
          <w:color w:val="auto"/>
        </w:rPr>
      </w:pPr>
      <w:r>
        <w:rPr>
          <w:rStyle w:val="Heading4Char"/>
          <w:rFonts w:ascii="Calibri" w:hAnsi="Calibri" w:cs="Calibri"/>
          <w:b/>
          <w:bCs/>
          <w:color w:val="auto"/>
        </w:rPr>
        <w:lastRenderedPageBreak/>
        <w:t>TABLE 4</w:t>
      </w:r>
      <w:r w:rsidRPr="00EF4C5C">
        <w:rPr>
          <w:rStyle w:val="Heading4Char"/>
          <w:rFonts w:ascii="Calibri" w:hAnsi="Calibri" w:cs="Calibri"/>
          <w:b/>
          <w:bCs/>
          <w:color w:val="auto"/>
        </w:rPr>
        <w:t xml:space="preserve">: </w:t>
      </w:r>
      <w:r w:rsidRPr="00EF4C5C">
        <w:rPr>
          <w:rFonts w:ascii="Calibri" w:hAnsi="Calibri" w:cs="Calibri"/>
          <w:b/>
          <w:bCs/>
          <w:i w:val="0"/>
          <w:iCs w:val="0"/>
          <w:color w:val="auto"/>
        </w:rPr>
        <w:t>ALCOHOL OUTLET DENSITY</w:t>
      </w:r>
    </w:p>
    <w:tbl>
      <w:tblPr>
        <w:tblW w:w="13675"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00"/>
        <w:gridCol w:w="8005"/>
        <w:gridCol w:w="3870"/>
      </w:tblGrid>
      <w:tr w:rsidR="00844A2F" w:rsidRPr="00B52A1A">
        <w:trPr>
          <w:trHeight w:val="305"/>
          <w:tblHeader/>
        </w:trPr>
        <w:tc>
          <w:tcPr>
            <w:tcW w:w="1800" w:type="dxa"/>
            <w:tcBorders>
              <w:top w:val="single" w:sz="4" w:space="0" w:color="auto"/>
              <w:bottom w:val="single" w:sz="4" w:space="0" w:color="auto"/>
            </w:tcBorders>
          </w:tcPr>
          <w:p w:rsidR="00844A2F" w:rsidRPr="00B52A1A" w:rsidRDefault="00844A2F" w:rsidP="00B52A1A">
            <w:pPr>
              <w:spacing w:after="0" w:line="480" w:lineRule="auto"/>
              <w:rPr>
                <w:b/>
                <w:bCs/>
                <w:sz w:val="20"/>
                <w:szCs w:val="20"/>
              </w:rPr>
            </w:pPr>
            <w:r w:rsidRPr="00B52A1A">
              <w:rPr>
                <w:b/>
                <w:bCs/>
                <w:sz w:val="20"/>
                <w:szCs w:val="20"/>
              </w:rPr>
              <w:t>Construct</w:t>
            </w:r>
          </w:p>
        </w:tc>
        <w:tc>
          <w:tcPr>
            <w:tcW w:w="8005" w:type="dxa"/>
            <w:tcBorders>
              <w:top w:val="single" w:sz="4" w:space="0" w:color="auto"/>
              <w:bottom w:val="single" w:sz="4" w:space="0" w:color="auto"/>
            </w:tcBorders>
          </w:tcPr>
          <w:p w:rsidR="00844A2F" w:rsidRPr="00B52A1A" w:rsidRDefault="00844A2F" w:rsidP="00317D33">
            <w:pPr>
              <w:spacing w:after="0" w:line="480" w:lineRule="auto"/>
              <w:rPr>
                <w:sz w:val="20"/>
                <w:szCs w:val="20"/>
              </w:rPr>
            </w:pPr>
            <w:r w:rsidRPr="00B52A1A">
              <w:rPr>
                <w:b/>
                <w:bCs/>
                <w:sz w:val="20"/>
                <w:szCs w:val="20"/>
              </w:rPr>
              <w:t>Indicators</w:t>
            </w:r>
            <w:r w:rsidR="005F1C48">
              <w:rPr>
                <w:rStyle w:val="EndnoteReference"/>
                <w:b/>
                <w:bCs/>
                <w:sz w:val="20"/>
                <w:szCs w:val="20"/>
              </w:rPr>
              <w:endnoteReference w:id="1"/>
            </w:r>
          </w:p>
        </w:tc>
        <w:tc>
          <w:tcPr>
            <w:tcW w:w="3870" w:type="dxa"/>
            <w:tcBorders>
              <w:top w:val="single" w:sz="4" w:space="0" w:color="auto"/>
              <w:bottom w:val="single" w:sz="4" w:space="0" w:color="auto"/>
            </w:tcBorders>
          </w:tcPr>
          <w:p w:rsidR="00844A2F" w:rsidRPr="00B52A1A" w:rsidRDefault="00844A2F" w:rsidP="00B52A1A">
            <w:pPr>
              <w:spacing w:after="0" w:line="480" w:lineRule="auto"/>
              <w:rPr>
                <w:sz w:val="20"/>
                <w:szCs w:val="20"/>
              </w:rPr>
            </w:pPr>
            <w:r w:rsidRPr="00B52A1A">
              <w:rPr>
                <w:b/>
                <w:bCs/>
                <w:sz w:val="20"/>
                <w:szCs w:val="20"/>
              </w:rPr>
              <w:t>Data Source</w:t>
            </w:r>
          </w:p>
        </w:tc>
      </w:tr>
      <w:tr w:rsidR="00844A2F" w:rsidRPr="00B52A1A">
        <w:trPr>
          <w:trHeight w:val="360"/>
        </w:trPr>
        <w:tc>
          <w:tcPr>
            <w:tcW w:w="1800" w:type="dxa"/>
          </w:tcPr>
          <w:p w:rsidR="00844A2F" w:rsidRPr="00B52A1A" w:rsidRDefault="00844A2F" w:rsidP="00B52A1A">
            <w:pPr>
              <w:spacing w:after="0" w:line="480" w:lineRule="auto"/>
              <w:rPr>
                <w:color w:val="000000"/>
                <w:sz w:val="20"/>
                <w:szCs w:val="20"/>
              </w:rPr>
            </w:pPr>
            <w:r w:rsidRPr="00B52A1A">
              <w:rPr>
                <w:color w:val="000000"/>
                <w:sz w:val="20"/>
                <w:szCs w:val="20"/>
              </w:rPr>
              <w:t>Alcohol availability</w:t>
            </w:r>
            <w:r w:rsidRPr="00B52A1A">
              <w:rPr>
                <w:noProof/>
                <w:color w:val="000000"/>
                <w:sz w:val="20"/>
                <w:szCs w:val="20"/>
                <w:vertAlign w:val="superscript"/>
              </w:rPr>
              <w:t>78</w:t>
            </w:r>
          </w:p>
        </w:tc>
        <w:tc>
          <w:tcPr>
            <w:tcW w:w="8005" w:type="dxa"/>
            <w:tcBorders>
              <w:top w:val="single" w:sz="4" w:space="0" w:color="auto"/>
              <w:bottom w:val="nil"/>
              <w:right w:val="nil"/>
            </w:tcBorders>
          </w:tcPr>
          <w:p w:rsidR="00844A2F" w:rsidRPr="00B52A1A" w:rsidRDefault="00844A2F" w:rsidP="00B52A1A">
            <w:pPr>
              <w:spacing w:after="0" w:line="480" w:lineRule="auto"/>
              <w:rPr>
                <w:color w:val="000000"/>
                <w:sz w:val="20"/>
                <w:szCs w:val="20"/>
              </w:rPr>
            </w:pPr>
            <w:r w:rsidRPr="00B52A1A">
              <w:rPr>
                <w:color w:val="000000"/>
                <w:sz w:val="20"/>
                <w:szCs w:val="20"/>
              </w:rPr>
              <w:t>Counts of business types that allow alcohol sales (aggregated by zip codes) per 10,000 residents</w:t>
            </w:r>
          </w:p>
        </w:tc>
        <w:tc>
          <w:tcPr>
            <w:tcW w:w="3870" w:type="dxa"/>
            <w:tcBorders>
              <w:top w:val="single" w:sz="4" w:space="0" w:color="auto"/>
              <w:left w:val="nil"/>
              <w:bottom w:val="nil"/>
            </w:tcBorders>
          </w:tcPr>
          <w:p w:rsidR="00844A2F" w:rsidRPr="00B52A1A" w:rsidRDefault="00844A2F" w:rsidP="00B52A1A">
            <w:pPr>
              <w:spacing w:after="0" w:line="480" w:lineRule="auto"/>
              <w:rPr>
                <w:color w:val="000000"/>
                <w:sz w:val="20"/>
                <w:szCs w:val="20"/>
              </w:rPr>
            </w:pPr>
            <w:r w:rsidRPr="00B52A1A">
              <w:rPr>
                <w:color w:val="000000"/>
                <w:sz w:val="20"/>
                <w:szCs w:val="20"/>
              </w:rPr>
              <w:t xml:space="preserve">NAICS codes in Economic Census &amp; Distilled Spirits Council of the United States (DISCUS) </w:t>
            </w:r>
          </w:p>
        </w:tc>
      </w:tr>
      <w:tr w:rsidR="00844A2F" w:rsidRPr="00B52A1A">
        <w:trPr>
          <w:trHeight w:val="360"/>
        </w:trPr>
        <w:tc>
          <w:tcPr>
            <w:tcW w:w="1800" w:type="dxa"/>
          </w:tcPr>
          <w:p w:rsidR="00844A2F" w:rsidRPr="00B52A1A" w:rsidRDefault="00844A2F" w:rsidP="00B52A1A">
            <w:pPr>
              <w:spacing w:after="0" w:line="480" w:lineRule="auto"/>
              <w:rPr>
                <w:color w:val="000000"/>
                <w:sz w:val="20"/>
                <w:szCs w:val="20"/>
              </w:rPr>
            </w:pPr>
            <w:r w:rsidRPr="00B52A1A">
              <w:rPr>
                <w:color w:val="000000"/>
                <w:sz w:val="20"/>
                <w:szCs w:val="20"/>
              </w:rPr>
              <w:t>Alcohol availability</w:t>
            </w:r>
            <w:r w:rsidRPr="00B52A1A">
              <w:rPr>
                <w:noProof/>
                <w:color w:val="000000"/>
                <w:sz w:val="20"/>
                <w:szCs w:val="20"/>
                <w:vertAlign w:val="superscript"/>
              </w:rPr>
              <w:t>79, 80</w:t>
            </w:r>
          </w:p>
        </w:tc>
        <w:tc>
          <w:tcPr>
            <w:tcW w:w="8005" w:type="dxa"/>
            <w:tcBorders>
              <w:top w:val="nil"/>
            </w:tcBorders>
          </w:tcPr>
          <w:p w:rsidR="00844A2F" w:rsidRPr="00B52A1A" w:rsidRDefault="00844A2F" w:rsidP="00B52A1A">
            <w:pPr>
              <w:spacing w:after="0" w:line="480" w:lineRule="auto"/>
              <w:rPr>
                <w:color w:val="000000"/>
                <w:sz w:val="20"/>
                <w:szCs w:val="20"/>
              </w:rPr>
            </w:pPr>
            <w:r w:rsidRPr="00B52A1A">
              <w:rPr>
                <w:color w:val="000000"/>
                <w:sz w:val="20"/>
                <w:szCs w:val="20"/>
              </w:rPr>
              <w:t>Total number of alcohol outlets per 1,000 census tract population</w:t>
            </w:r>
          </w:p>
        </w:tc>
        <w:tc>
          <w:tcPr>
            <w:tcW w:w="3870" w:type="dxa"/>
            <w:tcBorders>
              <w:top w:val="nil"/>
            </w:tcBorders>
          </w:tcPr>
          <w:p w:rsidR="00844A2F" w:rsidRPr="00B52A1A" w:rsidRDefault="00844A2F" w:rsidP="00B52A1A">
            <w:pPr>
              <w:spacing w:after="0" w:line="480" w:lineRule="auto"/>
              <w:rPr>
                <w:color w:val="000000"/>
                <w:sz w:val="20"/>
                <w:szCs w:val="20"/>
              </w:rPr>
            </w:pPr>
            <w:r w:rsidRPr="00B52A1A">
              <w:rPr>
                <w:color w:val="000000"/>
                <w:sz w:val="20"/>
                <w:szCs w:val="20"/>
              </w:rPr>
              <w:t>State Licensing Bureau or State Alcoholic Beverage Commission data</w:t>
            </w:r>
          </w:p>
        </w:tc>
      </w:tr>
      <w:tr w:rsidR="00844A2F" w:rsidRPr="00B52A1A">
        <w:trPr>
          <w:trHeight w:val="360"/>
        </w:trPr>
        <w:tc>
          <w:tcPr>
            <w:tcW w:w="1800" w:type="dxa"/>
          </w:tcPr>
          <w:p w:rsidR="00844A2F" w:rsidRPr="00B52A1A" w:rsidRDefault="00844A2F" w:rsidP="00B52A1A">
            <w:pPr>
              <w:spacing w:after="0" w:line="480" w:lineRule="auto"/>
              <w:rPr>
                <w:color w:val="000000"/>
                <w:sz w:val="20"/>
                <w:szCs w:val="20"/>
              </w:rPr>
            </w:pPr>
            <w:r w:rsidRPr="00B52A1A">
              <w:rPr>
                <w:color w:val="000000"/>
                <w:sz w:val="20"/>
                <w:szCs w:val="20"/>
              </w:rPr>
              <w:t>Alcohol availability</w:t>
            </w:r>
            <w:bookmarkStart w:id="1" w:name="_Ref474500160"/>
            <w:r w:rsidRPr="00B52A1A">
              <w:rPr>
                <w:noProof/>
                <w:color w:val="000000"/>
                <w:sz w:val="20"/>
                <w:szCs w:val="20"/>
                <w:vertAlign w:val="superscript"/>
              </w:rPr>
              <w:t>81</w:t>
            </w:r>
            <w:bookmarkEnd w:id="1"/>
          </w:p>
        </w:tc>
        <w:tc>
          <w:tcPr>
            <w:tcW w:w="8005" w:type="dxa"/>
          </w:tcPr>
          <w:p w:rsidR="00844A2F" w:rsidRPr="00B52A1A" w:rsidRDefault="00844A2F" w:rsidP="00B52A1A">
            <w:pPr>
              <w:spacing w:after="0" w:line="480" w:lineRule="auto"/>
              <w:rPr>
                <w:color w:val="000000"/>
                <w:sz w:val="20"/>
                <w:szCs w:val="20"/>
              </w:rPr>
            </w:pPr>
            <w:r w:rsidRPr="00B52A1A">
              <w:rPr>
                <w:color w:val="000000"/>
                <w:sz w:val="20"/>
                <w:szCs w:val="20"/>
              </w:rPr>
              <w:t>The number of stores and bars selling alcohol (not including restaurants) per 100,000 population</w:t>
            </w:r>
          </w:p>
        </w:tc>
        <w:tc>
          <w:tcPr>
            <w:tcW w:w="3870" w:type="dxa"/>
          </w:tcPr>
          <w:p w:rsidR="00844A2F" w:rsidRPr="00B52A1A" w:rsidRDefault="00844A2F" w:rsidP="00B52A1A">
            <w:pPr>
              <w:spacing w:after="0" w:line="480" w:lineRule="auto"/>
              <w:rPr>
                <w:color w:val="000000"/>
                <w:sz w:val="20"/>
                <w:szCs w:val="20"/>
              </w:rPr>
            </w:pPr>
            <w:r w:rsidRPr="00B52A1A">
              <w:rPr>
                <w:color w:val="000000"/>
                <w:sz w:val="20"/>
                <w:szCs w:val="20"/>
              </w:rPr>
              <w:t>ZIP Code Business Patterns data from U.S. Census Bureau &amp; U.S. Department of Commerce</w:t>
            </w:r>
          </w:p>
        </w:tc>
      </w:tr>
      <w:tr w:rsidR="00844A2F" w:rsidRPr="00B52A1A">
        <w:trPr>
          <w:trHeight w:val="360"/>
        </w:trPr>
        <w:tc>
          <w:tcPr>
            <w:tcW w:w="1800" w:type="dxa"/>
          </w:tcPr>
          <w:p w:rsidR="00844A2F" w:rsidRPr="00B52A1A" w:rsidRDefault="00844A2F" w:rsidP="00B52A1A">
            <w:pPr>
              <w:spacing w:after="0" w:line="480" w:lineRule="auto"/>
              <w:rPr>
                <w:sz w:val="20"/>
                <w:szCs w:val="20"/>
              </w:rPr>
            </w:pPr>
            <w:r w:rsidRPr="00B52A1A">
              <w:rPr>
                <w:color w:val="000000"/>
                <w:sz w:val="20"/>
                <w:szCs w:val="20"/>
              </w:rPr>
              <w:t>Alcohol outlet density</w:t>
            </w:r>
            <w:r w:rsidRPr="00B52A1A">
              <w:rPr>
                <w:noProof/>
                <w:color w:val="000000"/>
                <w:sz w:val="20"/>
                <w:szCs w:val="20"/>
                <w:vertAlign w:val="superscript"/>
              </w:rPr>
              <w:t>82</w:t>
            </w:r>
          </w:p>
        </w:tc>
        <w:tc>
          <w:tcPr>
            <w:tcW w:w="8005" w:type="dxa"/>
          </w:tcPr>
          <w:p w:rsidR="00844A2F" w:rsidRPr="00B52A1A" w:rsidRDefault="00844A2F" w:rsidP="00B52A1A">
            <w:pPr>
              <w:spacing w:after="0" w:line="480" w:lineRule="auto"/>
              <w:rPr>
                <w:sz w:val="20"/>
                <w:szCs w:val="20"/>
              </w:rPr>
            </w:pPr>
            <w:r w:rsidRPr="00B52A1A">
              <w:rPr>
                <w:color w:val="000000"/>
                <w:sz w:val="20"/>
                <w:szCs w:val="20"/>
              </w:rPr>
              <w:t xml:space="preserve">Count of alcohol outlets by category (package store, grocery store, </w:t>
            </w:r>
            <w:proofErr w:type="spellStart"/>
            <w:r w:rsidRPr="00B52A1A">
              <w:rPr>
                <w:color w:val="000000"/>
                <w:sz w:val="20"/>
                <w:szCs w:val="20"/>
              </w:rPr>
              <w:t>on-premise</w:t>
            </w:r>
            <w:proofErr w:type="spellEnd"/>
            <w:r w:rsidRPr="00B52A1A">
              <w:rPr>
                <w:color w:val="000000"/>
                <w:sz w:val="20"/>
                <w:szCs w:val="20"/>
              </w:rPr>
              <w:t xml:space="preserve"> except liquor) and overall number of outlets</w:t>
            </w:r>
          </w:p>
        </w:tc>
        <w:tc>
          <w:tcPr>
            <w:tcW w:w="3870" w:type="dxa"/>
          </w:tcPr>
          <w:p w:rsidR="00844A2F" w:rsidRPr="00B52A1A" w:rsidRDefault="00844A2F" w:rsidP="00B52A1A">
            <w:pPr>
              <w:spacing w:after="0" w:line="480" w:lineRule="auto"/>
              <w:rPr>
                <w:sz w:val="20"/>
                <w:szCs w:val="20"/>
              </w:rPr>
            </w:pPr>
            <w:r w:rsidRPr="00B52A1A">
              <w:rPr>
                <w:color w:val="000000"/>
                <w:sz w:val="20"/>
                <w:szCs w:val="20"/>
              </w:rPr>
              <w:t>Alcohol Beverage Regulation Administration (ABRA)</w:t>
            </w:r>
          </w:p>
        </w:tc>
      </w:tr>
      <w:tr w:rsidR="00844A2F" w:rsidRPr="00B52A1A">
        <w:trPr>
          <w:trHeight w:val="360"/>
        </w:trPr>
        <w:tc>
          <w:tcPr>
            <w:tcW w:w="1800" w:type="dxa"/>
          </w:tcPr>
          <w:p w:rsidR="00844A2F" w:rsidRPr="00B52A1A" w:rsidRDefault="00844A2F" w:rsidP="00B52A1A">
            <w:pPr>
              <w:spacing w:after="0" w:line="480" w:lineRule="auto"/>
              <w:rPr>
                <w:color w:val="000000"/>
                <w:sz w:val="20"/>
                <w:szCs w:val="20"/>
              </w:rPr>
            </w:pPr>
            <w:r w:rsidRPr="00B52A1A">
              <w:rPr>
                <w:color w:val="000000"/>
                <w:sz w:val="20"/>
                <w:szCs w:val="20"/>
              </w:rPr>
              <w:t>Alcohol outlet density</w:t>
            </w:r>
            <w:r w:rsidRPr="00B52A1A">
              <w:rPr>
                <w:noProof/>
                <w:color w:val="000000"/>
                <w:sz w:val="20"/>
                <w:szCs w:val="20"/>
                <w:vertAlign w:val="superscript"/>
              </w:rPr>
              <w:t>83</w:t>
            </w:r>
          </w:p>
        </w:tc>
        <w:tc>
          <w:tcPr>
            <w:tcW w:w="8005" w:type="dxa"/>
          </w:tcPr>
          <w:p w:rsidR="00844A2F" w:rsidRPr="00B52A1A" w:rsidRDefault="00844A2F" w:rsidP="00B52A1A">
            <w:pPr>
              <w:spacing w:after="0" w:line="480" w:lineRule="auto"/>
              <w:rPr>
                <w:color w:val="000000"/>
                <w:sz w:val="20"/>
                <w:szCs w:val="20"/>
              </w:rPr>
            </w:pPr>
            <w:r w:rsidRPr="00B52A1A">
              <w:rPr>
                <w:color w:val="000000"/>
                <w:sz w:val="20"/>
                <w:szCs w:val="20"/>
              </w:rPr>
              <w:t xml:space="preserve">Total count of </w:t>
            </w:r>
            <w:proofErr w:type="spellStart"/>
            <w:r w:rsidRPr="00B52A1A">
              <w:rPr>
                <w:color w:val="000000"/>
                <w:sz w:val="20"/>
                <w:szCs w:val="20"/>
              </w:rPr>
              <w:t>on-premise</w:t>
            </w:r>
            <w:proofErr w:type="spellEnd"/>
            <w:r w:rsidRPr="00B52A1A">
              <w:rPr>
                <w:color w:val="000000"/>
                <w:sz w:val="20"/>
                <w:szCs w:val="20"/>
              </w:rPr>
              <w:t xml:space="preserve"> and off-premise alcohol outlets per square mile within a census block (excluding airports, distilleries, large-scale distributors and sacramental wine vendors)</w:t>
            </w:r>
          </w:p>
        </w:tc>
        <w:tc>
          <w:tcPr>
            <w:tcW w:w="3870" w:type="dxa"/>
          </w:tcPr>
          <w:p w:rsidR="00844A2F" w:rsidRPr="00B52A1A" w:rsidRDefault="00844A2F" w:rsidP="00B52A1A">
            <w:pPr>
              <w:spacing w:after="0" w:line="480" w:lineRule="auto"/>
              <w:rPr>
                <w:color w:val="000000"/>
                <w:sz w:val="20"/>
                <w:szCs w:val="20"/>
              </w:rPr>
            </w:pPr>
            <w:r w:rsidRPr="00B52A1A">
              <w:rPr>
                <w:color w:val="000000"/>
                <w:sz w:val="20"/>
                <w:szCs w:val="20"/>
              </w:rPr>
              <w:t>State Liquor Control Board</w:t>
            </w:r>
          </w:p>
        </w:tc>
      </w:tr>
      <w:tr w:rsidR="00844A2F" w:rsidRPr="00B52A1A">
        <w:trPr>
          <w:trHeight w:val="360"/>
        </w:trPr>
        <w:tc>
          <w:tcPr>
            <w:tcW w:w="1800" w:type="dxa"/>
          </w:tcPr>
          <w:p w:rsidR="00844A2F" w:rsidRPr="00B52A1A" w:rsidRDefault="00844A2F" w:rsidP="00B52A1A">
            <w:pPr>
              <w:spacing w:after="0" w:line="480" w:lineRule="auto"/>
              <w:rPr>
                <w:color w:val="000000"/>
                <w:sz w:val="20"/>
                <w:szCs w:val="20"/>
              </w:rPr>
            </w:pPr>
            <w:r w:rsidRPr="00B52A1A">
              <w:rPr>
                <w:color w:val="000000"/>
                <w:sz w:val="20"/>
                <w:szCs w:val="20"/>
              </w:rPr>
              <w:t>Alcohol outlet density</w:t>
            </w:r>
            <w:r w:rsidRPr="00B52A1A">
              <w:rPr>
                <w:noProof/>
                <w:color w:val="000000"/>
                <w:sz w:val="20"/>
                <w:szCs w:val="20"/>
                <w:vertAlign w:val="superscript"/>
              </w:rPr>
              <w:t>84</w:t>
            </w:r>
          </w:p>
        </w:tc>
        <w:tc>
          <w:tcPr>
            <w:tcW w:w="8005" w:type="dxa"/>
          </w:tcPr>
          <w:p w:rsidR="00844A2F" w:rsidRPr="00B52A1A" w:rsidRDefault="00844A2F" w:rsidP="00B52A1A">
            <w:pPr>
              <w:spacing w:after="0" w:line="480" w:lineRule="auto"/>
              <w:rPr>
                <w:color w:val="000000"/>
                <w:sz w:val="20"/>
                <w:szCs w:val="20"/>
              </w:rPr>
            </w:pPr>
            <w:r w:rsidRPr="00B52A1A">
              <w:rPr>
                <w:color w:val="000000"/>
                <w:sz w:val="20"/>
                <w:szCs w:val="20"/>
              </w:rPr>
              <w:t>The number of alcohol outlets by census block group, total counts and separate calculations for restaurants that sold only wine and malt alcohol, restaurants that sold all types of alcohol, package alcohol outlets, and all other types of outlets</w:t>
            </w:r>
          </w:p>
        </w:tc>
        <w:tc>
          <w:tcPr>
            <w:tcW w:w="3870" w:type="dxa"/>
          </w:tcPr>
          <w:p w:rsidR="00844A2F" w:rsidRPr="00B52A1A" w:rsidRDefault="00844A2F" w:rsidP="00B52A1A">
            <w:pPr>
              <w:spacing w:after="0" w:line="480" w:lineRule="auto"/>
              <w:rPr>
                <w:color w:val="000000"/>
                <w:sz w:val="20"/>
                <w:szCs w:val="20"/>
              </w:rPr>
            </w:pPr>
            <w:r w:rsidRPr="00B52A1A">
              <w:rPr>
                <w:color w:val="000000"/>
                <w:sz w:val="20"/>
                <w:szCs w:val="20"/>
              </w:rPr>
              <w:t>State Alcohol Beverage Control Commission</w:t>
            </w:r>
          </w:p>
        </w:tc>
      </w:tr>
      <w:tr w:rsidR="00844A2F" w:rsidRPr="00B52A1A">
        <w:trPr>
          <w:trHeight w:val="360"/>
        </w:trPr>
        <w:tc>
          <w:tcPr>
            <w:tcW w:w="1800" w:type="dxa"/>
          </w:tcPr>
          <w:p w:rsidR="00844A2F" w:rsidRPr="00B52A1A" w:rsidRDefault="00844A2F" w:rsidP="00B52A1A">
            <w:pPr>
              <w:spacing w:after="0" w:line="480" w:lineRule="auto"/>
              <w:rPr>
                <w:color w:val="000000"/>
                <w:sz w:val="20"/>
                <w:szCs w:val="20"/>
              </w:rPr>
            </w:pPr>
            <w:r w:rsidRPr="00B52A1A">
              <w:rPr>
                <w:color w:val="000000"/>
                <w:sz w:val="20"/>
                <w:szCs w:val="20"/>
              </w:rPr>
              <w:t>Alcohol outlet density</w:t>
            </w:r>
            <w:bookmarkStart w:id="2" w:name="_Ref474500892"/>
            <w:r w:rsidRPr="00B52A1A">
              <w:rPr>
                <w:noProof/>
                <w:color w:val="000000"/>
                <w:sz w:val="20"/>
                <w:szCs w:val="20"/>
                <w:vertAlign w:val="superscript"/>
              </w:rPr>
              <w:t>85</w:t>
            </w:r>
            <w:bookmarkEnd w:id="2"/>
          </w:p>
        </w:tc>
        <w:tc>
          <w:tcPr>
            <w:tcW w:w="8005" w:type="dxa"/>
          </w:tcPr>
          <w:p w:rsidR="00844A2F" w:rsidRPr="00B52A1A" w:rsidRDefault="00844A2F" w:rsidP="00B52A1A">
            <w:pPr>
              <w:spacing w:after="0" w:line="480" w:lineRule="auto"/>
              <w:rPr>
                <w:color w:val="000000"/>
                <w:sz w:val="20"/>
                <w:szCs w:val="20"/>
              </w:rPr>
            </w:pPr>
            <w:r w:rsidRPr="00B52A1A">
              <w:rPr>
                <w:sz w:val="20"/>
                <w:szCs w:val="20"/>
              </w:rPr>
              <w:t>The number of restaurants, bars and off premise establishments per square mile within each ZIP code in each year</w:t>
            </w:r>
          </w:p>
        </w:tc>
        <w:tc>
          <w:tcPr>
            <w:tcW w:w="3870" w:type="dxa"/>
          </w:tcPr>
          <w:p w:rsidR="00844A2F" w:rsidRPr="00B52A1A" w:rsidRDefault="00844A2F" w:rsidP="00B52A1A">
            <w:pPr>
              <w:spacing w:after="0" w:line="480" w:lineRule="auto"/>
              <w:rPr>
                <w:color w:val="000000"/>
                <w:sz w:val="20"/>
                <w:szCs w:val="20"/>
              </w:rPr>
            </w:pPr>
            <w:r w:rsidRPr="00B52A1A">
              <w:rPr>
                <w:color w:val="000000"/>
                <w:sz w:val="20"/>
                <w:szCs w:val="20"/>
              </w:rPr>
              <w:t>State Department of Alcohol Beverage Control</w:t>
            </w:r>
          </w:p>
        </w:tc>
      </w:tr>
      <w:tr w:rsidR="00844A2F" w:rsidRPr="00B52A1A">
        <w:trPr>
          <w:trHeight w:val="360"/>
        </w:trPr>
        <w:tc>
          <w:tcPr>
            <w:tcW w:w="1800" w:type="dxa"/>
          </w:tcPr>
          <w:p w:rsidR="00844A2F" w:rsidRPr="00B52A1A" w:rsidRDefault="00844A2F" w:rsidP="00B52A1A">
            <w:pPr>
              <w:spacing w:after="0" w:line="480" w:lineRule="auto"/>
              <w:rPr>
                <w:color w:val="000000"/>
                <w:sz w:val="20"/>
                <w:szCs w:val="20"/>
              </w:rPr>
            </w:pPr>
            <w:r w:rsidRPr="00B52A1A">
              <w:rPr>
                <w:color w:val="000000"/>
                <w:sz w:val="20"/>
                <w:szCs w:val="20"/>
              </w:rPr>
              <w:t>Alcohol outlet density</w:t>
            </w:r>
            <w:r w:rsidRPr="00B52A1A">
              <w:rPr>
                <w:noProof/>
                <w:color w:val="000000"/>
                <w:sz w:val="20"/>
                <w:szCs w:val="20"/>
                <w:vertAlign w:val="superscript"/>
              </w:rPr>
              <w:t>86</w:t>
            </w:r>
          </w:p>
        </w:tc>
        <w:tc>
          <w:tcPr>
            <w:tcW w:w="8005" w:type="dxa"/>
          </w:tcPr>
          <w:p w:rsidR="00844A2F" w:rsidRPr="00B52A1A" w:rsidRDefault="00844A2F" w:rsidP="00B52A1A">
            <w:pPr>
              <w:spacing w:after="0" w:line="480" w:lineRule="auto"/>
              <w:rPr>
                <w:color w:val="000000"/>
                <w:sz w:val="20"/>
                <w:szCs w:val="20"/>
              </w:rPr>
            </w:pPr>
            <w:r w:rsidRPr="00B52A1A">
              <w:rPr>
                <w:color w:val="000000"/>
                <w:sz w:val="20"/>
                <w:szCs w:val="20"/>
              </w:rPr>
              <w:t xml:space="preserve">The number of off-premise alcohol outlets (liquor stores and vendors that sell alcohol for consumption elsewhere) and </w:t>
            </w:r>
            <w:proofErr w:type="spellStart"/>
            <w:r w:rsidRPr="00B52A1A">
              <w:rPr>
                <w:color w:val="000000"/>
                <w:sz w:val="20"/>
                <w:szCs w:val="20"/>
              </w:rPr>
              <w:t>on-premise</w:t>
            </w:r>
            <w:proofErr w:type="spellEnd"/>
            <w:r w:rsidRPr="00B52A1A">
              <w:rPr>
                <w:color w:val="000000"/>
                <w:sz w:val="20"/>
                <w:szCs w:val="20"/>
              </w:rPr>
              <w:t xml:space="preserve"> outlets (establishments such as restaurants or bars </w:t>
            </w:r>
            <w:r w:rsidRPr="00B52A1A">
              <w:rPr>
                <w:color w:val="000000"/>
                <w:sz w:val="20"/>
                <w:szCs w:val="20"/>
              </w:rPr>
              <w:lastRenderedPageBreak/>
              <w:t xml:space="preserve">where alcohol is typically purchased and consumed onsite) divided by </w:t>
            </w:r>
            <w:r w:rsidRPr="00B52A1A">
              <w:rPr>
                <w:sz w:val="20"/>
                <w:szCs w:val="20"/>
              </w:rPr>
              <w:t>the total population size for each zip code based on 1990 US Census estimates to create a density measure per 10,000 persons</w:t>
            </w:r>
          </w:p>
        </w:tc>
        <w:tc>
          <w:tcPr>
            <w:tcW w:w="3870" w:type="dxa"/>
          </w:tcPr>
          <w:p w:rsidR="00844A2F" w:rsidRPr="00B52A1A" w:rsidRDefault="00844A2F" w:rsidP="00B52A1A">
            <w:pPr>
              <w:spacing w:after="0" w:line="480" w:lineRule="auto"/>
              <w:rPr>
                <w:color w:val="000000"/>
                <w:sz w:val="20"/>
                <w:szCs w:val="20"/>
              </w:rPr>
            </w:pPr>
            <w:r w:rsidRPr="00B52A1A">
              <w:rPr>
                <w:color w:val="000000"/>
                <w:sz w:val="20"/>
                <w:szCs w:val="20"/>
              </w:rPr>
              <w:lastRenderedPageBreak/>
              <w:t>North American Industry Classification System (NAICS) codes in U.S. Census</w:t>
            </w:r>
          </w:p>
        </w:tc>
      </w:tr>
      <w:tr w:rsidR="00844A2F" w:rsidRPr="00B52A1A">
        <w:trPr>
          <w:trHeight w:val="360"/>
        </w:trPr>
        <w:tc>
          <w:tcPr>
            <w:tcW w:w="1800" w:type="dxa"/>
          </w:tcPr>
          <w:p w:rsidR="00844A2F" w:rsidRPr="00B52A1A" w:rsidRDefault="00844A2F" w:rsidP="00B52A1A">
            <w:pPr>
              <w:spacing w:after="0" w:line="480" w:lineRule="auto"/>
              <w:rPr>
                <w:color w:val="000000"/>
                <w:sz w:val="20"/>
                <w:szCs w:val="20"/>
              </w:rPr>
            </w:pPr>
            <w:r w:rsidRPr="00B52A1A">
              <w:rPr>
                <w:color w:val="000000"/>
                <w:sz w:val="20"/>
                <w:szCs w:val="20"/>
              </w:rPr>
              <w:t>Alcohol outlet density</w:t>
            </w:r>
            <w:bookmarkStart w:id="3" w:name="_Ref474502960"/>
            <w:r w:rsidRPr="00B52A1A">
              <w:rPr>
                <w:noProof/>
                <w:color w:val="000000"/>
                <w:sz w:val="20"/>
                <w:szCs w:val="20"/>
                <w:vertAlign w:val="superscript"/>
              </w:rPr>
              <w:t>87</w:t>
            </w:r>
            <w:bookmarkEnd w:id="3"/>
          </w:p>
        </w:tc>
        <w:tc>
          <w:tcPr>
            <w:tcW w:w="8005" w:type="dxa"/>
          </w:tcPr>
          <w:p w:rsidR="00844A2F" w:rsidRPr="00B52A1A" w:rsidRDefault="00844A2F" w:rsidP="00B52A1A">
            <w:pPr>
              <w:spacing w:after="0" w:line="480" w:lineRule="auto"/>
              <w:rPr>
                <w:color w:val="000000"/>
                <w:sz w:val="20"/>
                <w:szCs w:val="20"/>
              </w:rPr>
            </w:pPr>
            <w:r w:rsidRPr="00B52A1A">
              <w:rPr>
                <w:color w:val="000000"/>
                <w:sz w:val="20"/>
                <w:szCs w:val="20"/>
              </w:rPr>
              <w:t>The number of beer, wine and liquor stores divided by total population</w:t>
            </w:r>
          </w:p>
        </w:tc>
        <w:tc>
          <w:tcPr>
            <w:tcW w:w="3870" w:type="dxa"/>
          </w:tcPr>
          <w:p w:rsidR="00844A2F" w:rsidRPr="00B52A1A" w:rsidRDefault="00844A2F" w:rsidP="00B52A1A">
            <w:pPr>
              <w:spacing w:after="0" w:line="480" w:lineRule="auto"/>
              <w:rPr>
                <w:color w:val="000000"/>
                <w:sz w:val="20"/>
                <w:szCs w:val="20"/>
              </w:rPr>
            </w:pPr>
            <w:r w:rsidRPr="00B52A1A">
              <w:rPr>
                <w:color w:val="000000"/>
                <w:sz w:val="20"/>
                <w:szCs w:val="20"/>
              </w:rPr>
              <w:t>U.S. Census of Economic Activity</w:t>
            </w:r>
          </w:p>
        </w:tc>
      </w:tr>
      <w:tr w:rsidR="00844A2F" w:rsidRPr="00B52A1A">
        <w:trPr>
          <w:trHeight w:val="360"/>
        </w:trPr>
        <w:tc>
          <w:tcPr>
            <w:tcW w:w="1800" w:type="dxa"/>
          </w:tcPr>
          <w:p w:rsidR="00844A2F" w:rsidRPr="00B52A1A" w:rsidRDefault="00844A2F" w:rsidP="00B52A1A">
            <w:pPr>
              <w:spacing w:after="0" w:line="480" w:lineRule="auto"/>
              <w:rPr>
                <w:color w:val="000000"/>
                <w:sz w:val="20"/>
                <w:szCs w:val="20"/>
              </w:rPr>
            </w:pPr>
            <w:r w:rsidRPr="00B52A1A">
              <w:rPr>
                <w:color w:val="000000"/>
                <w:sz w:val="20"/>
                <w:szCs w:val="20"/>
              </w:rPr>
              <w:t>Alcohol outlet density</w:t>
            </w:r>
            <w:bookmarkStart w:id="4" w:name="_Ref474499880"/>
            <w:r w:rsidRPr="00B52A1A">
              <w:rPr>
                <w:noProof/>
                <w:color w:val="000000"/>
                <w:sz w:val="20"/>
                <w:szCs w:val="20"/>
                <w:vertAlign w:val="superscript"/>
              </w:rPr>
              <w:t>88, 89</w:t>
            </w:r>
            <w:bookmarkEnd w:id="4"/>
          </w:p>
        </w:tc>
        <w:tc>
          <w:tcPr>
            <w:tcW w:w="8005" w:type="dxa"/>
          </w:tcPr>
          <w:p w:rsidR="00844A2F" w:rsidRPr="00B52A1A" w:rsidRDefault="00844A2F" w:rsidP="00B52A1A">
            <w:pPr>
              <w:spacing w:after="0" w:line="480" w:lineRule="auto"/>
              <w:rPr>
                <w:color w:val="000000"/>
                <w:sz w:val="20"/>
                <w:szCs w:val="20"/>
              </w:rPr>
            </w:pPr>
            <w:r w:rsidRPr="00B52A1A">
              <w:rPr>
                <w:color w:val="000000"/>
                <w:sz w:val="20"/>
                <w:szCs w:val="20"/>
              </w:rPr>
              <w:t>Rates of alcohol outlets per 100 population per census tract (excluding wholesale distributors and manufacturers)</w:t>
            </w:r>
          </w:p>
        </w:tc>
        <w:tc>
          <w:tcPr>
            <w:tcW w:w="3870" w:type="dxa"/>
          </w:tcPr>
          <w:p w:rsidR="00844A2F" w:rsidRPr="00B52A1A" w:rsidRDefault="00844A2F" w:rsidP="00B52A1A">
            <w:pPr>
              <w:spacing w:after="0" w:line="480" w:lineRule="auto"/>
              <w:rPr>
                <w:color w:val="000000"/>
                <w:sz w:val="20"/>
                <w:szCs w:val="20"/>
              </w:rPr>
            </w:pPr>
            <w:r w:rsidRPr="00B52A1A">
              <w:rPr>
                <w:color w:val="000000"/>
                <w:sz w:val="20"/>
                <w:szCs w:val="20"/>
              </w:rPr>
              <w:t>City Office of Liquor Control or State  Alcoholic Beverage Commission</w:t>
            </w:r>
          </w:p>
        </w:tc>
      </w:tr>
      <w:tr w:rsidR="00844A2F" w:rsidRPr="00B52A1A">
        <w:trPr>
          <w:trHeight w:val="360"/>
        </w:trPr>
        <w:tc>
          <w:tcPr>
            <w:tcW w:w="1800" w:type="dxa"/>
          </w:tcPr>
          <w:p w:rsidR="00844A2F" w:rsidRPr="00B52A1A" w:rsidRDefault="00844A2F" w:rsidP="00B52A1A">
            <w:pPr>
              <w:spacing w:after="0" w:line="480" w:lineRule="auto"/>
              <w:rPr>
                <w:color w:val="000000"/>
                <w:sz w:val="20"/>
                <w:szCs w:val="20"/>
              </w:rPr>
            </w:pPr>
            <w:r w:rsidRPr="00B52A1A">
              <w:rPr>
                <w:color w:val="000000"/>
                <w:sz w:val="20"/>
                <w:szCs w:val="20"/>
              </w:rPr>
              <w:t>Alcohol outlet density</w:t>
            </w:r>
            <w:r w:rsidRPr="00B52A1A">
              <w:rPr>
                <w:noProof/>
                <w:color w:val="000000"/>
                <w:sz w:val="20"/>
                <w:szCs w:val="20"/>
                <w:vertAlign w:val="superscript"/>
              </w:rPr>
              <w:t>90</w:t>
            </w:r>
          </w:p>
        </w:tc>
        <w:tc>
          <w:tcPr>
            <w:tcW w:w="8005" w:type="dxa"/>
          </w:tcPr>
          <w:p w:rsidR="00844A2F" w:rsidRPr="00B52A1A" w:rsidRDefault="00844A2F" w:rsidP="00B52A1A">
            <w:pPr>
              <w:spacing w:after="0" w:line="480" w:lineRule="auto"/>
              <w:rPr>
                <w:color w:val="000000"/>
                <w:sz w:val="20"/>
                <w:szCs w:val="20"/>
              </w:rPr>
            </w:pPr>
            <w:r w:rsidRPr="00B52A1A">
              <w:rPr>
                <w:color w:val="000000"/>
                <w:sz w:val="20"/>
                <w:szCs w:val="20"/>
              </w:rPr>
              <w:t>The density of businesses  (50 per 1,000 people in the county) with licenses to sell alcohol (excluding caterers and wholesalers) disaggregated by census tract</w:t>
            </w:r>
          </w:p>
        </w:tc>
        <w:tc>
          <w:tcPr>
            <w:tcW w:w="3870" w:type="dxa"/>
          </w:tcPr>
          <w:p w:rsidR="00844A2F" w:rsidRPr="00B52A1A" w:rsidRDefault="00844A2F" w:rsidP="00B52A1A">
            <w:pPr>
              <w:spacing w:after="0" w:line="480" w:lineRule="auto"/>
              <w:rPr>
                <w:color w:val="000000"/>
                <w:sz w:val="20"/>
                <w:szCs w:val="20"/>
              </w:rPr>
            </w:pPr>
            <w:r w:rsidRPr="00B52A1A">
              <w:rPr>
                <w:color w:val="000000"/>
                <w:sz w:val="20"/>
                <w:szCs w:val="20"/>
              </w:rPr>
              <w:t>State Department of Labor and Economic Growth</w:t>
            </w:r>
          </w:p>
        </w:tc>
      </w:tr>
      <w:tr w:rsidR="00844A2F" w:rsidRPr="00B52A1A">
        <w:trPr>
          <w:trHeight w:val="360"/>
        </w:trPr>
        <w:tc>
          <w:tcPr>
            <w:tcW w:w="1800" w:type="dxa"/>
          </w:tcPr>
          <w:p w:rsidR="00844A2F" w:rsidRPr="00B52A1A" w:rsidRDefault="00844A2F" w:rsidP="00B52A1A">
            <w:pPr>
              <w:spacing w:after="0" w:line="480" w:lineRule="auto"/>
              <w:rPr>
                <w:color w:val="000000"/>
                <w:sz w:val="20"/>
                <w:szCs w:val="20"/>
              </w:rPr>
            </w:pPr>
            <w:r w:rsidRPr="00B52A1A">
              <w:rPr>
                <w:color w:val="000000"/>
                <w:sz w:val="20"/>
                <w:szCs w:val="20"/>
              </w:rPr>
              <w:t>Liquor store density</w:t>
            </w:r>
            <w:bookmarkStart w:id="5" w:name="_Ref474502482"/>
            <w:r w:rsidRPr="00B52A1A">
              <w:rPr>
                <w:noProof/>
                <w:color w:val="000000"/>
                <w:sz w:val="20"/>
                <w:szCs w:val="20"/>
                <w:vertAlign w:val="superscript"/>
              </w:rPr>
              <w:t>91</w:t>
            </w:r>
            <w:bookmarkEnd w:id="5"/>
          </w:p>
        </w:tc>
        <w:tc>
          <w:tcPr>
            <w:tcW w:w="8005" w:type="dxa"/>
          </w:tcPr>
          <w:p w:rsidR="00844A2F" w:rsidRPr="00B52A1A" w:rsidRDefault="00844A2F" w:rsidP="00B52A1A">
            <w:pPr>
              <w:spacing w:after="0" w:line="480" w:lineRule="auto"/>
              <w:rPr>
                <w:color w:val="000000"/>
                <w:sz w:val="20"/>
                <w:szCs w:val="20"/>
              </w:rPr>
            </w:pPr>
            <w:r w:rsidRPr="00B52A1A">
              <w:rPr>
                <w:color w:val="000000"/>
                <w:sz w:val="20"/>
                <w:szCs w:val="20"/>
              </w:rPr>
              <w:t>The number of liquor stores per 10K population</w:t>
            </w:r>
          </w:p>
        </w:tc>
        <w:tc>
          <w:tcPr>
            <w:tcW w:w="3870" w:type="dxa"/>
          </w:tcPr>
          <w:p w:rsidR="00844A2F" w:rsidRPr="00B52A1A" w:rsidRDefault="00844A2F" w:rsidP="00B52A1A">
            <w:pPr>
              <w:spacing w:after="0" w:line="480" w:lineRule="auto"/>
              <w:rPr>
                <w:color w:val="000000"/>
                <w:sz w:val="20"/>
                <w:szCs w:val="20"/>
              </w:rPr>
            </w:pPr>
            <w:r w:rsidRPr="00B52A1A">
              <w:rPr>
                <w:color w:val="000000"/>
                <w:sz w:val="20"/>
                <w:szCs w:val="20"/>
              </w:rPr>
              <w:t>County Health Rankings data</w:t>
            </w:r>
          </w:p>
        </w:tc>
      </w:tr>
      <w:tr w:rsidR="00844A2F" w:rsidRPr="00B52A1A">
        <w:trPr>
          <w:trHeight w:val="360"/>
        </w:trPr>
        <w:tc>
          <w:tcPr>
            <w:tcW w:w="1800" w:type="dxa"/>
          </w:tcPr>
          <w:p w:rsidR="00844A2F" w:rsidRPr="00B52A1A" w:rsidRDefault="00844A2F" w:rsidP="00B52A1A">
            <w:pPr>
              <w:spacing w:after="0" w:line="480" w:lineRule="auto"/>
              <w:rPr>
                <w:color w:val="000000"/>
                <w:sz w:val="20"/>
                <w:szCs w:val="20"/>
              </w:rPr>
            </w:pPr>
            <w:r w:rsidRPr="00B52A1A">
              <w:rPr>
                <w:color w:val="000000"/>
                <w:sz w:val="20"/>
                <w:szCs w:val="20"/>
              </w:rPr>
              <w:t>Alcohol outlet density</w:t>
            </w:r>
            <w:r w:rsidRPr="00B52A1A">
              <w:rPr>
                <w:noProof/>
                <w:color w:val="000000"/>
                <w:sz w:val="20"/>
                <w:szCs w:val="20"/>
                <w:vertAlign w:val="superscript"/>
              </w:rPr>
              <w:t>92</w:t>
            </w:r>
          </w:p>
        </w:tc>
        <w:tc>
          <w:tcPr>
            <w:tcW w:w="8005" w:type="dxa"/>
          </w:tcPr>
          <w:p w:rsidR="00844A2F" w:rsidRPr="00B52A1A" w:rsidRDefault="00844A2F" w:rsidP="00B52A1A">
            <w:pPr>
              <w:spacing w:after="0" w:line="480" w:lineRule="auto"/>
              <w:rPr>
                <w:color w:val="000000"/>
                <w:sz w:val="20"/>
                <w:szCs w:val="20"/>
              </w:rPr>
            </w:pPr>
            <w:r w:rsidRPr="00B52A1A">
              <w:rPr>
                <w:color w:val="000000"/>
                <w:sz w:val="20"/>
                <w:szCs w:val="20"/>
              </w:rPr>
              <w:t>The size of the block group in square miles for all alcohol outlet variables (restaurant, store, tavern, nightclub, hotel &amp; multipurpose facilities excluding caterers and wholesalers) coded as on premise or off premise (stores only)</w:t>
            </w:r>
          </w:p>
        </w:tc>
        <w:tc>
          <w:tcPr>
            <w:tcW w:w="3870" w:type="dxa"/>
          </w:tcPr>
          <w:p w:rsidR="00844A2F" w:rsidRPr="00B52A1A" w:rsidRDefault="00844A2F" w:rsidP="00B52A1A">
            <w:pPr>
              <w:spacing w:after="0" w:line="480" w:lineRule="auto"/>
              <w:rPr>
                <w:color w:val="000000"/>
                <w:sz w:val="20"/>
                <w:szCs w:val="20"/>
              </w:rPr>
            </w:pPr>
            <w:r w:rsidRPr="00B52A1A">
              <w:rPr>
                <w:color w:val="000000"/>
                <w:sz w:val="20"/>
                <w:szCs w:val="20"/>
              </w:rPr>
              <w:t>The Alcoholic Beverage Regulation Administration (ABRA)</w:t>
            </w:r>
          </w:p>
        </w:tc>
      </w:tr>
      <w:tr w:rsidR="00844A2F" w:rsidRPr="00B52A1A">
        <w:trPr>
          <w:trHeight w:val="360"/>
        </w:trPr>
        <w:tc>
          <w:tcPr>
            <w:tcW w:w="1800" w:type="dxa"/>
          </w:tcPr>
          <w:p w:rsidR="00844A2F" w:rsidRPr="00B52A1A" w:rsidRDefault="00844A2F" w:rsidP="00B52A1A">
            <w:pPr>
              <w:spacing w:after="0" w:line="480" w:lineRule="auto"/>
              <w:rPr>
                <w:color w:val="000000"/>
                <w:sz w:val="20"/>
                <w:szCs w:val="20"/>
              </w:rPr>
            </w:pPr>
            <w:r w:rsidRPr="00B52A1A">
              <w:rPr>
                <w:color w:val="000000"/>
                <w:sz w:val="20"/>
                <w:szCs w:val="20"/>
              </w:rPr>
              <w:t>Alcohol outlet density</w:t>
            </w:r>
            <w:r w:rsidRPr="00B52A1A">
              <w:rPr>
                <w:noProof/>
                <w:color w:val="000000"/>
                <w:sz w:val="20"/>
                <w:szCs w:val="20"/>
                <w:vertAlign w:val="superscript"/>
              </w:rPr>
              <w:t>93</w:t>
            </w:r>
          </w:p>
        </w:tc>
        <w:tc>
          <w:tcPr>
            <w:tcW w:w="8005" w:type="dxa"/>
          </w:tcPr>
          <w:p w:rsidR="00844A2F" w:rsidRPr="00B52A1A" w:rsidRDefault="00844A2F" w:rsidP="00B52A1A">
            <w:pPr>
              <w:spacing w:after="0" w:line="480" w:lineRule="auto"/>
              <w:rPr>
                <w:color w:val="000000"/>
                <w:sz w:val="20"/>
                <w:szCs w:val="20"/>
              </w:rPr>
            </w:pPr>
            <w:r w:rsidRPr="00B52A1A">
              <w:rPr>
                <w:color w:val="000000"/>
                <w:sz w:val="20"/>
                <w:szCs w:val="20"/>
              </w:rPr>
              <w:t xml:space="preserve">The number of businesses licensed for on-premises alcohol consumption (e.g., bars, taverns and nightclubs); off-premises consumption (e.g., packaged alcohol); and full-service restaurants per 10,000 people </w:t>
            </w:r>
          </w:p>
        </w:tc>
        <w:tc>
          <w:tcPr>
            <w:tcW w:w="3870" w:type="dxa"/>
          </w:tcPr>
          <w:p w:rsidR="00844A2F" w:rsidRPr="00B52A1A" w:rsidRDefault="00844A2F" w:rsidP="00B52A1A">
            <w:pPr>
              <w:spacing w:after="0" w:line="480" w:lineRule="auto"/>
              <w:rPr>
                <w:color w:val="000000"/>
                <w:sz w:val="20"/>
                <w:szCs w:val="20"/>
              </w:rPr>
            </w:pPr>
            <w:r w:rsidRPr="00B52A1A">
              <w:rPr>
                <w:color w:val="000000"/>
                <w:sz w:val="20"/>
                <w:szCs w:val="20"/>
              </w:rPr>
              <w:t>U.S. Census</w:t>
            </w:r>
          </w:p>
        </w:tc>
      </w:tr>
      <w:tr w:rsidR="00844A2F" w:rsidRPr="00B52A1A">
        <w:trPr>
          <w:trHeight w:val="360"/>
        </w:trPr>
        <w:tc>
          <w:tcPr>
            <w:tcW w:w="1800" w:type="dxa"/>
            <w:tcBorders>
              <w:bottom w:val="nil"/>
            </w:tcBorders>
          </w:tcPr>
          <w:p w:rsidR="00844A2F" w:rsidRPr="00B52A1A" w:rsidRDefault="00844A2F" w:rsidP="00B52A1A">
            <w:pPr>
              <w:spacing w:after="0" w:line="480" w:lineRule="auto"/>
              <w:rPr>
                <w:color w:val="000000"/>
                <w:sz w:val="20"/>
                <w:szCs w:val="20"/>
              </w:rPr>
            </w:pPr>
            <w:r w:rsidRPr="00B52A1A">
              <w:rPr>
                <w:color w:val="000000"/>
                <w:sz w:val="20"/>
                <w:szCs w:val="20"/>
              </w:rPr>
              <w:lastRenderedPageBreak/>
              <w:t>Alcohol outlet density</w:t>
            </w:r>
            <w:r w:rsidRPr="00B52A1A">
              <w:rPr>
                <w:noProof/>
                <w:color w:val="000000"/>
                <w:sz w:val="20"/>
                <w:szCs w:val="20"/>
                <w:vertAlign w:val="superscript"/>
              </w:rPr>
              <w:t>94</w:t>
            </w:r>
          </w:p>
        </w:tc>
        <w:tc>
          <w:tcPr>
            <w:tcW w:w="8005" w:type="dxa"/>
            <w:tcBorders>
              <w:bottom w:val="nil"/>
            </w:tcBorders>
          </w:tcPr>
          <w:p w:rsidR="00844A2F" w:rsidRPr="00B52A1A" w:rsidRDefault="00844A2F" w:rsidP="00B52A1A">
            <w:pPr>
              <w:spacing w:after="0" w:line="480" w:lineRule="auto"/>
              <w:rPr>
                <w:color w:val="000000"/>
                <w:sz w:val="20"/>
                <w:szCs w:val="20"/>
              </w:rPr>
            </w:pPr>
            <w:r w:rsidRPr="00B52A1A">
              <w:rPr>
                <w:color w:val="000000"/>
                <w:sz w:val="20"/>
                <w:szCs w:val="20"/>
              </w:rPr>
              <w:t>Count of off-campus alcohol outlets within the 3-mile boundary of college campus divided by the 4-year mean for the total student population (both undergraduate and graduate) and then multiplied by 1,000 to yield densities per 1,000 students</w:t>
            </w:r>
          </w:p>
        </w:tc>
        <w:tc>
          <w:tcPr>
            <w:tcW w:w="3870" w:type="dxa"/>
            <w:tcBorders>
              <w:bottom w:val="nil"/>
            </w:tcBorders>
          </w:tcPr>
          <w:p w:rsidR="00844A2F" w:rsidRPr="00B52A1A" w:rsidRDefault="00844A2F" w:rsidP="00B52A1A">
            <w:pPr>
              <w:spacing w:after="0" w:line="480" w:lineRule="auto"/>
              <w:rPr>
                <w:color w:val="000000"/>
                <w:sz w:val="20"/>
                <w:szCs w:val="20"/>
              </w:rPr>
            </w:pPr>
            <w:r w:rsidRPr="00B52A1A">
              <w:rPr>
                <w:color w:val="000000"/>
                <w:sz w:val="20"/>
                <w:szCs w:val="20"/>
              </w:rPr>
              <w:t xml:space="preserve">State Alcoholic Beverage Control or Alcohol Licensing Agency &amp; observational data </w:t>
            </w:r>
          </w:p>
        </w:tc>
      </w:tr>
      <w:tr w:rsidR="00844A2F" w:rsidRPr="00B52A1A">
        <w:trPr>
          <w:trHeight w:val="360"/>
        </w:trPr>
        <w:tc>
          <w:tcPr>
            <w:tcW w:w="1800" w:type="dxa"/>
            <w:tcBorders>
              <w:top w:val="nil"/>
              <w:bottom w:val="single" w:sz="4" w:space="0" w:color="auto"/>
              <w:right w:val="nil"/>
            </w:tcBorders>
          </w:tcPr>
          <w:p w:rsidR="00844A2F" w:rsidRPr="00B52A1A" w:rsidRDefault="00844A2F" w:rsidP="00B52A1A">
            <w:pPr>
              <w:spacing w:after="0" w:line="480" w:lineRule="auto"/>
              <w:rPr>
                <w:color w:val="000000"/>
                <w:sz w:val="20"/>
                <w:szCs w:val="20"/>
              </w:rPr>
            </w:pPr>
            <w:r w:rsidRPr="00B52A1A">
              <w:rPr>
                <w:color w:val="000000"/>
                <w:sz w:val="20"/>
                <w:szCs w:val="20"/>
              </w:rPr>
              <w:t>Alcohol outlet density</w:t>
            </w:r>
            <w:r w:rsidRPr="00B52A1A">
              <w:rPr>
                <w:noProof/>
                <w:color w:val="000000"/>
                <w:sz w:val="20"/>
                <w:szCs w:val="20"/>
                <w:vertAlign w:val="superscript"/>
              </w:rPr>
              <w:t>95</w:t>
            </w:r>
          </w:p>
        </w:tc>
        <w:tc>
          <w:tcPr>
            <w:tcW w:w="8005" w:type="dxa"/>
            <w:tcBorders>
              <w:top w:val="nil"/>
              <w:left w:val="nil"/>
              <w:bottom w:val="single" w:sz="4" w:space="0" w:color="auto"/>
              <w:right w:val="nil"/>
            </w:tcBorders>
          </w:tcPr>
          <w:p w:rsidR="00844A2F" w:rsidRPr="00B52A1A" w:rsidRDefault="00844A2F" w:rsidP="00B52A1A">
            <w:pPr>
              <w:spacing w:after="0" w:line="480" w:lineRule="auto"/>
              <w:rPr>
                <w:color w:val="000000"/>
                <w:sz w:val="20"/>
                <w:szCs w:val="20"/>
              </w:rPr>
            </w:pPr>
            <w:r w:rsidRPr="00B52A1A">
              <w:rPr>
                <w:color w:val="000000"/>
                <w:sz w:val="20"/>
                <w:szCs w:val="20"/>
              </w:rPr>
              <w:t>Total numbers of alcohol outlets by outlet type for each census tract divided by (1) census tract square miles and (2) total census tract roadway miles and calculated as total outlet density, on sale outlet density, and (3) off sale outlet density</w:t>
            </w:r>
          </w:p>
        </w:tc>
        <w:tc>
          <w:tcPr>
            <w:tcW w:w="3870" w:type="dxa"/>
            <w:tcBorders>
              <w:top w:val="nil"/>
              <w:left w:val="nil"/>
              <w:bottom w:val="single" w:sz="4" w:space="0" w:color="auto"/>
            </w:tcBorders>
          </w:tcPr>
          <w:p w:rsidR="00844A2F" w:rsidRPr="00B52A1A" w:rsidRDefault="00844A2F" w:rsidP="00B52A1A">
            <w:pPr>
              <w:spacing w:after="0" w:line="480" w:lineRule="auto"/>
              <w:rPr>
                <w:color w:val="000000"/>
                <w:sz w:val="20"/>
                <w:szCs w:val="20"/>
              </w:rPr>
            </w:pPr>
            <w:r w:rsidRPr="00B52A1A">
              <w:rPr>
                <w:color w:val="000000"/>
                <w:sz w:val="20"/>
                <w:szCs w:val="20"/>
              </w:rPr>
              <w:t>State Alcohol and Tobacco Control (ATC) office</w:t>
            </w:r>
          </w:p>
        </w:tc>
      </w:tr>
    </w:tbl>
    <w:p w:rsidR="00317D33" w:rsidRDefault="00317D33" w:rsidP="00D32C19">
      <w:pPr>
        <w:pStyle w:val="EndNoteBibliography"/>
        <w:spacing w:after="0" w:line="480" w:lineRule="auto"/>
        <w:ind w:left="720" w:hanging="720"/>
      </w:pPr>
    </w:p>
    <w:p w:rsidR="00844A2F" w:rsidRDefault="00844A2F" w:rsidP="00D32C19">
      <w:pPr>
        <w:pStyle w:val="EndNoteBibliography"/>
        <w:spacing w:after="0" w:line="480" w:lineRule="auto"/>
        <w:ind w:left="720" w:hanging="720"/>
      </w:pPr>
      <w:r>
        <w:t>78.</w:t>
      </w:r>
      <w:r>
        <w:tab/>
        <w:t>McKinney CM, Chartier KG, Caetano R, Harris TR. Alcohol availability and neighborhood poverty and their relationship to binge drinking and related problems among drinkers in committed relationships. Journal of Interpersonal Violence. 2012;27:2703-27.</w:t>
      </w:r>
    </w:p>
    <w:p w:rsidR="00844A2F" w:rsidRDefault="00844A2F" w:rsidP="00D32C19">
      <w:pPr>
        <w:pStyle w:val="EndNoteBibliography"/>
        <w:spacing w:after="0" w:line="480" w:lineRule="auto"/>
        <w:ind w:left="720" w:hanging="720"/>
      </w:pPr>
      <w:r>
        <w:t>79.</w:t>
      </w:r>
      <w:r>
        <w:tab/>
        <w:t>Nielsen AL, Martinez R, Jr., Lee MT. Alcohol, Ethnicity, and Violence: The Role of Alcohol Availability for Latino and Black Aggravated Assaults and Robberies. The Sociological Quarterly. 2005;46:479-502.</w:t>
      </w:r>
    </w:p>
    <w:p w:rsidR="00844A2F" w:rsidRDefault="00844A2F" w:rsidP="00D32C19">
      <w:pPr>
        <w:pStyle w:val="EndNoteBibliography"/>
        <w:spacing w:after="0" w:line="480" w:lineRule="auto"/>
        <w:ind w:left="720" w:hanging="720"/>
      </w:pPr>
      <w:r>
        <w:t>80.</w:t>
      </w:r>
      <w:r>
        <w:tab/>
        <w:t>Sparks CS. Violent crime in San Antonio, Texas: an application of spatial epidemiological methods. Spatial and Spatio-Temporal Epidemiology. 2011;2:301-9.</w:t>
      </w:r>
    </w:p>
    <w:p w:rsidR="00844A2F" w:rsidRDefault="00844A2F" w:rsidP="00D32C19">
      <w:pPr>
        <w:pStyle w:val="EndNoteBibliography"/>
        <w:spacing w:after="0" w:line="480" w:lineRule="auto"/>
        <w:ind w:left="720" w:hanging="720"/>
      </w:pPr>
      <w:r>
        <w:t>81.</w:t>
      </w:r>
      <w:r>
        <w:tab/>
        <w:t>Stockdale SE, Wells KB, Tang L, Belin TR, Zhang L, Sherbourne CD. The importance of social context: Neighborhood stressors, stress-buffering mechanisms, and alcohol, drug, and mental health disorders. Social Science and Medicine. 2007;65:1867-81.</w:t>
      </w:r>
    </w:p>
    <w:p w:rsidR="00844A2F" w:rsidRDefault="00844A2F" w:rsidP="00D32C19">
      <w:pPr>
        <w:pStyle w:val="EndNoteBibliography"/>
        <w:spacing w:after="0" w:line="480" w:lineRule="auto"/>
        <w:ind w:left="720" w:hanging="720"/>
      </w:pPr>
      <w:r>
        <w:t>82.</w:t>
      </w:r>
      <w:r>
        <w:tab/>
        <w:t>Franklin FA, Laveist TA, Webster DW, Pan WK. Alcohol outlets and violent crime in washington d.C. The Western Journal of Emergency Medicine. 2010;11:283-90.</w:t>
      </w:r>
    </w:p>
    <w:p w:rsidR="00844A2F" w:rsidRDefault="00844A2F" w:rsidP="00D32C19">
      <w:pPr>
        <w:pStyle w:val="EndNoteBibliography"/>
        <w:spacing w:after="0" w:line="480" w:lineRule="auto"/>
        <w:ind w:left="720" w:hanging="720"/>
      </w:pPr>
      <w:r>
        <w:lastRenderedPageBreak/>
        <w:t>83.</w:t>
      </w:r>
      <w:r>
        <w:tab/>
        <w:t>Grubesic TH, Pridemore WA, Williams DA, Philip-Tabb L. Alcohol Outlet Density and Violence: The Role of Risky Retailers and Alcohol-Related Expenditures. Alcohol and Alcoholism. 2013;48:613-9. (in English).</w:t>
      </w:r>
    </w:p>
    <w:p w:rsidR="00844A2F" w:rsidRDefault="00844A2F" w:rsidP="00D32C19">
      <w:pPr>
        <w:pStyle w:val="EndNoteBibliography"/>
        <w:spacing w:after="0" w:line="480" w:lineRule="auto"/>
        <w:ind w:left="720" w:hanging="720"/>
      </w:pPr>
      <w:r>
        <w:t>84.</w:t>
      </w:r>
      <w:r>
        <w:tab/>
        <w:t>Lipton R, Yang X, Braga AA, Goldstick J, Newton M, Rura M. The geography of violence, alcohol outlets, and drug arrests in Boston. American journal of public health. 2013;103:657-64.</w:t>
      </w:r>
    </w:p>
    <w:p w:rsidR="00844A2F" w:rsidRDefault="00844A2F" w:rsidP="00D32C19">
      <w:pPr>
        <w:pStyle w:val="EndNoteBibliography"/>
        <w:spacing w:after="0" w:line="480" w:lineRule="auto"/>
        <w:ind w:left="720" w:hanging="720"/>
      </w:pPr>
      <w:r>
        <w:t>85.</w:t>
      </w:r>
      <w:r>
        <w:tab/>
        <w:t>Mair C, Gruenewald PJ, Ponicki WR, Remer L. Varying impacts of alcohol outlet densities on violent assaults: explaining differences across neighborhoods. Journal of Studies on Alcohol &amp; Drugs. 2013;74:50-8.</w:t>
      </w:r>
    </w:p>
    <w:p w:rsidR="00844A2F" w:rsidRDefault="00844A2F" w:rsidP="00D32C19">
      <w:pPr>
        <w:pStyle w:val="EndNoteBibliography"/>
        <w:spacing w:after="0" w:line="480" w:lineRule="auto"/>
        <w:ind w:left="720" w:hanging="720"/>
      </w:pPr>
      <w:r>
        <w:t>86.</w:t>
      </w:r>
      <w:r>
        <w:tab/>
        <w:t>McKinney CM, Caetano R, Harris TR, Ebama MS. Alcohol availability and intimate partner violence among US couples. Alcoholism: Clinical and Experimental Research. 2009;33:169-76.</w:t>
      </w:r>
    </w:p>
    <w:p w:rsidR="00844A2F" w:rsidRDefault="00844A2F" w:rsidP="00D32C19">
      <w:pPr>
        <w:pStyle w:val="EndNoteBibliography"/>
        <w:spacing w:after="0" w:line="480" w:lineRule="auto"/>
        <w:ind w:left="720" w:hanging="720"/>
      </w:pPr>
      <w:r>
        <w:t>87.</w:t>
      </w:r>
      <w:r>
        <w:tab/>
        <w:t>Parker RN, Williams KR, McCaffree KJ, Acensio EK, Browne A, Strom KJ, et al. Alcohol availability and youth homicide in the 91 largest US cities, 1984-2006. Drug &amp; Alcohol Review. 2011;30:505-14.</w:t>
      </w:r>
    </w:p>
    <w:p w:rsidR="00844A2F" w:rsidRDefault="00844A2F" w:rsidP="00D32C19">
      <w:pPr>
        <w:pStyle w:val="EndNoteBibliography"/>
        <w:spacing w:after="0" w:line="480" w:lineRule="auto"/>
        <w:ind w:left="720" w:hanging="720"/>
      </w:pPr>
      <w:r>
        <w:t>88.</w:t>
      </w:r>
      <w:r>
        <w:tab/>
        <w:t>Reid RJ, Hughey J, Peterson NA. Generalizing the alcohol outlet-assaultive violence link: evidence from a U.S. midwestern city. Substance Use &amp; Misuse. 2003;38:1971-82.</w:t>
      </w:r>
    </w:p>
    <w:p w:rsidR="00844A2F" w:rsidRDefault="00844A2F" w:rsidP="00D32C19">
      <w:pPr>
        <w:pStyle w:val="EndNoteBibliography"/>
        <w:spacing w:after="0" w:line="480" w:lineRule="auto"/>
        <w:ind w:left="720" w:hanging="720"/>
      </w:pPr>
      <w:r>
        <w:t>89.</w:t>
      </w:r>
      <w:r>
        <w:tab/>
        <w:t>Zhu L, Gorman DM, Horel S. Hierarchical Bayesian spatial models for alcohol availability, drug "hot spots" and violent crime. International Journal of Health Geographics [Electronic Resource]. 2006;5:54.</w:t>
      </w:r>
    </w:p>
    <w:p w:rsidR="00844A2F" w:rsidRDefault="00844A2F" w:rsidP="00D32C19">
      <w:pPr>
        <w:pStyle w:val="EndNoteBibliography"/>
        <w:spacing w:after="0" w:line="480" w:lineRule="auto"/>
        <w:ind w:left="720" w:hanging="720"/>
      </w:pPr>
      <w:r>
        <w:t>90.</w:t>
      </w:r>
      <w:r>
        <w:tab/>
        <w:t>Resko SM, Walton MA, Bingham CR, Shope JT, Zimmerman M, Chermack ST, et al. Alcohol availability and violence among inner-city adolescents: A multi-level analysis of the role of alcohol outlet density. American Journal of Community Psychology. 2010;46:253-62.</w:t>
      </w:r>
    </w:p>
    <w:p w:rsidR="00844A2F" w:rsidRDefault="00844A2F" w:rsidP="00D32C19">
      <w:pPr>
        <w:pStyle w:val="EndNoteBibliography"/>
        <w:spacing w:after="0" w:line="480" w:lineRule="auto"/>
        <w:ind w:left="720" w:hanging="720"/>
      </w:pPr>
      <w:r>
        <w:t>91.</w:t>
      </w:r>
      <w:r>
        <w:tab/>
        <w:t>Rettenmaier AJ, Wang Z. What determines health: a causal analysis using county level data. European Journal of Health Economics. 2013;14:821-34.</w:t>
      </w:r>
    </w:p>
    <w:p w:rsidR="00844A2F" w:rsidRDefault="00844A2F" w:rsidP="00D32C19">
      <w:pPr>
        <w:pStyle w:val="EndNoteBibliography"/>
        <w:spacing w:after="0" w:line="480" w:lineRule="auto"/>
        <w:ind w:left="720" w:hanging="720"/>
      </w:pPr>
      <w:r>
        <w:lastRenderedPageBreak/>
        <w:t>92.</w:t>
      </w:r>
      <w:r>
        <w:tab/>
        <w:t>Roman CG, Reid SE. Assessing the relationship between alcohol outlets and domestic violence: routine activities and the neighborhood environment. Violence &amp; Victims. 2012;27:811-28.</w:t>
      </w:r>
    </w:p>
    <w:p w:rsidR="00844A2F" w:rsidRDefault="00844A2F" w:rsidP="00D32C19">
      <w:pPr>
        <w:pStyle w:val="EndNoteBibliography"/>
        <w:spacing w:after="0" w:line="480" w:lineRule="auto"/>
        <w:ind w:left="720" w:hanging="720"/>
      </w:pPr>
      <w:r>
        <w:t>93.</w:t>
      </w:r>
      <w:r>
        <w:tab/>
        <w:t>Schofield TP, Denson TF. Alcohol outlet business hours and violent crime in New York state. Alcohol &amp; Alcoholism. 2013;48:363-9.</w:t>
      </w:r>
    </w:p>
    <w:p w:rsidR="00844A2F" w:rsidRDefault="00844A2F" w:rsidP="00D32C19">
      <w:pPr>
        <w:pStyle w:val="EndNoteBibliography"/>
        <w:spacing w:after="0" w:line="480" w:lineRule="auto"/>
        <w:ind w:left="720" w:hanging="720"/>
      </w:pPr>
      <w:r>
        <w:t>94.</w:t>
      </w:r>
      <w:r>
        <w:tab/>
        <w:t>Scribner RA, Mason KE, Simonsen NR, Theall K, Chotalia J, Johnson S, et al. An ecological analysis of alcohol-outlet density and campus-reported violence at 32 U.S. colleges. Journal of Studies on Alcohol &amp; Drugs. 2010;71:184-91.</w:t>
      </w:r>
    </w:p>
    <w:p w:rsidR="00844A2F" w:rsidRPr="00317D33" w:rsidRDefault="00844A2F" w:rsidP="00317D33">
      <w:pPr>
        <w:spacing w:after="0" w:line="480" w:lineRule="auto"/>
        <w:ind w:left="720" w:hanging="720"/>
        <w:rPr>
          <w:rFonts w:ascii="Calibri Light" w:hAnsi="Calibri Light" w:cs="Calibri Light"/>
        </w:rPr>
      </w:pPr>
      <w:r w:rsidRPr="00317D33">
        <w:rPr>
          <w:rFonts w:ascii="Calibri Light" w:hAnsi="Calibri Light" w:cs="Calibri Light"/>
        </w:rPr>
        <w:t>95.</w:t>
      </w:r>
      <w:r w:rsidRPr="00317D33">
        <w:rPr>
          <w:rFonts w:ascii="Calibri Light" w:hAnsi="Calibri Light" w:cs="Calibri Light"/>
        </w:rPr>
        <w:tab/>
        <w:t xml:space="preserve">Xu Y, Yu Q, Scribner R, </w:t>
      </w:r>
      <w:proofErr w:type="spellStart"/>
      <w:r w:rsidRPr="00317D33">
        <w:rPr>
          <w:rFonts w:ascii="Calibri Light" w:hAnsi="Calibri Light" w:cs="Calibri Light"/>
        </w:rPr>
        <w:t>Theall</w:t>
      </w:r>
      <w:proofErr w:type="spellEnd"/>
      <w:r w:rsidRPr="00317D33">
        <w:rPr>
          <w:rFonts w:ascii="Calibri Light" w:hAnsi="Calibri Light" w:cs="Calibri Light"/>
        </w:rPr>
        <w:t xml:space="preserve"> K, Scribner S, </w:t>
      </w:r>
      <w:proofErr w:type="spellStart"/>
      <w:r w:rsidRPr="00317D33">
        <w:rPr>
          <w:rFonts w:ascii="Calibri Light" w:hAnsi="Calibri Light" w:cs="Calibri Light"/>
        </w:rPr>
        <w:t>Simonsen</w:t>
      </w:r>
      <w:proofErr w:type="spellEnd"/>
      <w:r w:rsidRPr="00317D33">
        <w:rPr>
          <w:rFonts w:ascii="Calibri Light" w:hAnsi="Calibri Light" w:cs="Calibri Light"/>
        </w:rPr>
        <w:t xml:space="preserve"> N. Multilevel spatiotemporal change-point models for evaluating the effect of an alcohol outlet control policy on changes in neighborhood assaultive violence rates. Spatial and </w:t>
      </w:r>
      <w:proofErr w:type="spellStart"/>
      <w:r w:rsidRPr="00317D33">
        <w:rPr>
          <w:rFonts w:ascii="Calibri Light" w:hAnsi="Calibri Light" w:cs="Calibri Light"/>
        </w:rPr>
        <w:t>Spatio</w:t>
      </w:r>
      <w:proofErr w:type="spellEnd"/>
      <w:r w:rsidRPr="00317D33">
        <w:rPr>
          <w:rFonts w:ascii="Calibri Light" w:hAnsi="Calibri Light" w:cs="Calibri Light"/>
        </w:rPr>
        <w:t>-temporal Epidemiology. 2012</w:t>
      </w:r>
      <w:proofErr w:type="gramStart"/>
      <w:r w:rsidRPr="00317D33">
        <w:rPr>
          <w:rFonts w:ascii="Calibri Light" w:hAnsi="Calibri Light" w:cs="Calibri Light"/>
        </w:rPr>
        <w:t>;3:121</w:t>
      </w:r>
      <w:proofErr w:type="gramEnd"/>
      <w:r w:rsidRPr="00317D33">
        <w:rPr>
          <w:rFonts w:ascii="Calibri Light" w:hAnsi="Calibri Light" w:cs="Calibri Light"/>
        </w:rPr>
        <w:t>-8.</w:t>
      </w:r>
    </w:p>
    <w:sectPr w:rsidR="00844A2F" w:rsidRPr="00317D33" w:rsidSect="008B7C97">
      <w:headerReference w:type="default" r:id="rId7"/>
      <w:footnotePr>
        <w:numFmt w:val="chicago"/>
        <w:numStart w:val="7"/>
      </w:footnotePr>
      <w:endnotePr>
        <w:numFmt w:val="lowerLetter"/>
      </w:endnotePr>
      <w:type w:val="continuous"/>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2F" w:rsidRDefault="00844A2F" w:rsidP="00504790">
      <w:pPr>
        <w:spacing w:after="0" w:line="240" w:lineRule="auto"/>
      </w:pPr>
      <w:r>
        <w:separator/>
      </w:r>
    </w:p>
  </w:endnote>
  <w:endnote w:type="continuationSeparator" w:id="0">
    <w:p w:rsidR="00844A2F" w:rsidRDefault="00844A2F" w:rsidP="00504790">
      <w:pPr>
        <w:spacing w:after="0" w:line="240" w:lineRule="auto"/>
      </w:pPr>
      <w:r>
        <w:continuationSeparator/>
      </w:r>
    </w:p>
  </w:endnote>
  <w:endnote w:id="1">
    <w:p w:rsidR="005F1C48" w:rsidRDefault="005F1C48" w:rsidP="005F1C48">
      <w:pPr>
        <w:pStyle w:val="EndnoteText"/>
        <w:spacing w:line="480" w:lineRule="auto"/>
      </w:pPr>
      <w:r>
        <w:rPr>
          <w:rStyle w:val="EndnoteReference"/>
        </w:rPr>
        <w:endnoteRef/>
      </w:r>
      <w:r>
        <w:t xml:space="preserve"> </w:t>
      </w:r>
      <w:r w:rsidRPr="005F1C48">
        <w:t>Multiple indicators that represent some form of an index are formatted with the prefix</w:t>
      </w:r>
      <w:bookmarkStart w:id="0" w:name="_GoBack"/>
      <w:bookmarkEnd w:id="0"/>
      <w:r w:rsidRPr="005F1C48">
        <w:t xml:space="preserve"> “index of”; constructs that are represented by multiple sub-constructs/indices are underlined and separated by semi-colons; otherwise multiple indicators that are not part of an index are separated by commas.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2F" w:rsidRDefault="00844A2F" w:rsidP="00504790">
      <w:pPr>
        <w:spacing w:after="0" w:line="240" w:lineRule="auto"/>
      </w:pPr>
      <w:r>
        <w:separator/>
      </w:r>
    </w:p>
  </w:footnote>
  <w:footnote w:type="continuationSeparator" w:id="0">
    <w:p w:rsidR="00844A2F" w:rsidRDefault="00844A2F" w:rsidP="00504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2F" w:rsidRDefault="00844A2F">
    <w:pPr>
      <w:pStyle w:val="Header"/>
    </w:pPr>
    <w:r>
      <w:t>INDICATORS FOR VIOLENCE PREVENTION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oNotHyphenateCaps/>
  <w:characterSpacingControl w:val="doNotCompress"/>
  <w:doNotValidateAgainstSchema/>
  <w:doNotDemarcateInvalidXml/>
  <w:footnotePr>
    <w:numFmt w:val="chicago"/>
    <w:numStart w:val="7"/>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8F"/>
    <w:rsid w:val="001C1997"/>
    <w:rsid w:val="001E2DFB"/>
    <w:rsid w:val="00317D33"/>
    <w:rsid w:val="003C61C0"/>
    <w:rsid w:val="004678D0"/>
    <w:rsid w:val="00504790"/>
    <w:rsid w:val="005765D3"/>
    <w:rsid w:val="005F1C48"/>
    <w:rsid w:val="0063368F"/>
    <w:rsid w:val="00637A77"/>
    <w:rsid w:val="00844A2F"/>
    <w:rsid w:val="00865D9D"/>
    <w:rsid w:val="008B7C97"/>
    <w:rsid w:val="00AB1EE7"/>
    <w:rsid w:val="00B52A1A"/>
    <w:rsid w:val="00C14F48"/>
    <w:rsid w:val="00C92C96"/>
    <w:rsid w:val="00D26908"/>
    <w:rsid w:val="00D32C19"/>
    <w:rsid w:val="00E3288E"/>
    <w:rsid w:val="00EF4C5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B5697"/>
  <w15:docId w15:val="{237DDB72-060D-440C-977F-9A0D87F2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C0"/>
    <w:pPr>
      <w:spacing w:after="160" w:line="259" w:lineRule="auto"/>
    </w:pPr>
    <w:rPr>
      <w:rFonts w:cs="Calibri"/>
    </w:rPr>
  </w:style>
  <w:style w:type="paragraph" w:styleId="Heading4">
    <w:name w:val="heading 4"/>
    <w:basedOn w:val="Normal"/>
    <w:next w:val="Normal"/>
    <w:link w:val="Heading4Char"/>
    <w:uiPriority w:val="99"/>
    <w:qFormat/>
    <w:rsid w:val="0063368F"/>
    <w:pPr>
      <w:keepNext/>
      <w:keepLines/>
      <w:spacing w:before="40" w:after="0" w:line="276" w:lineRule="auto"/>
      <w:outlineLvl w:val="3"/>
    </w:pPr>
    <w:rPr>
      <w:rFonts w:ascii="Calibri Light" w:eastAsia="Times New Roman"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3368F"/>
    <w:rPr>
      <w:rFonts w:ascii="Calibri Light" w:hAnsi="Calibri Light" w:cs="Calibri Light"/>
      <w:i/>
      <w:iCs/>
      <w:color w:val="2E74B5"/>
    </w:rPr>
  </w:style>
  <w:style w:type="paragraph" w:styleId="Header">
    <w:name w:val="header"/>
    <w:basedOn w:val="Normal"/>
    <w:link w:val="HeaderChar"/>
    <w:uiPriority w:val="99"/>
    <w:rsid w:val="0050479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4790"/>
  </w:style>
  <w:style w:type="paragraph" w:styleId="Footer">
    <w:name w:val="footer"/>
    <w:basedOn w:val="Normal"/>
    <w:link w:val="FooterChar"/>
    <w:uiPriority w:val="99"/>
    <w:rsid w:val="005047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4790"/>
  </w:style>
  <w:style w:type="table" w:styleId="TableGrid">
    <w:name w:val="Table Grid"/>
    <w:basedOn w:val="TableNormal"/>
    <w:uiPriority w:val="99"/>
    <w:rsid w:val="001C199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B7C9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B7C97"/>
    <w:rPr>
      <w:sz w:val="20"/>
      <w:szCs w:val="20"/>
    </w:rPr>
  </w:style>
  <w:style w:type="character" w:styleId="FootnoteReference">
    <w:name w:val="footnote reference"/>
    <w:basedOn w:val="DefaultParagraphFont"/>
    <w:uiPriority w:val="99"/>
    <w:semiHidden/>
    <w:rsid w:val="008B7C97"/>
    <w:rPr>
      <w:vertAlign w:val="superscript"/>
    </w:rPr>
  </w:style>
  <w:style w:type="character" w:customStyle="1" w:styleId="reference-text">
    <w:name w:val="reference-text"/>
    <w:basedOn w:val="DefaultParagraphFont"/>
    <w:uiPriority w:val="99"/>
    <w:rsid w:val="008B7C97"/>
  </w:style>
  <w:style w:type="paragraph" w:customStyle="1" w:styleId="EndNoteBibliography">
    <w:name w:val="EndNote Bibliography"/>
    <w:basedOn w:val="Normal"/>
    <w:link w:val="EndNoteBibliographyChar"/>
    <w:uiPriority w:val="99"/>
    <w:pPr>
      <w:spacing w:line="240" w:lineRule="auto"/>
    </w:pPr>
    <w:rPr>
      <w:rFonts w:ascii="Calibri Light" w:hAnsi="Calibri Light" w:cs="Calibri Light"/>
      <w:noProof/>
    </w:rPr>
  </w:style>
  <w:style w:type="character" w:customStyle="1" w:styleId="EndNoteBibliographyChar">
    <w:name w:val="EndNote Bibliography Char"/>
    <w:basedOn w:val="DefaultParagraphFont"/>
    <w:link w:val="EndNoteBibliography"/>
    <w:uiPriority w:val="99"/>
    <w:locked/>
    <w:rPr>
      <w:rFonts w:ascii="Calibri Light" w:hAnsi="Calibri Light" w:cs="Calibri Light"/>
      <w:noProof/>
      <w:sz w:val="22"/>
      <w:szCs w:val="22"/>
      <w:lang w:val="en-US" w:eastAsia="en-US"/>
    </w:rPr>
  </w:style>
  <w:style w:type="paragraph" w:styleId="EndnoteText">
    <w:name w:val="endnote text"/>
    <w:basedOn w:val="Normal"/>
    <w:link w:val="EndnoteTextChar"/>
    <w:uiPriority w:val="99"/>
    <w:semiHidden/>
    <w:unhideWhenUsed/>
    <w:rsid w:val="005F1C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1C48"/>
    <w:rPr>
      <w:rFonts w:cs="Calibri"/>
      <w:sz w:val="20"/>
      <w:szCs w:val="20"/>
    </w:rPr>
  </w:style>
  <w:style w:type="character" w:styleId="EndnoteReference">
    <w:name w:val="endnote reference"/>
    <w:basedOn w:val="DefaultParagraphFont"/>
    <w:uiPriority w:val="99"/>
    <w:semiHidden/>
    <w:unhideWhenUsed/>
    <w:rsid w:val="005F1C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9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40D6C-5DCD-4D01-83AD-0A3901A7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1086</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Armstead, Theresa (CDC/ONDIEH/NCIPC)</dc:creator>
  <cp:keywords/>
  <dc:description/>
  <cp:lastModifiedBy>Armstead, Theresa (CDC/ONDIEH/NCIPC)</cp:lastModifiedBy>
  <cp:revision>4</cp:revision>
  <dcterms:created xsi:type="dcterms:W3CDTF">2017-09-25T21:11:00Z</dcterms:created>
  <dcterms:modified xsi:type="dcterms:W3CDTF">2017-09-26T13:42:00Z</dcterms:modified>
</cp:coreProperties>
</file>