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3CB" w:rsidRDefault="00EF53CB" w:rsidP="00967325">
      <w:pPr>
        <w:pStyle w:val="Heading4"/>
        <w:spacing w:before="0" w:line="480" w:lineRule="auto"/>
        <w:rPr>
          <w:rStyle w:val="Heading4Char"/>
          <w:rFonts w:ascii="Calibri" w:hAnsi="Calibri" w:cs="Calibri"/>
          <w:b/>
          <w:bCs/>
          <w:color w:val="auto"/>
        </w:rPr>
      </w:pPr>
      <w:r>
        <w:rPr>
          <w:rStyle w:val="Heading4Char"/>
          <w:rFonts w:ascii="Calibri" w:hAnsi="Calibri" w:cs="Calibri"/>
          <w:b/>
          <w:bCs/>
          <w:color w:val="auto"/>
        </w:rPr>
        <w:t>Supplemental Digital Content</w:t>
      </w:r>
    </w:p>
    <w:p w:rsidR="00EF53CB" w:rsidRDefault="00EF53CB" w:rsidP="00637A77">
      <w:pPr>
        <w:pStyle w:val="Heading4"/>
        <w:spacing w:before="0" w:line="480" w:lineRule="auto"/>
        <w:rPr>
          <w:rStyle w:val="Heading4Char"/>
          <w:rFonts w:ascii="Calibri" w:hAnsi="Calibri" w:cs="Calibri"/>
          <w:b/>
          <w:bCs/>
          <w:color w:val="auto"/>
        </w:rPr>
      </w:pPr>
      <w:r>
        <w:rPr>
          <w:rStyle w:val="Heading4Char"/>
          <w:rFonts w:ascii="Calibri" w:hAnsi="Calibri" w:cs="Calibri"/>
          <w:b/>
          <w:bCs/>
          <w:color w:val="auto"/>
        </w:rPr>
        <w:br w:type="page"/>
      </w:r>
    </w:p>
    <w:p w:rsidR="00EF53CB" w:rsidRPr="00EF4C5C" w:rsidRDefault="00EF53CB" w:rsidP="00637A77">
      <w:pPr>
        <w:pStyle w:val="Heading4"/>
        <w:spacing w:before="0" w:line="480" w:lineRule="auto"/>
        <w:rPr>
          <w:rFonts w:ascii="Calibri" w:hAnsi="Calibri" w:cs="Calibri"/>
          <w:b/>
          <w:bCs/>
          <w:i w:val="0"/>
          <w:iCs w:val="0"/>
          <w:color w:val="auto"/>
        </w:rPr>
      </w:pPr>
      <w:r>
        <w:rPr>
          <w:rStyle w:val="Heading4Char"/>
          <w:rFonts w:ascii="Calibri" w:hAnsi="Calibri" w:cs="Calibri"/>
          <w:b/>
          <w:bCs/>
          <w:color w:val="auto"/>
        </w:rPr>
        <w:lastRenderedPageBreak/>
        <w:t>TABLE 3</w:t>
      </w:r>
      <w:r w:rsidRPr="00EF4C5C">
        <w:rPr>
          <w:rStyle w:val="Heading4Char"/>
          <w:rFonts w:ascii="Calibri" w:hAnsi="Calibri" w:cs="Calibri"/>
          <w:b/>
          <w:bCs/>
          <w:color w:val="auto"/>
        </w:rPr>
        <w:t xml:space="preserve">: </w:t>
      </w:r>
      <w:r w:rsidRPr="00EF4C5C">
        <w:rPr>
          <w:rFonts w:ascii="Calibri" w:hAnsi="Calibri" w:cs="Calibri"/>
          <w:b/>
          <w:bCs/>
          <w:i w:val="0"/>
          <w:iCs w:val="0"/>
          <w:color w:val="auto"/>
        </w:rPr>
        <w:t xml:space="preserve">INCOME INEQUALITY </w:t>
      </w:r>
    </w:p>
    <w:tbl>
      <w:tblPr>
        <w:tblW w:w="136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795"/>
        <w:gridCol w:w="8010"/>
        <w:gridCol w:w="3870"/>
      </w:tblGrid>
      <w:tr w:rsidR="00EF53CB" w:rsidRPr="00090ACA">
        <w:trPr>
          <w:trHeight w:val="305"/>
          <w:tblHeader/>
        </w:trPr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:rsidR="00EF53CB" w:rsidRPr="00090ACA" w:rsidRDefault="00EF53CB" w:rsidP="00090ACA">
            <w:pPr>
              <w:spacing w:after="0" w:line="480" w:lineRule="auto"/>
              <w:rPr>
                <w:b/>
                <w:bCs/>
                <w:sz w:val="20"/>
                <w:szCs w:val="20"/>
              </w:rPr>
            </w:pPr>
            <w:r w:rsidRPr="00090ACA">
              <w:rPr>
                <w:b/>
                <w:bCs/>
                <w:sz w:val="20"/>
                <w:szCs w:val="20"/>
              </w:rPr>
              <w:t>Construct</w:t>
            </w:r>
          </w:p>
        </w:tc>
        <w:tc>
          <w:tcPr>
            <w:tcW w:w="8010" w:type="dxa"/>
            <w:tcBorders>
              <w:top w:val="single" w:sz="4" w:space="0" w:color="auto"/>
              <w:bottom w:val="single" w:sz="4" w:space="0" w:color="auto"/>
            </w:tcBorders>
          </w:tcPr>
          <w:p w:rsidR="00EF53CB" w:rsidRPr="00090ACA" w:rsidRDefault="00EF53CB" w:rsidP="005017EC">
            <w:pPr>
              <w:spacing w:after="0" w:line="480" w:lineRule="auto"/>
              <w:rPr>
                <w:sz w:val="20"/>
                <w:szCs w:val="20"/>
              </w:rPr>
            </w:pPr>
            <w:r w:rsidRPr="00090ACA">
              <w:rPr>
                <w:b/>
                <w:bCs/>
                <w:sz w:val="20"/>
                <w:szCs w:val="20"/>
              </w:rPr>
              <w:t>Indicators</w:t>
            </w:r>
            <w:r w:rsidR="005017EC">
              <w:rPr>
                <w:rStyle w:val="EndnoteReference"/>
                <w:b/>
                <w:bCs/>
                <w:sz w:val="20"/>
                <w:szCs w:val="20"/>
              </w:rPr>
              <w:endnoteReference w:id="1"/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EF53CB" w:rsidRPr="00090ACA" w:rsidRDefault="00EF53CB" w:rsidP="00090ACA">
            <w:pPr>
              <w:spacing w:after="0" w:line="480" w:lineRule="auto"/>
              <w:rPr>
                <w:sz w:val="20"/>
                <w:szCs w:val="20"/>
              </w:rPr>
            </w:pPr>
            <w:r w:rsidRPr="00090ACA">
              <w:rPr>
                <w:b/>
                <w:bCs/>
                <w:sz w:val="20"/>
                <w:szCs w:val="20"/>
              </w:rPr>
              <w:t>Data Source</w:t>
            </w:r>
          </w:p>
        </w:tc>
      </w:tr>
      <w:tr w:rsidR="00EF53CB" w:rsidRPr="00090ACA">
        <w:trPr>
          <w:trHeight w:val="449"/>
        </w:trPr>
        <w:tc>
          <w:tcPr>
            <w:tcW w:w="1795" w:type="dxa"/>
            <w:tcBorders>
              <w:top w:val="single" w:sz="4" w:space="0" w:color="auto"/>
            </w:tcBorders>
          </w:tcPr>
          <w:p w:rsidR="00EF53CB" w:rsidRPr="00090ACA" w:rsidRDefault="00EF53CB" w:rsidP="00090ACA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 w:rsidRPr="00090ACA">
              <w:rPr>
                <w:color w:val="000000"/>
                <w:sz w:val="20"/>
                <w:szCs w:val="20"/>
              </w:rPr>
              <w:t>Coefficient of variation</w:t>
            </w:r>
            <w:r w:rsidRPr="00090ACA">
              <w:rPr>
                <w:noProof/>
                <w:color w:val="000000"/>
                <w:sz w:val="20"/>
                <w:szCs w:val="20"/>
                <w:vertAlign w:val="superscript"/>
              </w:rPr>
              <w:t>69</w:t>
            </w:r>
          </w:p>
        </w:tc>
        <w:tc>
          <w:tcPr>
            <w:tcW w:w="8010" w:type="dxa"/>
            <w:tcBorders>
              <w:top w:val="single" w:sz="4" w:space="0" w:color="auto"/>
            </w:tcBorders>
          </w:tcPr>
          <w:p w:rsidR="00EF53CB" w:rsidRPr="00090ACA" w:rsidRDefault="00EF53CB" w:rsidP="00090ACA">
            <w:pPr>
              <w:spacing w:after="0" w:line="480" w:lineRule="auto"/>
              <w:rPr>
                <w:sz w:val="20"/>
                <w:szCs w:val="20"/>
              </w:rPr>
            </w:pPr>
            <w:r w:rsidRPr="00090ACA">
              <w:rPr>
                <w:sz w:val="20"/>
                <w:szCs w:val="20"/>
              </w:rPr>
              <w:t>The standard deviation of household income within the very small area (VSA) divided by the mean household income</w:t>
            </w: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EF53CB" w:rsidRPr="00090ACA" w:rsidRDefault="00EF53CB" w:rsidP="00090ACA">
            <w:pPr>
              <w:spacing w:after="0" w:line="480" w:lineRule="auto"/>
              <w:rPr>
                <w:sz w:val="20"/>
                <w:szCs w:val="20"/>
              </w:rPr>
            </w:pPr>
            <w:r w:rsidRPr="00090ACA">
              <w:rPr>
                <w:sz w:val="20"/>
                <w:szCs w:val="20"/>
              </w:rPr>
              <w:t>National Health Interview Survey (NHIS- Census Data)</w:t>
            </w:r>
            <w:r w:rsidRPr="00090ACA">
              <w:rPr>
                <w:rStyle w:val="FootnoteReference"/>
                <w:sz w:val="20"/>
                <w:szCs w:val="20"/>
              </w:rPr>
              <w:footnoteReference w:id="1"/>
            </w:r>
          </w:p>
        </w:tc>
      </w:tr>
      <w:tr w:rsidR="00EF53CB" w:rsidRPr="00090ACA">
        <w:trPr>
          <w:trHeight w:val="382"/>
        </w:trPr>
        <w:tc>
          <w:tcPr>
            <w:tcW w:w="1795" w:type="dxa"/>
          </w:tcPr>
          <w:p w:rsidR="00EF53CB" w:rsidRPr="00090ACA" w:rsidRDefault="00EF53CB" w:rsidP="00090ACA">
            <w:pPr>
              <w:spacing w:after="0" w:line="480" w:lineRule="auto"/>
              <w:rPr>
                <w:sz w:val="20"/>
                <w:szCs w:val="20"/>
              </w:rPr>
            </w:pPr>
            <w:r w:rsidRPr="00090ACA">
              <w:rPr>
                <w:color w:val="000000"/>
                <w:sz w:val="20"/>
                <w:szCs w:val="20"/>
              </w:rPr>
              <w:t>Economic inequality</w:t>
            </w:r>
            <w:bookmarkStart w:id="1" w:name="_Ref474500271"/>
            <w:r w:rsidRPr="00090ACA">
              <w:rPr>
                <w:noProof/>
                <w:color w:val="000000"/>
                <w:sz w:val="20"/>
                <w:szCs w:val="20"/>
                <w:vertAlign w:val="superscript"/>
              </w:rPr>
              <w:t>70, 71</w:t>
            </w:r>
            <w:bookmarkEnd w:id="1"/>
          </w:p>
        </w:tc>
        <w:tc>
          <w:tcPr>
            <w:tcW w:w="8010" w:type="dxa"/>
          </w:tcPr>
          <w:p w:rsidR="00EF53CB" w:rsidRPr="00090ACA" w:rsidRDefault="00EF53CB" w:rsidP="00090ACA">
            <w:pPr>
              <w:spacing w:after="0" w:line="480" w:lineRule="auto"/>
              <w:rPr>
                <w:sz w:val="20"/>
                <w:szCs w:val="20"/>
              </w:rPr>
            </w:pPr>
            <w:r w:rsidRPr="00090ACA">
              <w:rPr>
                <w:sz w:val="20"/>
                <w:szCs w:val="20"/>
              </w:rPr>
              <w:t>Gini Index</w:t>
            </w:r>
            <w:r w:rsidRPr="00090ACA">
              <w:rPr>
                <w:rStyle w:val="FootnoteReference"/>
                <w:sz w:val="20"/>
                <w:szCs w:val="20"/>
              </w:rPr>
              <w:footnoteReference w:id="2"/>
            </w:r>
          </w:p>
        </w:tc>
        <w:tc>
          <w:tcPr>
            <w:tcW w:w="3870" w:type="dxa"/>
          </w:tcPr>
          <w:p w:rsidR="00EF53CB" w:rsidRPr="00090ACA" w:rsidRDefault="00EF53CB" w:rsidP="00090ACA">
            <w:pPr>
              <w:spacing w:after="0" w:line="480" w:lineRule="auto"/>
              <w:rPr>
                <w:sz w:val="20"/>
                <w:szCs w:val="20"/>
              </w:rPr>
            </w:pPr>
            <w:r w:rsidRPr="00090ACA">
              <w:rPr>
                <w:sz w:val="20"/>
                <w:szCs w:val="20"/>
              </w:rPr>
              <w:t>U.S. Census</w:t>
            </w:r>
          </w:p>
        </w:tc>
      </w:tr>
      <w:tr w:rsidR="00EF53CB" w:rsidRPr="00090ACA">
        <w:trPr>
          <w:trHeight w:val="382"/>
        </w:trPr>
        <w:tc>
          <w:tcPr>
            <w:tcW w:w="1795" w:type="dxa"/>
          </w:tcPr>
          <w:p w:rsidR="00EF53CB" w:rsidRPr="00090ACA" w:rsidRDefault="00EF53CB" w:rsidP="00090ACA">
            <w:pPr>
              <w:spacing w:after="0" w:line="480" w:lineRule="auto"/>
              <w:rPr>
                <w:sz w:val="20"/>
                <w:szCs w:val="20"/>
              </w:rPr>
            </w:pPr>
            <w:r w:rsidRPr="00090ACA">
              <w:rPr>
                <w:color w:val="000000"/>
                <w:sz w:val="20"/>
                <w:szCs w:val="20"/>
              </w:rPr>
              <w:t>Income inequality</w:t>
            </w:r>
            <w:r w:rsidRPr="00090ACA">
              <w:rPr>
                <w:noProof/>
                <w:color w:val="000000"/>
                <w:sz w:val="20"/>
                <w:szCs w:val="20"/>
                <w:vertAlign w:val="superscript"/>
              </w:rPr>
              <w:t>62, 72, 73</w:t>
            </w:r>
          </w:p>
        </w:tc>
        <w:tc>
          <w:tcPr>
            <w:tcW w:w="8010" w:type="dxa"/>
          </w:tcPr>
          <w:p w:rsidR="00EF53CB" w:rsidRPr="00090ACA" w:rsidRDefault="00EF53CB" w:rsidP="00090ACA">
            <w:pPr>
              <w:spacing w:after="0" w:line="480" w:lineRule="auto"/>
              <w:rPr>
                <w:sz w:val="20"/>
                <w:szCs w:val="20"/>
              </w:rPr>
            </w:pPr>
            <w:r w:rsidRPr="00090ACA">
              <w:rPr>
                <w:sz w:val="20"/>
                <w:szCs w:val="20"/>
              </w:rPr>
              <w:t>Gini coefficient</w:t>
            </w:r>
          </w:p>
        </w:tc>
        <w:tc>
          <w:tcPr>
            <w:tcW w:w="3870" w:type="dxa"/>
          </w:tcPr>
          <w:p w:rsidR="00EF53CB" w:rsidRPr="00090ACA" w:rsidRDefault="00EF53CB" w:rsidP="00090ACA">
            <w:pPr>
              <w:spacing w:after="0" w:line="480" w:lineRule="auto"/>
              <w:rPr>
                <w:sz w:val="20"/>
                <w:szCs w:val="20"/>
              </w:rPr>
            </w:pPr>
            <w:r w:rsidRPr="00090ACA">
              <w:rPr>
                <w:sz w:val="20"/>
                <w:szCs w:val="20"/>
              </w:rPr>
              <w:t xml:space="preserve">U.S. Census; </w:t>
            </w:r>
            <w:proofErr w:type="spellStart"/>
            <w:r w:rsidRPr="00090ACA">
              <w:rPr>
                <w:sz w:val="20"/>
                <w:szCs w:val="20"/>
              </w:rPr>
              <w:t>Deininger</w:t>
            </w:r>
            <w:proofErr w:type="spellEnd"/>
            <w:r w:rsidRPr="00090ACA">
              <w:rPr>
                <w:sz w:val="20"/>
                <w:szCs w:val="20"/>
              </w:rPr>
              <w:t xml:space="preserve"> and Squire (1996) database; National Center for Health Statistics data</w:t>
            </w:r>
          </w:p>
        </w:tc>
      </w:tr>
      <w:tr w:rsidR="00EF53CB" w:rsidRPr="00090ACA">
        <w:trPr>
          <w:trHeight w:val="360"/>
        </w:trPr>
        <w:tc>
          <w:tcPr>
            <w:tcW w:w="1795" w:type="dxa"/>
          </w:tcPr>
          <w:p w:rsidR="00EF53CB" w:rsidRPr="00090ACA" w:rsidRDefault="00EF53CB" w:rsidP="00090ACA">
            <w:pPr>
              <w:spacing w:after="0" w:line="480" w:lineRule="auto"/>
              <w:rPr>
                <w:sz w:val="20"/>
                <w:szCs w:val="20"/>
              </w:rPr>
            </w:pPr>
            <w:r w:rsidRPr="00090ACA">
              <w:rPr>
                <w:color w:val="000000"/>
                <w:sz w:val="20"/>
                <w:szCs w:val="20"/>
              </w:rPr>
              <w:t>Income inequality</w:t>
            </w:r>
            <w:bookmarkStart w:id="2" w:name="_Ref474501230"/>
            <w:r w:rsidRPr="00090ACA">
              <w:rPr>
                <w:noProof/>
                <w:color w:val="000000"/>
                <w:sz w:val="20"/>
                <w:szCs w:val="20"/>
                <w:vertAlign w:val="superscript"/>
              </w:rPr>
              <w:t>74</w:t>
            </w:r>
            <w:bookmarkEnd w:id="2"/>
          </w:p>
        </w:tc>
        <w:tc>
          <w:tcPr>
            <w:tcW w:w="8010" w:type="dxa"/>
          </w:tcPr>
          <w:p w:rsidR="00EF53CB" w:rsidRPr="00090ACA" w:rsidRDefault="00EF53CB" w:rsidP="00090ACA">
            <w:pPr>
              <w:spacing w:after="0" w:line="480" w:lineRule="auto"/>
              <w:rPr>
                <w:sz w:val="20"/>
                <w:szCs w:val="20"/>
              </w:rPr>
            </w:pPr>
            <w:r w:rsidRPr="00090ACA">
              <w:rPr>
                <w:sz w:val="20"/>
                <w:szCs w:val="20"/>
                <w:u w:val="single"/>
              </w:rPr>
              <w:t>Income inequality between racial/ ethnic groups</w:t>
            </w:r>
            <w:r w:rsidRPr="00090ACA">
              <w:rPr>
                <w:sz w:val="20"/>
                <w:szCs w:val="20"/>
              </w:rPr>
              <w:t xml:space="preserve">: ratio of white to African American income, ratio white to Latino income (log transformed); </w:t>
            </w:r>
          </w:p>
          <w:p w:rsidR="00EF53CB" w:rsidRPr="00090ACA" w:rsidRDefault="00EF53CB" w:rsidP="00090ACA">
            <w:pPr>
              <w:spacing w:after="0" w:line="480" w:lineRule="auto"/>
              <w:rPr>
                <w:sz w:val="20"/>
                <w:szCs w:val="20"/>
              </w:rPr>
            </w:pPr>
            <w:r w:rsidRPr="00090ACA">
              <w:rPr>
                <w:sz w:val="20"/>
                <w:szCs w:val="20"/>
                <w:u w:val="single"/>
              </w:rPr>
              <w:t>Within-group income inequality</w:t>
            </w:r>
            <w:r w:rsidRPr="00090ACA">
              <w:rPr>
                <w:sz w:val="20"/>
                <w:szCs w:val="20"/>
              </w:rPr>
              <w:t>: Gini coefficient for family income for each racial/ethnic group, multiplied by the proportion of the tract comprised by each group, and summed</w:t>
            </w:r>
          </w:p>
        </w:tc>
        <w:tc>
          <w:tcPr>
            <w:tcW w:w="3870" w:type="dxa"/>
          </w:tcPr>
          <w:p w:rsidR="00EF53CB" w:rsidRPr="00090ACA" w:rsidRDefault="00EF53CB" w:rsidP="00090ACA">
            <w:pPr>
              <w:spacing w:after="0" w:line="480" w:lineRule="auto"/>
              <w:rPr>
                <w:sz w:val="20"/>
                <w:szCs w:val="20"/>
              </w:rPr>
            </w:pPr>
            <w:r w:rsidRPr="00090ACA">
              <w:rPr>
                <w:sz w:val="20"/>
                <w:szCs w:val="20"/>
              </w:rPr>
              <w:t>U.S. Census</w:t>
            </w:r>
          </w:p>
        </w:tc>
      </w:tr>
      <w:tr w:rsidR="00EF53CB" w:rsidRPr="00090ACA">
        <w:trPr>
          <w:trHeight w:val="360"/>
        </w:trPr>
        <w:tc>
          <w:tcPr>
            <w:tcW w:w="1795" w:type="dxa"/>
          </w:tcPr>
          <w:p w:rsidR="00EF53CB" w:rsidRPr="00090ACA" w:rsidRDefault="00EF53CB" w:rsidP="00090ACA">
            <w:pPr>
              <w:spacing w:after="0" w:line="480" w:lineRule="auto"/>
              <w:rPr>
                <w:sz w:val="20"/>
                <w:szCs w:val="20"/>
              </w:rPr>
            </w:pPr>
            <w:r w:rsidRPr="00090ACA">
              <w:rPr>
                <w:color w:val="000000"/>
                <w:sz w:val="20"/>
                <w:szCs w:val="20"/>
              </w:rPr>
              <w:lastRenderedPageBreak/>
              <w:t>Index of concentration at the extremes</w:t>
            </w:r>
            <w:bookmarkStart w:id="3" w:name="_Ref474503229"/>
            <w:r w:rsidRPr="00090ACA">
              <w:rPr>
                <w:noProof/>
                <w:color w:val="000000"/>
                <w:sz w:val="20"/>
                <w:szCs w:val="20"/>
                <w:vertAlign w:val="superscript"/>
              </w:rPr>
              <w:t>75</w:t>
            </w:r>
            <w:bookmarkEnd w:id="3"/>
          </w:p>
        </w:tc>
        <w:tc>
          <w:tcPr>
            <w:tcW w:w="8010" w:type="dxa"/>
          </w:tcPr>
          <w:p w:rsidR="00EF53CB" w:rsidRPr="00090ACA" w:rsidRDefault="00EF53CB" w:rsidP="00090ACA">
            <w:pPr>
              <w:spacing w:after="0" w:line="480" w:lineRule="auto"/>
              <w:rPr>
                <w:sz w:val="20"/>
                <w:szCs w:val="20"/>
              </w:rPr>
            </w:pPr>
            <w:r w:rsidRPr="00090ACA">
              <w:rPr>
                <w:sz w:val="20"/>
                <w:szCs w:val="20"/>
              </w:rPr>
              <w:t>Number of affluent families (income &gt;$50,000/year) minus the number of poor families (families below the poverty line) divided by the total number of families</w:t>
            </w:r>
          </w:p>
        </w:tc>
        <w:tc>
          <w:tcPr>
            <w:tcW w:w="3870" w:type="dxa"/>
          </w:tcPr>
          <w:p w:rsidR="00EF53CB" w:rsidRPr="00090ACA" w:rsidRDefault="00EF53CB" w:rsidP="00090ACA">
            <w:pPr>
              <w:spacing w:after="0" w:line="480" w:lineRule="auto"/>
              <w:rPr>
                <w:sz w:val="20"/>
                <w:szCs w:val="20"/>
              </w:rPr>
            </w:pPr>
            <w:r w:rsidRPr="00090ACA">
              <w:rPr>
                <w:sz w:val="20"/>
                <w:szCs w:val="20"/>
              </w:rPr>
              <w:t>U.S. Census</w:t>
            </w:r>
          </w:p>
        </w:tc>
      </w:tr>
      <w:tr w:rsidR="00EF53CB" w:rsidRPr="00090ACA">
        <w:trPr>
          <w:trHeight w:val="360"/>
        </w:trPr>
        <w:tc>
          <w:tcPr>
            <w:tcW w:w="1795" w:type="dxa"/>
          </w:tcPr>
          <w:p w:rsidR="00EF53CB" w:rsidRPr="00090ACA" w:rsidRDefault="00EF53CB" w:rsidP="00090ACA">
            <w:pPr>
              <w:spacing w:after="0" w:line="480" w:lineRule="auto"/>
              <w:rPr>
                <w:sz w:val="20"/>
                <w:szCs w:val="20"/>
              </w:rPr>
            </w:pPr>
            <w:r w:rsidRPr="00090ACA">
              <w:rPr>
                <w:color w:val="000000"/>
                <w:sz w:val="20"/>
                <w:szCs w:val="20"/>
              </w:rPr>
              <w:t>Racial income inequality</w:t>
            </w:r>
            <w:r w:rsidRPr="00090ACA">
              <w:rPr>
                <w:noProof/>
                <w:color w:val="000000"/>
                <w:sz w:val="20"/>
                <w:szCs w:val="20"/>
                <w:vertAlign w:val="superscript"/>
              </w:rPr>
              <w:t>76</w:t>
            </w:r>
          </w:p>
        </w:tc>
        <w:tc>
          <w:tcPr>
            <w:tcW w:w="8010" w:type="dxa"/>
          </w:tcPr>
          <w:p w:rsidR="00EF53CB" w:rsidRPr="00090ACA" w:rsidRDefault="00EF53CB" w:rsidP="00090ACA">
            <w:pPr>
              <w:spacing w:after="0" w:line="480" w:lineRule="auto"/>
              <w:rPr>
                <w:sz w:val="20"/>
                <w:szCs w:val="20"/>
              </w:rPr>
            </w:pPr>
            <w:r w:rsidRPr="00090ACA">
              <w:rPr>
                <w:sz w:val="20"/>
                <w:szCs w:val="20"/>
                <w:u w:val="single"/>
              </w:rPr>
              <w:t>Relative racial inequality of Latinos and African Americans</w:t>
            </w:r>
            <w:r w:rsidRPr="00090ACA">
              <w:rPr>
                <w:sz w:val="20"/>
                <w:szCs w:val="20"/>
              </w:rPr>
              <w:t xml:space="preserve">: The difference in logged median income between Latino and African American households for each tract; </w:t>
            </w:r>
          </w:p>
          <w:p w:rsidR="00EF53CB" w:rsidRPr="00090ACA" w:rsidRDefault="00EF53CB" w:rsidP="00090ACA">
            <w:pPr>
              <w:spacing w:after="0" w:line="480" w:lineRule="auto"/>
              <w:rPr>
                <w:sz w:val="20"/>
                <w:szCs w:val="20"/>
              </w:rPr>
            </w:pPr>
            <w:r w:rsidRPr="00090ACA">
              <w:rPr>
                <w:sz w:val="20"/>
                <w:szCs w:val="20"/>
                <w:u w:val="single"/>
              </w:rPr>
              <w:t>Absolute racial inequality measure</w:t>
            </w:r>
            <w:r w:rsidRPr="00090ACA">
              <w:rPr>
                <w:sz w:val="20"/>
                <w:szCs w:val="20"/>
              </w:rPr>
              <w:t>: The absolute value of this difference in logged incomes</w:t>
            </w:r>
          </w:p>
        </w:tc>
        <w:tc>
          <w:tcPr>
            <w:tcW w:w="3870" w:type="dxa"/>
          </w:tcPr>
          <w:p w:rsidR="00EF53CB" w:rsidRPr="00090ACA" w:rsidRDefault="00EF53CB" w:rsidP="00090ACA">
            <w:pPr>
              <w:spacing w:after="0" w:line="480" w:lineRule="auto"/>
              <w:rPr>
                <w:sz w:val="20"/>
                <w:szCs w:val="20"/>
              </w:rPr>
            </w:pPr>
            <w:r w:rsidRPr="00090ACA">
              <w:rPr>
                <w:sz w:val="20"/>
                <w:szCs w:val="20"/>
              </w:rPr>
              <w:t>U.S. Census</w:t>
            </w:r>
          </w:p>
        </w:tc>
      </w:tr>
      <w:tr w:rsidR="00EF53CB" w:rsidRPr="00090ACA">
        <w:trPr>
          <w:trHeight w:val="360"/>
        </w:trPr>
        <w:tc>
          <w:tcPr>
            <w:tcW w:w="1795" w:type="dxa"/>
            <w:tcBorders>
              <w:bottom w:val="single" w:sz="4" w:space="0" w:color="auto"/>
            </w:tcBorders>
          </w:tcPr>
          <w:p w:rsidR="00EF53CB" w:rsidRPr="00090ACA" w:rsidRDefault="00EF53CB" w:rsidP="00090AC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90ACA">
              <w:rPr>
                <w:color w:val="000000"/>
                <w:sz w:val="20"/>
                <w:szCs w:val="20"/>
              </w:rPr>
              <w:t>Stratification</w:t>
            </w:r>
            <w:bookmarkStart w:id="4" w:name="_Ref474502149"/>
            <w:r w:rsidRPr="00090ACA">
              <w:rPr>
                <w:noProof/>
                <w:color w:val="000000"/>
                <w:sz w:val="20"/>
                <w:szCs w:val="20"/>
                <w:vertAlign w:val="superscript"/>
              </w:rPr>
              <w:t>77</w:t>
            </w:r>
            <w:bookmarkEnd w:id="4"/>
          </w:p>
        </w:tc>
        <w:tc>
          <w:tcPr>
            <w:tcW w:w="8010" w:type="dxa"/>
            <w:tcBorders>
              <w:bottom w:val="single" w:sz="4" w:space="0" w:color="auto"/>
            </w:tcBorders>
          </w:tcPr>
          <w:p w:rsidR="00EF53CB" w:rsidRPr="00090ACA" w:rsidRDefault="00EF53CB" w:rsidP="00090ACA">
            <w:pPr>
              <w:spacing w:after="0" w:line="480" w:lineRule="auto"/>
              <w:rPr>
                <w:sz w:val="20"/>
                <w:szCs w:val="20"/>
              </w:rPr>
            </w:pPr>
            <w:r w:rsidRPr="00090ACA">
              <w:rPr>
                <w:sz w:val="20"/>
                <w:szCs w:val="20"/>
              </w:rPr>
              <w:t>Index of: Ratio of white to black educational attainment for those 25+; Ratio of white household income to black household income; Ratio of the white to black unemployment rate; and racial residential segregation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EF53CB" w:rsidRPr="00090ACA" w:rsidRDefault="00EF53CB" w:rsidP="00090ACA">
            <w:pPr>
              <w:spacing w:after="0" w:line="480" w:lineRule="auto"/>
              <w:rPr>
                <w:sz w:val="20"/>
                <w:szCs w:val="20"/>
              </w:rPr>
            </w:pPr>
            <w:r w:rsidRPr="00090ACA">
              <w:rPr>
                <w:sz w:val="20"/>
                <w:szCs w:val="20"/>
              </w:rPr>
              <w:t>U.S. Census</w:t>
            </w:r>
          </w:p>
        </w:tc>
      </w:tr>
    </w:tbl>
    <w:p w:rsidR="005017EC" w:rsidRDefault="005017EC" w:rsidP="00D32C19">
      <w:pPr>
        <w:pStyle w:val="EndNoteBibliography"/>
        <w:spacing w:after="0" w:line="480" w:lineRule="auto"/>
        <w:ind w:left="720" w:hanging="720"/>
      </w:pPr>
    </w:p>
    <w:p w:rsidR="00EF53CB" w:rsidRDefault="00EF53CB" w:rsidP="00D32C19">
      <w:pPr>
        <w:pStyle w:val="EndNoteBibliography"/>
        <w:spacing w:after="0" w:line="480" w:lineRule="auto"/>
        <w:ind w:left="720" w:hanging="720"/>
      </w:pPr>
      <w:r>
        <w:t>69.</w:t>
      </w:r>
      <w:r>
        <w:tab/>
        <w:t>Krueger P, Bond Huie S, Rogers R, Hummer R. Neighbourhoods and homicide mortality: an analysis of race/ethnic differences. Journal of Epidemiology and Community Health. 2004;58:223-30.</w:t>
      </w:r>
    </w:p>
    <w:p w:rsidR="00EF53CB" w:rsidRDefault="00EF53CB" w:rsidP="00D32C19">
      <w:pPr>
        <w:pStyle w:val="EndNoteBibliography"/>
        <w:spacing w:after="0" w:line="480" w:lineRule="auto"/>
        <w:ind w:left="720" w:hanging="720"/>
      </w:pPr>
      <w:r>
        <w:t>70.</w:t>
      </w:r>
      <w:r>
        <w:tab/>
        <w:t>Jacobs D, Carmichael JT. The Political Sociology of the Death Penalty: A Pooled Time-Series Analysis. American Sociological Review. 2002;67:109-31. (in English).</w:t>
      </w:r>
    </w:p>
    <w:p w:rsidR="00EF53CB" w:rsidRDefault="00EF53CB" w:rsidP="00D32C19">
      <w:pPr>
        <w:pStyle w:val="EndNoteBibliography"/>
        <w:spacing w:after="0" w:line="480" w:lineRule="auto"/>
        <w:ind w:left="720" w:hanging="720"/>
      </w:pPr>
      <w:r>
        <w:t>71.</w:t>
      </w:r>
      <w:r>
        <w:tab/>
        <w:t>Smith A, Chiricos T. Structural antecedents of aggravated assault: exploratory assessment of female and male victimization. Violence &amp; Victims. 2003;18:55-70.</w:t>
      </w:r>
    </w:p>
    <w:p w:rsidR="00EF53CB" w:rsidRDefault="00EF53CB" w:rsidP="00D32C19">
      <w:pPr>
        <w:pStyle w:val="EndNoteBibliography"/>
        <w:spacing w:after="0" w:line="480" w:lineRule="auto"/>
        <w:ind w:left="720" w:hanging="720"/>
      </w:pPr>
      <w:r>
        <w:t>72.</w:t>
      </w:r>
      <w:r>
        <w:tab/>
        <w:t>Lederman D, Loayza N, Menendez AM. Violent Crime: Does Social Capital Matter? Economic Development and Cultural Change. 2002;50:509-39. (in English).</w:t>
      </w:r>
    </w:p>
    <w:p w:rsidR="00EF53CB" w:rsidRDefault="00EF53CB" w:rsidP="00D32C19">
      <w:pPr>
        <w:pStyle w:val="EndNoteBibliography"/>
        <w:spacing w:after="0" w:line="480" w:lineRule="auto"/>
        <w:ind w:left="720" w:hanging="720"/>
      </w:pPr>
      <w:r>
        <w:t>73.</w:t>
      </w:r>
      <w:r>
        <w:tab/>
        <w:t>Eckenrode J, Smith EG, McCarthy ME, Dineen M. Income inequality and child maltreatment in the United States. Pediatrics. 2014;133:454-61.</w:t>
      </w:r>
    </w:p>
    <w:p w:rsidR="00EF53CB" w:rsidRDefault="00EF53CB" w:rsidP="00D32C19">
      <w:pPr>
        <w:pStyle w:val="EndNoteBibliography"/>
        <w:spacing w:after="0" w:line="480" w:lineRule="auto"/>
        <w:ind w:left="720" w:hanging="720"/>
      </w:pPr>
      <w:r>
        <w:lastRenderedPageBreak/>
        <w:t>74.</w:t>
      </w:r>
      <w:r>
        <w:tab/>
        <w:t>Hipp JR. Income Inequality, Race, and Place: Does the Distribution of Race and Class within Neighborhoods Affect Crime Rates? Criminology. 2007;45:665-97. (in English).</w:t>
      </w:r>
    </w:p>
    <w:p w:rsidR="00EF53CB" w:rsidRDefault="00EF53CB" w:rsidP="00D32C19">
      <w:pPr>
        <w:pStyle w:val="EndNoteBibliography"/>
        <w:spacing w:after="0" w:line="480" w:lineRule="auto"/>
        <w:ind w:left="720" w:hanging="720"/>
      </w:pPr>
      <w:r>
        <w:t>75.</w:t>
      </w:r>
      <w:r>
        <w:tab/>
        <w:t>Morenoff JD, Sampson RJ, Raudenbush SW. Neighborhood Inequality, Collective Efficacy, and the Spatial Dynamics of Urban Violence. Criminology. 2001;39:517-59. (in English).</w:t>
      </w:r>
    </w:p>
    <w:p w:rsidR="00EF53CB" w:rsidRDefault="00EF53CB" w:rsidP="00D32C19">
      <w:pPr>
        <w:pStyle w:val="EndNoteBibliography"/>
        <w:spacing w:after="0" w:line="480" w:lineRule="auto"/>
        <w:ind w:left="720" w:hanging="720"/>
      </w:pPr>
      <w:r>
        <w:t>76.</w:t>
      </w:r>
      <w:r>
        <w:tab/>
        <w:t>Hipp JR, Tita GE, Boggess LN. INTERGROUP AND INTRAGROUP VIOLENCE: IS VIOLENT CRIME AN EXPRESSION OF GROUP CONFLICT OR SOCIAL DISORGANIZATION?*. Criminology. 2009;47:521-64. (in English).</w:t>
      </w:r>
    </w:p>
    <w:p w:rsidR="00EF53CB" w:rsidRDefault="00EF53CB" w:rsidP="005017EC">
      <w:pPr>
        <w:ind w:left="720" w:hanging="720"/>
      </w:pPr>
      <w:r>
        <w:t>77.</w:t>
      </w:r>
      <w:r>
        <w:tab/>
      </w:r>
      <w:r w:rsidRPr="005017EC">
        <w:rPr>
          <w:rFonts w:ascii="Calibri Light" w:hAnsi="Calibri Light" w:cs="Calibri Light"/>
        </w:rPr>
        <w:t>Borg MJ, Parker KF. Mobilizing Law in Urban Areas: The Social Structure of Homicide Clearance Rates. Law and Society Review. 2001</w:t>
      </w:r>
      <w:proofErr w:type="gramStart"/>
      <w:r w:rsidRPr="005017EC">
        <w:rPr>
          <w:rFonts w:ascii="Calibri Light" w:hAnsi="Calibri Light" w:cs="Calibri Light"/>
        </w:rPr>
        <w:t>;35:435</w:t>
      </w:r>
      <w:proofErr w:type="gramEnd"/>
      <w:r w:rsidRPr="005017EC">
        <w:rPr>
          <w:rFonts w:ascii="Calibri Light" w:hAnsi="Calibri Light" w:cs="Calibri Light"/>
        </w:rPr>
        <w:t>-66. (</w:t>
      </w:r>
      <w:proofErr w:type="gramStart"/>
      <w:r w:rsidRPr="005017EC">
        <w:rPr>
          <w:rFonts w:ascii="Calibri Light" w:hAnsi="Calibri Light" w:cs="Calibri Light"/>
        </w:rPr>
        <w:t>in</w:t>
      </w:r>
      <w:proofErr w:type="gramEnd"/>
      <w:r w:rsidRPr="005017EC">
        <w:rPr>
          <w:rFonts w:ascii="Calibri Light" w:hAnsi="Calibri Light" w:cs="Calibri Light"/>
        </w:rPr>
        <w:t xml:space="preserve"> English).</w:t>
      </w:r>
    </w:p>
    <w:sectPr w:rsidR="00EF53CB" w:rsidSect="008B7C97">
      <w:headerReference w:type="default" r:id="rId7"/>
      <w:footnotePr>
        <w:numFmt w:val="chicago"/>
      </w:footnotePr>
      <w:endnotePr>
        <w:numFmt w:val="lowerLetter"/>
      </w:endnotePr>
      <w:type w:val="continuous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3CB" w:rsidRDefault="00EF53CB" w:rsidP="00504790">
      <w:pPr>
        <w:spacing w:after="0" w:line="240" w:lineRule="auto"/>
      </w:pPr>
      <w:r>
        <w:separator/>
      </w:r>
    </w:p>
  </w:endnote>
  <w:endnote w:type="continuationSeparator" w:id="0">
    <w:p w:rsidR="00EF53CB" w:rsidRDefault="00EF53CB" w:rsidP="00504790">
      <w:pPr>
        <w:spacing w:after="0" w:line="240" w:lineRule="auto"/>
      </w:pPr>
      <w:r>
        <w:continuationSeparator/>
      </w:r>
    </w:p>
  </w:endnote>
  <w:endnote w:id="1">
    <w:p w:rsidR="005017EC" w:rsidRDefault="005017EC" w:rsidP="005017EC">
      <w:pPr>
        <w:pStyle w:val="EndnoteText"/>
        <w:spacing w:line="480" w:lineRule="auto"/>
      </w:pPr>
      <w:r>
        <w:rPr>
          <w:rStyle w:val="EndnoteReference"/>
        </w:rPr>
        <w:endnoteRef/>
      </w:r>
      <w:r>
        <w:t xml:space="preserve"> </w:t>
      </w:r>
      <w:r w:rsidRPr="006A47A3">
        <w:t>Multiple indicators that represent some form of an index are formatted with the prefix “index of”; constructs that are represented by multiple sub-constructs/indices are underlined and separated by semi-colon</w:t>
      </w:r>
      <w:bookmarkStart w:id="0" w:name="_GoBack"/>
      <w:bookmarkEnd w:id="0"/>
      <w:r w:rsidRPr="006A47A3">
        <w:t>s; otherwise multiple indicators that are not part of an index are separated by commas.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3CB" w:rsidRDefault="00EF53CB" w:rsidP="00504790">
      <w:pPr>
        <w:spacing w:after="0" w:line="240" w:lineRule="auto"/>
      </w:pPr>
      <w:r>
        <w:separator/>
      </w:r>
    </w:p>
  </w:footnote>
  <w:footnote w:type="continuationSeparator" w:id="0">
    <w:p w:rsidR="00EF53CB" w:rsidRDefault="00EF53CB" w:rsidP="00504790">
      <w:pPr>
        <w:spacing w:after="0" w:line="240" w:lineRule="auto"/>
      </w:pPr>
      <w:r>
        <w:continuationSeparator/>
      </w:r>
    </w:p>
  </w:footnote>
  <w:footnote w:id="1">
    <w:p w:rsidR="00EF53CB" w:rsidRDefault="00EF53CB" w:rsidP="008B7C97">
      <w:pPr>
        <w:pStyle w:val="FootnoteText"/>
        <w:spacing w:line="480" w:lineRule="auto"/>
      </w:pPr>
      <w:r>
        <w:rPr>
          <w:rStyle w:val="FootnoteReference"/>
        </w:rPr>
        <w:footnoteRef/>
      </w:r>
      <w:r>
        <w:t xml:space="preserve"> The indicator can be found using other publicly available data sources (i.e., U.S. Census- census tract data).</w:t>
      </w:r>
    </w:p>
  </w:footnote>
  <w:footnote w:id="2">
    <w:p w:rsidR="00EF53CB" w:rsidRDefault="00EF53CB" w:rsidP="008B7C97">
      <w:pPr>
        <w:pStyle w:val="FootnoteText"/>
        <w:spacing w:line="480" w:lineRule="auto"/>
      </w:pPr>
      <w:r>
        <w:rPr>
          <w:rStyle w:val="FootnoteReference"/>
        </w:rPr>
        <w:footnoteRef/>
      </w:r>
      <w:r>
        <w:t xml:space="preserve"> Gini Index/Gini Coefficient is a measure of statistical dispersion intended to represent the income distribution of a nation, state, or community’s residents. The coefficient ranges between zero (complete equality) and 1 (complete inequality). For more information on calculations of the Gini Index/Coefficient see </w:t>
      </w:r>
      <w:r>
        <w:rPr>
          <w:rStyle w:val="reference-text"/>
        </w:rPr>
        <w:t>Gini</w:t>
      </w:r>
      <w:r w:rsidRPr="00DC06B8">
        <w:rPr>
          <w:rStyle w:val="reference-text"/>
        </w:rPr>
        <w:t xml:space="preserve"> C. Conc</w:t>
      </w:r>
      <w:r>
        <w:rPr>
          <w:rStyle w:val="reference-text"/>
        </w:rPr>
        <w:t>entration and dependency ratios.</w:t>
      </w:r>
      <w:r w:rsidRPr="00DC06B8">
        <w:rPr>
          <w:rStyle w:val="reference-text"/>
        </w:rPr>
        <w:t xml:space="preserve"> </w:t>
      </w:r>
      <w:proofErr w:type="spellStart"/>
      <w:r w:rsidRPr="00DC06B8">
        <w:rPr>
          <w:rStyle w:val="reference-text"/>
          <w:i/>
          <w:iCs/>
        </w:rPr>
        <w:t>Rivista</w:t>
      </w:r>
      <w:proofErr w:type="spellEnd"/>
      <w:r w:rsidRPr="00DC06B8">
        <w:rPr>
          <w:rStyle w:val="reference-text"/>
          <w:i/>
          <w:iCs/>
        </w:rPr>
        <w:t xml:space="preserve"> di </w:t>
      </w:r>
      <w:proofErr w:type="spellStart"/>
      <w:r w:rsidRPr="00DC06B8">
        <w:rPr>
          <w:rStyle w:val="reference-text"/>
          <w:i/>
          <w:iCs/>
        </w:rPr>
        <w:t>Politica</w:t>
      </w:r>
      <w:proofErr w:type="spellEnd"/>
      <w:r w:rsidRPr="00DC06B8">
        <w:rPr>
          <w:rStyle w:val="reference-text"/>
          <w:i/>
          <w:iCs/>
        </w:rPr>
        <w:t xml:space="preserve"> </w:t>
      </w:r>
      <w:proofErr w:type="spellStart"/>
      <w:r w:rsidRPr="00DC06B8">
        <w:rPr>
          <w:rStyle w:val="reference-text"/>
          <w:i/>
          <w:iCs/>
        </w:rPr>
        <w:t>Economica</w:t>
      </w:r>
      <w:proofErr w:type="spellEnd"/>
      <w:r>
        <w:rPr>
          <w:rStyle w:val="reference-text"/>
        </w:rPr>
        <w:t>. 1997</w:t>
      </w:r>
      <w:proofErr w:type="gramStart"/>
      <w:r>
        <w:rPr>
          <w:rStyle w:val="reference-text"/>
        </w:rPr>
        <w:t>;87</w:t>
      </w:r>
      <w:proofErr w:type="gramEnd"/>
      <w:r>
        <w:rPr>
          <w:rStyle w:val="reference-text"/>
        </w:rPr>
        <w:t>:</w:t>
      </w:r>
      <w:r w:rsidRPr="00DC06B8">
        <w:rPr>
          <w:rStyle w:val="reference-text"/>
        </w:rPr>
        <w:t xml:space="preserve"> 769–789.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3CB" w:rsidRDefault="00EF53CB">
    <w:pPr>
      <w:pStyle w:val="Header"/>
    </w:pPr>
    <w:r>
      <w:t>INDICATORS FOR VIOLENCE PREVENTION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numFmt w:val="chicago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8F"/>
    <w:rsid w:val="00090ACA"/>
    <w:rsid w:val="001631D9"/>
    <w:rsid w:val="001C1997"/>
    <w:rsid w:val="001F43E0"/>
    <w:rsid w:val="0021260B"/>
    <w:rsid w:val="00256255"/>
    <w:rsid w:val="005017EC"/>
    <w:rsid w:val="00504790"/>
    <w:rsid w:val="0063368F"/>
    <w:rsid w:val="00637A77"/>
    <w:rsid w:val="008B7C97"/>
    <w:rsid w:val="00967325"/>
    <w:rsid w:val="00A65DC6"/>
    <w:rsid w:val="00C92C96"/>
    <w:rsid w:val="00D26908"/>
    <w:rsid w:val="00D32C19"/>
    <w:rsid w:val="00DC06B8"/>
    <w:rsid w:val="00EF4C5C"/>
    <w:rsid w:val="00EF53CB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7207D7"/>
  <w15:docId w15:val="{E4722049-B31A-4263-8457-F22D7A0D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DC6"/>
    <w:pPr>
      <w:spacing w:after="160" w:line="259" w:lineRule="auto"/>
    </w:pPr>
    <w:rPr>
      <w:rFonts w:cs="Calibri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3368F"/>
    <w:pPr>
      <w:keepNext/>
      <w:keepLines/>
      <w:spacing w:before="40" w:after="0" w:line="276" w:lineRule="auto"/>
      <w:outlineLvl w:val="3"/>
    </w:pPr>
    <w:rPr>
      <w:rFonts w:ascii="Calibri Light" w:eastAsia="Times New Roman" w:hAnsi="Calibri Light" w:cs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63368F"/>
    <w:rPr>
      <w:rFonts w:ascii="Calibri Light" w:hAnsi="Calibri Light" w:cs="Calibri Light"/>
      <w:i/>
      <w:iCs/>
      <w:color w:val="2E74B5"/>
    </w:rPr>
  </w:style>
  <w:style w:type="paragraph" w:styleId="Header">
    <w:name w:val="header"/>
    <w:basedOn w:val="Normal"/>
    <w:link w:val="HeaderChar"/>
    <w:uiPriority w:val="99"/>
    <w:rsid w:val="00504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04790"/>
  </w:style>
  <w:style w:type="paragraph" w:styleId="Footer">
    <w:name w:val="footer"/>
    <w:basedOn w:val="Normal"/>
    <w:link w:val="FooterChar"/>
    <w:uiPriority w:val="99"/>
    <w:rsid w:val="00504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04790"/>
  </w:style>
  <w:style w:type="table" w:styleId="TableGrid">
    <w:name w:val="Table Grid"/>
    <w:basedOn w:val="TableNormal"/>
    <w:uiPriority w:val="99"/>
    <w:rsid w:val="001C199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8B7C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B7C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B7C97"/>
    <w:rPr>
      <w:vertAlign w:val="superscript"/>
    </w:rPr>
  </w:style>
  <w:style w:type="character" w:customStyle="1" w:styleId="reference-text">
    <w:name w:val="reference-text"/>
    <w:basedOn w:val="DefaultParagraphFont"/>
    <w:uiPriority w:val="99"/>
    <w:rsid w:val="008B7C97"/>
  </w:style>
  <w:style w:type="paragraph" w:customStyle="1" w:styleId="EndNoteBibliography">
    <w:name w:val="EndNote Bibliography"/>
    <w:basedOn w:val="Normal"/>
    <w:link w:val="EndNoteBibliographyChar"/>
    <w:uiPriority w:val="99"/>
    <w:pPr>
      <w:spacing w:line="240" w:lineRule="auto"/>
    </w:pPr>
    <w:rPr>
      <w:rFonts w:ascii="Calibri Light" w:hAnsi="Calibri Light" w:cs="Calibri Light"/>
      <w:noProof/>
    </w:rPr>
  </w:style>
  <w:style w:type="character" w:customStyle="1" w:styleId="EndNoteBibliographyChar">
    <w:name w:val="EndNote Bibliography Char"/>
    <w:basedOn w:val="DefaultParagraphFont"/>
    <w:link w:val="EndNoteBibliography"/>
    <w:uiPriority w:val="99"/>
    <w:locked/>
    <w:rPr>
      <w:rFonts w:ascii="Calibri Light" w:hAnsi="Calibri Light" w:cs="Calibri Light"/>
      <w:noProof/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17E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17EC"/>
    <w:rPr>
      <w:rFonts w:cs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017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09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57A4D-90B8-4F58-8B07-E13163EDA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429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Armstead, Theresa (CDC/ONDIEH/NCIPC)</dc:creator>
  <cp:keywords/>
  <dc:description/>
  <cp:lastModifiedBy>Armstead, Theresa (CDC/ONDIEH/NCIPC)</cp:lastModifiedBy>
  <cp:revision>3</cp:revision>
  <dcterms:created xsi:type="dcterms:W3CDTF">2017-09-25T20:34:00Z</dcterms:created>
  <dcterms:modified xsi:type="dcterms:W3CDTF">2017-09-25T20:54:00Z</dcterms:modified>
</cp:coreProperties>
</file>