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99CA1" w14:textId="77777777" w:rsidR="00765F9C" w:rsidRDefault="00765F9C" w:rsidP="001412E5">
      <w:pPr>
        <w:pStyle w:val="Heading4"/>
        <w:spacing w:before="0" w:line="480" w:lineRule="auto"/>
        <w:rPr>
          <w:rStyle w:val="Heading4Char"/>
          <w:rFonts w:ascii="Calibri" w:hAnsi="Calibri" w:cs="Calibri"/>
          <w:b/>
          <w:bCs/>
          <w:color w:val="auto"/>
        </w:rPr>
      </w:pPr>
      <w:r>
        <w:rPr>
          <w:rStyle w:val="Heading4Char"/>
          <w:rFonts w:ascii="Calibri" w:hAnsi="Calibri" w:cs="Calibri"/>
          <w:b/>
          <w:bCs/>
          <w:color w:val="auto"/>
        </w:rPr>
        <w:t>Supplemental Digital Content</w:t>
      </w:r>
    </w:p>
    <w:p w14:paraId="548AB829" w14:textId="77777777" w:rsidR="00765F9C" w:rsidRDefault="00765F9C" w:rsidP="0063368F">
      <w:pPr>
        <w:pStyle w:val="Heading4"/>
        <w:spacing w:before="0" w:line="480" w:lineRule="auto"/>
        <w:rPr>
          <w:rStyle w:val="Heading4Char"/>
          <w:rFonts w:ascii="Calibri" w:hAnsi="Calibri" w:cs="Calibri"/>
          <w:b/>
          <w:bCs/>
          <w:color w:val="auto"/>
        </w:rPr>
      </w:pPr>
      <w:r>
        <w:rPr>
          <w:rStyle w:val="Heading4Char"/>
          <w:rFonts w:ascii="Calibri" w:hAnsi="Calibri" w:cs="Calibri"/>
          <w:b/>
          <w:bCs/>
          <w:color w:val="auto"/>
        </w:rPr>
        <w:br w:type="page"/>
      </w:r>
    </w:p>
    <w:p w14:paraId="68C7D768" w14:textId="77777777" w:rsidR="00765F9C" w:rsidRPr="00EF4C5C" w:rsidRDefault="00765F9C" w:rsidP="0063368F">
      <w:pPr>
        <w:pStyle w:val="Heading4"/>
        <w:spacing w:before="0" w:line="480" w:lineRule="auto"/>
        <w:rPr>
          <w:rFonts w:ascii="Calibri" w:hAnsi="Calibri" w:cs="Calibri"/>
          <w:b/>
          <w:bCs/>
          <w:i w:val="0"/>
          <w:iCs w:val="0"/>
          <w:color w:val="auto"/>
        </w:rPr>
      </w:pPr>
      <w:r>
        <w:rPr>
          <w:rStyle w:val="Heading4Char"/>
          <w:rFonts w:ascii="Calibri" w:hAnsi="Calibri" w:cs="Calibri"/>
          <w:b/>
          <w:bCs/>
          <w:color w:val="auto"/>
        </w:rPr>
        <w:lastRenderedPageBreak/>
        <w:t>TABLE 2</w:t>
      </w:r>
      <w:r w:rsidRPr="00EF4C5C">
        <w:rPr>
          <w:rStyle w:val="Heading4Char"/>
          <w:rFonts w:ascii="Calibri" w:hAnsi="Calibri" w:cs="Calibri"/>
          <w:b/>
          <w:bCs/>
          <w:color w:val="auto"/>
        </w:rPr>
        <w:t xml:space="preserve">: </w:t>
      </w:r>
      <w:r w:rsidRPr="00EF4C5C">
        <w:rPr>
          <w:rFonts w:ascii="Calibri" w:hAnsi="Calibri" w:cs="Calibri"/>
          <w:b/>
          <w:bCs/>
          <w:i w:val="0"/>
          <w:iCs w:val="0"/>
          <w:color w:val="auto"/>
        </w:rPr>
        <w:t>NORMS</w:t>
      </w:r>
      <w:r>
        <w:rPr>
          <w:rFonts w:ascii="Calibri" w:hAnsi="Calibri" w:cs="Calibri"/>
          <w:b/>
          <w:bCs/>
          <w:i w:val="0"/>
          <w:iCs w:val="0"/>
          <w:color w:val="auto"/>
        </w:rPr>
        <w:t>: RIGID</w:t>
      </w:r>
      <w:r w:rsidRPr="00EF4C5C">
        <w:rPr>
          <w:rFonts w:ascii="Calibri" w:hAnsi="Calibri" w:cs="Calibri"/>
          <w:b/>
          <w:bCs/>
          <w:i w:val="0"/>
          <w:iCs w:val="0"/>
          <w:color w:val="auto"/>
        </w:rPr>
        <w:t xml:space="preserve"> GENDER </w:t>
      </w:r>
      <w:r>
        <w:rPr>
          <w:rFonts w:ascii="Calibri" w:hAnsi="Calibri" w:cs="Calibri"/>
          <w:b/>
          <w:bCs/>
          <w:i w:val="0"/>
          <w:iCs w:val="0"/>
          <w:color w:val="auto"/>
        </w:rPr>
        <w:t xml:space="preserve">NORMS </w:t>
      </w:r>
      <w:r w:rsidRPr="00EF4C5C">
        <w:rPr>
          <w:rFonts w:ascii="Calibri" w:hAnsi="Calibri" w:cs="Calibri"/>
          <w:b/>
          <w:bCs/>
          <w:i w:val="0"/>
          <w:iCs w:val="0"/>
          <w:color w:val="auto"/>
        </w:rPr>
        <w:t xml:space="preserve">AND </w:t>
      </w:r>
      <w:r>
        <w:rPr>
          <w:rFonts w:ascii="Calibri" w:hAnsi="Calibri" w:cs="Calibri"/>
          <w:b/>
          <w:bCs/>
          <w:i w:val="0"/>
          <w:iCs w:val="0"/>
          <w:color w:val="auto"/>
        </w:rPr>
        <w:t>NORMS THAT SUPPORT AGGRESSION</w:t>
      </w:r>
    </w:p>
    <w:tbl>
      <w:tblPr>
        <w:tblW w:w="13675"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85"/>
        <w:gridCol w:w="7920"/>
        <w:gridCol w:w="3870"/>
      </w:tblGrid>
      <w:tr w:rsidR="00765F9C" w:rsidRPr="00B12DE6" w14:paraId="2407D481" w14:textId="77777777">
        <w:trPr>
          <w:trHeight w:val="305"/>
          <w:tblHeader/>
        </w:trPr>
        <w:tc>
          <w:tcPr>
            <w:tcW w:w="1885" w:type="dxa"/>
            <w:tcBorders>
              <w:top w:val="single" w:sz="4" w:space="0" w:color="auto"/>
              <w:bottom w:val="single" w:sz="4" w:space="0" w:color="auto"/>
            </w:tcBorders>
          </w:tcPr>
          <w:p w14:paraId="559F9ACE" w14:textId="77777777" w:rsidR="00765F9C" w:rsidRPr="00B12DE6" w:rsidRDefault="00765F9C" w:rsidP="00B12DE6">
            <w:pPr>
              <w:spacing w:after="0" w:line="480" w:lineRule="auto"/>
              <w:rPr>
                <w:b/>
                <w:bCs/>
                <w:sz w:val="20"/>
                <w:szCs w:val="20"/>
              </w:rPr>
            </w:pPr>
            <w:r w:rsidRPr="00B12DE6">
              <w:rPr>
                <w:b/>
                <w:bCs/>
                <w:sz w:val="20"/>
                <w:szCs w:val="20"/>
              </w:rPr>
              <w:t>Construct</w:t>
            </w:r>
          </w:p>
        </w:tc>
        <w:tc>
          <w:tcPr>
            <w:tcW w:w="7920" w:type="dxa"/>
            <w:tcBorders>
              <w:top w:val="single" w:sz="4" w:space="0" w:color="auto"/>
              <w:bottom w:val="single" w:sz="4" w:space="0" w:color="auto"/>
            </w:tcBorders>
          </w:tcPr>
          <w:p w14:paraId="6702AB7F" w14:textId="4EFD7CC7" w:rsidR="00765F9C" w:rsidRPr="00B12DE6" w:rsidRDefault="00765F9C" w:rsidP="006A47A3">
            <w:pPr>
              <w:spacing w:after="0" w:line="480" w:lineRule="auto"/>
              <w:rPr>
                <w:sz w:val="20"/>
                <w:szCs w:val="20"/>
              </w:rPr>
            </w:pPr>
            <w:r w:rsidRPr="00B12DE6">
              <w:rPr>
                <w:b/>
                <w:bCs/>
                <w:sz w:val="20"/>
                <w:szCs w:val="20"/>
              </w:rPr>
              <w:t>Indicators</w:t>
            </w:r>
            <w:r w:rsidR="006A47A3">
              <w:rPr>
                <w:rStyle w:val="EndnoteReference"/>
                <w:b/>
                <w:bCs/>
                <w:sz w:val="20"/>
                <w:szCs w:val="20"/>
              </w:rPr>
              <w:endnoteReference w:id="1"/>
            </w:r>
          </w:p>
        </w:tc>
        <w:tc>
          <w:tcPr>
            <w:tcW w:w="3870" w:type="dxa"/>
            <w:tcBorders>
              <w:top w:val="single" w:sz="4" w:space="0" w:color="auto"/>
              <w:bottom w:val="single" w:sz="4" w:space="0" w:color="auto"/>
            </w:tcBorders>
          </w:tcPr>
          <w:p w14:paraId="6C7A1F18" w14:textId="77777777" w:rsidR="00765F9C" w:rsidRPr="00B12DE6" w:rsidRDefault="00765F9C" w:rsidP="00B12DE6">
            <w:pPr>
              <w:spacing w:after="0" w:line="480" w:lineRule="auto"/>
              <w:rPr>
                <w:sz w:val="20"/>
                <w:szCs w:val="20"/>
              </w:rPr>
            </w:pPr>
            <w:r w:rsidRPr="00B12DE6">
              <w:rPr>
                <w:b/>
                <w:bCs/>
                <w:sz w:val="20"/>
                <w:szCs w:val="20"/>
              </w:rPr>
              <w:t>Data Source</w:t>
            </w:r>
          </w:p>
        </w:tc>
      </w:tr>
      <w:tr w:rsidR="00765F9C" w:rsidRPr="00B12DE6" w14:paraId="5C4B2D3B" w14:textId="77777777">
        <w:trPr>
          <w:trHeight w:val="382"/>
        </w:trPr>
        <w:tc>
          <w:tcPr>
            <w:tcW w:w="1885" w:type="dxa"/>
            <w:tcBorders>
              <w:top w:val="single" w:sz="4" w:space="0" w:color="auto"/>
            </w:tcBorders>
          </w:tcPr>
          <w:p w14:paraId="5B702B35" w14:textId="77777777" w:rsidR="00765F9C" w:rsidRPr="00B12DE6" w:rsidRDefault="00765F9C" w:rsidP="00B12DE6">
            <w:pPr>
              <w:spacing w:after="0" w:line="240" w:lineRule="auto"/>
              <w:rPr>
                <w:sz w:val="20"/>
                <w:szCs w:val="20"/>
              </w:rPr>
            </w:pPr>
            <w:r w:rsidRPr="00B12DE6">
              <w:rPr>
                <w:color w:val="000000"/>
                <w:sz w:val="20"/>
                <w:szCs w:val="20"/>
              </w:rPr>
              <w:t>Sexist humor</w:t>
            </w:r>
            <w:r w:rsidRPr="00B12DE6">
              <w:rPr>
                <w:noProof/>
                <w:color w:val="000000"/>
                <w:sz w:val="20"/>
                <w:szCs w:val="20"/>
                <w:vertAlign w:val="superscript"/>
              </w:rPr>
              <w:t>65</w:t>
            </w:r>
            <w:r w:rsidRPr="00B12DE6">
              <w:rPr>
                <w:sz w:val="20"/>
                <w:szCs w:val="20"/>
              </w:rPr>
              <w:t xml:space="preserve"> </w:t>
            </w:r>
          </w:p>
        </w:tc>
        <w:tc>
          <w:tcPr>
            <w:tcW w:w="7920" w:type="dxa"/>
            <w:tcBorders>
              <w:top w:val="single" w:sz="4" w:space="0" w:color="auto"/>
              <w:bottom w:val="nil"/>
              <w:right w:val="nil"/>
            </w:tcBorders>
          </w:tcPr>
          <w:p w14:paraId="793681FE" w14:textId="77777777" w:rsidR="00765F9C" w:rsidRPr="00B12DE6" w:rsidRDefault="00765F9C" w:rsidP="00B12DE6">
            <w:pPr>
              <w:spacing w:after="0" w:line="480" w:lineRule="auto"/>
              <w:rPr>
                <w:color w:val="000000"/>
                <w:sz w:val="20"/>
                <w:szCs w:val="20"/>
              </w:rPr>
            </w:pPr>
            <w:r w:rsidRPr="00B12DE6">
              <w:rPr>
                <w:color w:val="000000"/>
                <w:sz w:val="20"/>
                <w:szCs w:val="20"/>
                <w:u w:val="single"/>
              </w:rPr>
              <w:t>Devaluation of personal characteristics</w:t>
            </w:r>
            <w:r w:rsidRPr="00B12DE6">
              <w:rPr>
                <w:color w:val="000000"/>
                <w:sz w:val="20"/>
                <w:szCs w:val="20"/>
              </w:rPr>
              <w:t>: Imperfect body, personality/character, intelligence/ability</w:t>
            </w:r>
          </w:p>
          <w:p w14:paraId="3B25E323" w14:textId="77777777" w:rsidR="00765F9C" w:rsidRPr="00B12DE6" w:rsidRDefault="00765F9C" w:rsidP="00B12DE6">
            <w:pPr>
              <w:spacing w:after="0" w:line="480" w:lineRule="auto"/>
              <w:rPr>
                <w:color w:val="000000"/>
                <w:sz w:val="20"/>
                <w:szCs w:val="20"/>
              </w:rPr>
            </w:pPr>
            <w:r w:rsidRPr="00B12DE6">
              <w:rPr>
                <w:color w:val="000000"/>
                <w:sz w:val="20"/>
                <w:szCs w:val="20"/>
                <w:u w:val="single"/>
              </w:rPr>
              <w:t>Women’s place in the private sphere</w:t>
            </w:r>
            <w:r w:rsidRPr="00B12DE6">
              <w:rPr>
                <w:color w:val="000000"/>
                <w:sz w:val="20"/>
                <w:szCs w:val="20"/>
              </w:rPr>
              <w:t xml:space="preserve">: Division of labor, marriage </w:t>
            </w:r>
          </w:p>
          <w:p w14:paraId="378784EA" w14:textId="77777777" w:rsidR="00765F9C" w:rsidRPr="00B12DE6" w:rsidRDefault="00765F9C" w:rsidP="00B12DE6">
            <w:pPr>
              <w:spacing w:after="0" w:line="480" w:lineRule="auto"/>
              <w:rPr>
                <w:color w:val="000000"/>
                <w:sz w:val="20"/>
                <w:szCs w:val="20"/>
              </w:rPr>
            </w:pPr>
            <w:r w:rsidRPr="00B12DE6">
              <w:rPr>
                <w:color w:val="000000"/>
                <w:sz w:val="20"/>
                <w:szCs w:val="20"/>
                <w:u w:val="single"/>
              </w:rPr>
              <w:t>Backlash against feminism</w:t>
            </w:r>
            <w:r w:rsidRPr="00B12DE6">
              <w:rPr>
                <w:color w:val="000000"/>
                <w:sz w:val="20"/>
                <w:szCs w:val="20"/>
              </w:rPr>
              <w:t>: Stereotypes against women who challenge the status quo</w:t>
            </w:r>
          </w:p>
          <w:p w14:paraId="6502DE9F" w14:textId="77777777" w:rsidR="00765F9C" w:rsidRPr="00B12DE6" w:rsidRDefault="00765F9C" w:rsidP="00B12DE6">
            <w:pPr>
              <w:spacing w:after="0" w:line="480" w:lineRule="auto"/>
              <w:rPr>
                <w:color w:val="000000"/>
                <w:sz w:val="20"/>
                <w:szCs w:val="20"/>
              </w:rPr>
            </w:pPr>
            <w:r w:rsidRPr="00B12DE6">
              <w:rPr>
                <w:color w:val="000000"/>
                <w:sz w:val="20"/>
                <w:szCs w:val="20"/>
                <w:u w:val="single"/>
              </w:rPr>
              <w:t>Violence against women</w:t>
            </w:r>
            <w:r w:rsidRPr="00B12DE6">
              <w:rPr>
                <w:color w:val="000000"/>
                <w:sz w:val="20"/>
                <w:szCs w:val="20"/>
              </w:rPr>
              <w:t>: Jokes that support men’s ability to retain power over women; jokes that support violence as a logical outcome of women who do not conform to stereotypical explanations of femininity</w:t>
            </w:r>
          </w:p>
          <w:p w14:paraId="3A235CE4" w14:textId="77777777" w:rsidR="00765F9C" w:rsidRPr="00B12DE6" w:rsidRDefault="00765F9C" w:rsidP="00B12DE6">
            <w:pPr>
              <w:spacing w:after="0" w:line="480" w:lineRule="auto"/>
              <w:rPr>
                <w:sz w:val="20"/>
                <w:szCs w:val="20"/>
              </w:rPr>
            </w:pPr>
            <w:r w:rsidRPr="00B12DE6">
              <w:rPr>
                <w:color w:val="000000"/>
                <w:sz w:val="20"/>
                <w:szCs w:val="20"/>
                <w:u w:val="single"/>
              </w:rPr>
              <w:t>Sexual objectification of women</w:t>
            </w:r>
            <w:r w:rsidRPr="00B12DE6">
              <w:rPr>
                <w:color w:val="000000"/>
                <w:sz w:val="20"/>
                <w:szCs w:val="20"/>
              </w:rPr>
              <w:t>: Attitudes and behaviors that fragment and dehumanize women, with violence against women as one possible result</w:t>
            </w:r>
          </w:p>
        </w:tc>
        <w:tc>
          <w:tcPr>
            <w:tcW w:w="3870" w:type="dxa"/>
            <w:tcBorders>
              <w:top w:val="single" w:sz="4" w:space="0" w:color="auto"/>
              <w:left w:val="nil"/>
              <w:bottom w:val="nil"/>
            </w:tcBorders>
          </w:tcPr>
          <w:p w14:paraId="79AF7C94" w14:textId="77777777" w:rsidR="00765F9C" w:rsidRPr="00B12DE6" w:rsidRDefault="00765F9C" w:rsidP="00B12DE6">
            <w:pPr>
              <w:spacing w:after="0" w:line="480" w:lineRule="auto"/>
              <w:rPr>
                <w:sz w:val="20"/>
                <w:szCs w:val="20"/>
              </w:rPr>
            </w:pPr>
            <w:r w:rsidRPr="00B12DE6">
              <w:rPr>
                <w:color w:val="000000"/>
                <w:sz w:val="20"/>
                <w:szCs w:val="20"/>
              </w:rPr>
              <w:t>Internet joke sites</w:t>
            </w:r>
          </w:p>
        </w:tc>
      </w:tr>
      <w:tr w:rsidR="00765F9C" w:rsidRPr="00B12DE6" w14:paraId="558EB5A4" w14:textId="77777777">
        <w:trPr>
          <w:trHeight w:val="382"/>
        </w:trPr>
        <w:tc>
          <w:tcPr>
            <w:tcW w:w="1885" w:type="dxa"/>
          </w:tcPr>
          <w:p w14:paraId="4B1306D3" w14:textId="77777777" w:rsidR="00765F9C" w:rsidRPr="00B12DE6" w:rsidRDefault="00765F9C" w:rsidP="00B12DE6">
            <w:pPr>
              <w:spacing w:after="0" w:line="480" w:lineRule="auto"/>
              <w:rPr>
                <w:sz w:val="20"/>
                <w:szCs w:val="20"/>
              </w:rPr>
            </w:pPr>
            <w:r w:rsidRPr="00B12DE6">
              <w:rPr>
                <w:color w:val="000000"/>
                <w:sz w:val="20"/>
                <w:szCs w:val="20"/>
              </w:rPr>
              <w:t>Structural stigma of sexual minorities</w:t>
            </w:r>
            <w:r w:rsidRPr="00B12DE6">
              <w:rPr>
                <w:noProof/>
                <w:color w:val="000000"/>
                <w:sz w:val="20"/>
                <w:szCs w:val="20"/>
                <w:vertAlign w:val="superscript"/>
              </w:rPr>
              <w:t>66</w:t>
            </w:r>
          </w:p>
        </w:tc>
        <w:tc>
          <w:tcPr>
            <w:tcW w:w="7920" w:type="dxa"/>
            <w:tcBorders>
              <w:top w:val="nil"/>
              <w:bottom w:val="single" w:sz="4" w:space="0" w:color="auto"/>
            </w:tcBorders>
          </w:tcPr>
          <w:p w14:paraId="33F9B70D" w14:textId="77777777" w:rsidR="00765F9C" w:rsidRPr="00B12DE6" w:rsidRDefault="00765F9C" w:rsidP="00B12DE6">
            <w:pPr>
              <w:spacing w:after="0" w:line="480" w:lineRule="auto"/>
              <w:rPr>
                <w:sz w:val="20"/>
                <w:szCs w:val="20"/>
              </w:rPr>
            </w:pPr>
            <w:r w:rsidRPr="00B12DE6">
              <w:rPr>
                <w:color w:val="000000"/>
                <w:sz w:val="20"/>
                <w:szCs w:val="20"/>
              </w:rPr>
              <w:t>Index of four items: (1) “If some people in your community suggested that a book in favor of homosexuality should be taken out of your public library, would you favor removing this book, or not?” (2) “Should a man who admits that he is a homosexual be allowed to teach in a college or university, or not?”  (3) “Suppose a man who admits that he is a homosexual wanted to make a speech in your community. Should he be allowed to speak, or not?” (4) “Do you think that sexual relations between two adults of the same sex is always wrong, almost always wrong,  wrong only sometimes, or not wrong at all?”</w:t>
            </w:r>
          </w:p>
        </w:tc>
        <w:tc>
          <w:tcPr>
            <w:tcW w:w="3870" w:type="dxa"/>
            <w:tcBorders>
              <w:top w:val="nil"/>
              <w:bottom w:val="single" w:sz="4" w:space="0" w:color="auto"/>
            </w:tcBorders>
          </w:tcPr>
          <w:p w14:paraId="0DF044DE" w14:textId="77777777" w:rsidR="00765F9C" w:rsidRPr="00B12DE6" w:rsidRDefault="00765F9C" w:rsidP="00B12DE6">
            <w:pPr>
              <w:spacing w:after="0" w:line="480" w:lineRule="auto"/>
              <w:rPr>
                <w:sz w:val="20"/>
                <w:szCs w:val="20"/>
              </w:rPr>
            </w:pPr>
            <w:r w:rsidRPr="00B12DE6">
              <w:rPr>
                <w:color w:val="000000"/>
                <w:sz w:val="20"/>
                <w:szCs w:val="20"/>
              </w:rPr>
              <w:t>General Social Survey</w:t>
            </w:r>
          </w:p>
        </w:tc>
      </w:tr>
      <w:tr w:rsidR="00765F9C" w:rsidRPr="00B12DE6" w14:paraId="3EDA8CB0" w14:textId="77777777">
        <w:trPr>
          <w:trHeight w:val="382"/>
        </w:trPr>
        <w:tc>
          <w:tcPr>
            <w:tcW w:w="1885" w:type="dxa"/>
          </w:tcPr>
          <w:p w14:paraId="5EDB28DF" w14:textId="77777777" w:rsidR="00765F9C" w:rsidRPr="00B12DE6" w:rsidRDefault="00765F9C" w:rsidP="00B12DE6">
            <w:pPr>
              <w:spacing w:after="0" w:line="480" w:lineRule="auto"/>
              <w:rPr>
                <w:sz w:val="20"/>
                <w:szCs w:val="20"/>
              </w:rPr>
            </w:pPr>
            <w:r w:rsidRPr="00B12DE6">
              <w:rPr>
                <w:color w:val="000000"/>
                <w:sz w:val="20"/>
                <w:szCs w:val="20"/>
              </w:rPr>
              <w:lastRenderedPageBreak/>
              <w:t>Gender equality</w:t>
            </w:r>
            <w:r w:rsidRPr="00B12DE6">
              <w:rPr>
                <w:noProof/>
                <w:color w:val="000000"/>
                <w:sz w:val="20"/>
                <w:szCs w:val="20"/>
                <w:vertAlign w:val="superscript"/>
              </w:rPr>
              <w:t>67</w:t>
            </w:r>
          </w:p>
        </w:tc>
        <w:tc>
          <w:tcPr>
            <w:tcW w:w="7920" w:type="dxa"/>
            <w:tcBorders>
              <w:top w:val="single" w:sz="4" w:space="0" w:color="auto"/>
              <w:bottom w:val="nil"/>
            </w:tcBorders>
          </w:tcPr>
          <w:p w14:paraId="18BBDA1E" w14:textId="77777777" w:rsidR="00765F9C" w:rsidRPr="00B12DE6" w:rsidRDefault="00765F9C" w:rsidP="00B12DE6">
            <w:pPr>
              <w:spacing w:after="0" w:line="480" w:lineRule="auto"/>
              <w:rPr>
                <w:sz w:val="20"/>
                <w:szCs w:val="20"/>
              </w:rPr>
            </w:pPr>
            <w:r w:rsidRPr="00B12DE6">
              <w:rPr>
                <w:color w:val="000000"/>
                <w:sz w:val="20"/>
                <w:szCs w:val="20"/>
              </w:rPr>
              <w:t>Index of: The female-to-male ratio of those 25 years and older with 4 or more years of college education; the female-to-male ratio of those 16 years and older employed in management, professional, and related occupations; and the female-to-male ratio of income levels</w:t>
            </w:r>
          </w:p>
        </w:tc>
        <w:tc>
          <w:tcPr>
            <w:tcW w:w="3870" w:type="dxa"/>
            <w:tcBorders>
              <w:top w:val="single" w:sz="4" w:space="0" w:color="auto"/>
              <w:bottom w:val="nil"/>
            </w:tcBorders>
          </w:tcPr>
          <w:p w14:paraId="79AB61F9" w14:textId="77777777" w:rsidR="00765F9C" w:rsidRPr="00B12DE6" w:rsidRDefault="00765F9C" w:rsidP="00B12DE6">
            <w:pPr>
              <w:spacing w:after="0" w:line="480" w:lineRule="auto"/>
              <w:rPr>
                <w:sz w:val="20"/>
                <w:szCs w:val="20"/>
              </w:rPr>
            </w:pPr>
            <w:r w:rsidRPr="00B12DE6">
              <w:rPr>
                <w:color w:val="000000"/>
                <w:sz w:val="20"/>
                <w:szCs w:val="20"/>
              </w:rPr>
              <w:t>U.S. Census</w:t>
            </w:r>
          </w:p>
        </w:tc>
      </w:tr>
      <w:tr w:rsidR="00765F9C" w:rsidRPr="00B12DE6" w14:paraId="71CEA55A" w14:textId="77777777">
        <w:trPr>
          <w:trHeight w:val="382"/>
        </w:trPr>
        <w:tc>
          <w:tcPr>
            <w:tcW w:w="1885" w:type="dxa"/>
          </w:tcPr>
          <w:p w14:paraId="6153FFE5" w14:textId="77777777" w:rsidR="00765F9C" w:rsidRPr="00B12DE6" w:rsidRDefault="00765F9C" w:rsidP="00B12DE6">
            <w:pPr>
              <w:spacing w:after="0" w:line="480" w:lineRule="auto"/>
              <w:rPr>
                <w:sz w:val="20"/>
                <w:szCs w:val="20"/>
              </w:rPr>
            </w:pPr>
            <w:r w:rsidRPr="00B12DE6">
              <w:rPr>
                <w:color w:val="000000"/>
                <w:sz w:val="20"/>
                <w:szCs w:val="20"/>
              </w:rPr>
              <w:t>Gender socioeconomic Inequality</w:t>
            </w:r>
            <w:bookmarkStart w:id="1" w:name="_Ref474502038"/>
            <w:r w:rsidRPr="00B12DE6">
              <w:rPr>
                <w:noProof/>
                <w:color w:val="000000"/>
                <w:sz w:val="20"/>
                <w:szCs w:val="20"/>
                <w:vertAlign w:val="superscript"/>
              </w:rPr>
              <w:t>68</w:t>
            </w:r>
            <w:bookmarkEnd w:id="1"/>
          </w:p>
        </w:tc>
        <w:tc>
          <w:tcPr>
            <w:tcW w:w="7920" w:type="dxa"/>
            <w:tcBorders>
              <w:top w:val="nil"/>
              <w:bottom w:val="nil"/>
            </w:tcBorders>
          </w:tcPr>
          <w:p w14:paraId="6E8CEABA" w14:textId="77777777" w:rsidR="00765F9C" w:rsidRPr="00B12DE6" w:rsidRDefault="00765F9C" w:rsidP="00B12DE6">
            <w:pPr>
              <w:spacing w:after="0" w:line="480" w:lineRule="auto"/>
              <w:rPr>
                <w:sz w:val="20"/>
                <w:szCs w:val="20"/>
              </w:rPr>
            </w:pPr>
            <w:r w:rsidRPr="00B12DE6">
              <w:rPr>
                <w:color w:val="000000"/>
                <w:sz w:val="20"/>
                <w:szCs w:val="20"/>
              </w:rPr>
              <w:t>Index of: Female to male ratio of college completion, female to male ratio of full-time employment, female to male ratio of median income for full-time employees, female to male ratio of employment in professional occupations, and female to male ratio of above-poverty level households</w:t>
            </w:r>
          </w:p>
        </w:tc>
        <w:tc>
          <w:tcPr>
            <w:tcW w:w="3870" w:type="dxa"/>
            <w:tcBorders>
              <w:top w:val="nil"/>
              <w:bottom w:val="nil"/>
            </w:tcBorders>
          </w:tcPr>
          <w:p w14:paraId="2F15C90C" w14:textId="77777777" w:rsidR="00765F9C" w:rsidRPr="00B12DE6" w:rsidRDefault="00765F9C" w:rsidP="00B12DE6">
            <w:pPr>
              <w:spacing w:after="0" w:line="480" w:lineRule="auto"/>
              <w:rPr>
                <w:sz w:val="20"/>
                <w:szCs w:val="20"/>
              </w:rPr>
            </w:pPr>
            <w:r w:rsidRPr="00B12DE6">
              <w:rPr>
                <w:color w:val="000000"/>
                <w:sz w:val="20"/>
                <w:szCs w:val="20"/>
              </w:rPr>
              <w:t>Local elected official/congressional data</w:t>
            </w:r>
          </w:p>
        </w:tc>
      </w:tr>
      <w:tr w:rsidR="00765F9C" w:rsidRPr="00B12DE6" w14:paraId="73CDF98D" w14:textId="77777777">
        <w:trPr>
          <w:trHeight w:val="360"/>
        </w:trPr>
        <w:tc>
          <w:tcPr>
            <w:tcW w:w="1885" w:type="dxa"/>
            <w:tcBorders>
              <w:bottom w:val="single" w:sz="4" w:space="0" w:color="auto"/>
            </w:tcBorders>
          </w:tcPr>
          <w:p w14:paraId="1FAA5F4A" w14:textId="77777777" w:rsidR="00765F9C" w:rsidRPr="00B12DE6" w:rsidRDefault="00765F9C" w:rsidP="00B12DE6">
            <w:pPr>
              <w:spacing w:after="0" w:line="480" w:lineRule="auto"/>
              <w:rPr>
                <w:sz w:val="20"/>
                <w:szCs w:val="20"/>
              </w:rPr>
            </w:pPr>
            <w:r w:rsidRPr="00B12DE6">
              <w:rPr>
                <w:color w:val="000000"/>
                <w:sz w:val="20"/>
                <w:szCs w:val="20"/>
              </w:rPr>
              <w:t>Gender political inequality</w:t>
            </w:r>
            <w:r w:rsidRPr="00B12DE6">
              <w:rPr>
                <w:noProof/>
                <w:color w:val="000000"/>
                <w:sz w:val="20"/>
                <w:szCs w:val="20"/>
                <w:vertAlign w:val="superscript"/>
              </w:rPr>
              <w:t>68</w:t>
            </w:r>
          </w:p>
        </w:tc>
        <w:tc>
          <w:tcPr>
            <w:tcW w:w="7920" w:type="dxa"/>
            <w:tcBorders>
              <w:top w:val="nil"/>
              <w:bottom w:val="single" w:sz="4" w:space="0" w:color="auto"/>
              <w:right w:val="nil"/>
            </w:tcBorders>
          </w:tcPr>
          <w:p w14:paraId="66165B71" w14:textId="77777777" w:rsidR="00765F9C" w:rsidRPr="00B12DE6" w:rsidRDefault="00765F9C" w:rsidP="00B12DE6">
            <w:pPr>
              <w:spacing w:after="0" w:line="480" w:lineRule="auto"/>
              <w:rPr>
                <w:sz w:val="20"/>
                <w:szCs w:val="20"/>
              </w:rPr>
            </w:pPr>
            <w:r w:rsidRPr="00B12DE6">
              <w:rPr>
                <w:color w:val="000000"/>
                <w:sz w:val="20"/>
                <w:szCs w:val="20"/>
              </w:rPr>
              <w:t>Index of female political representation: Total count of female mayor, female county commissioners, female state congressional representation, and female federal congressional representation</w:t>
            </w:r>
          </w:p>
        </w:tc>
        <w:tc>
          <w:tcPr>
            <w:tcW w:w="3870" w:type="dxa"/>
            <w:tcBorders>
              <w:top w:val="nil"/>
              <w:left w:val="nil"/>
              <w:bottom w:val="single" w:sz="4" w:space="0" w:color="auto"/>
            </w:tcBorders>
          </w:tcPr>
          <w:p w14:paraId="02BEFBC9" w14:textId="77777777" w:rsidR="00765F9C" w:rsidRPr="00B12DE6" w:rsidRDefault="00765F9C" w:rsidP="00B12DE6">
            <w:pPr>
              <w:spacing w:after="0" w:line="480" w:lineRule="auto"/>
              <w:rPr>
                <w:sz w:val="20"/>
                <w:szCs w:val="20"/>
              </w:rPr>
            </w:pPr>
            <w:r w:rsidRPr="00B12DE6">
              <w:rPr>
                <w:color w:val="000000"/>
                <w:sz w:val="20"/>
                <w:szCs w:val="20"/>
              </w:rPr>
              <w:t>U.S. Census</w:t>
            </w:r>
          </w:p>
        </w:tc>
      </w:tr>
    </w:tbl>
    <w:p w14:paraId="5E1623E6" w14:textId="77777777" w:rsidR="006A47A3" w:rsidRDefault="006A47A3" w:rsidP="00D32C19">
      <w:pPr>
        <w:pStyle w:val="EndNoteBibliography"/>
        <w:spacing w:after="0" w:line="480" w:lineRule="auto"/>
        <w:ind w:left="720" w:hanging="720"/>
      </w:pPr>
    </w:p>
    <w:p w14:paraId="3FEB8485" w14:textId="332CF094" w:rsidR="00765F9C" w:rsidRDefault="00765F9C" w:rsidP="00D32C19">
      <w:pPr>
        <w:pStyle w:val="EndNoteBibliography"/>
        <w:spacing w:after="0" w:line="480" w:lineRule="auto"/>
        <w:ind w:left="720" w:hanging="720"/>
      </w:pPr>
      <w:r>
        <w:t>65.</w:t>
      </w:r>
      <w:r>
        <w:tab/>
        <w:t>Bemiller ML, Schneider RZ. IT'S NOT JUST A JOKE. Sociological Spectrum. 2010;30:459-79. (in English).</w:t>
      </w:r>
    </w:p>
    <w:p w14:paraId="4947BB42" w14:textId="77777777" w:rsidR="00765F9C" w:rsidRDefault="00765F9C" w:rsidP="00D32C19">
      <w:pPr>
        <w:pStyle w:val="EndNoteBibliography"/>
        <w:spacing w:after="0" w:line="480" w:lineRule="auto"/>
        <w:ind w:left="720" w:hanging="720"/>
      </w:pPr>
      <w:r>
        <w:t>66.</w:t>
      </w:r>
      <w:r>
        <w:tab/>
        <w:t>Hatzenbuehler ML, Bellatorre A, Lee Y, Finch BK, Muennig P, Fiscella K. Structural stigma and all-cause mortality in sexual minority populations. Social Science &amp; Medicine. 2014;103:33-41.</w:t>
      </w:r>
    </w:p>
    <w:p w14:paraId="5FE79DC1" w14:textId="77777777" w:rsidR="00765F9C" w:rsidRDefault="00765F9C" w:rsidP="00D32C19">
      <w:pPr>
        <w:pStyle w:val="EndNoteBibliography"/>
        <w:spacing w:after="0" w:line="480" w:lineRule="auto"/>
        <w:ind w:left="720" w:hanging="720"/>
      </w:pPr>
      <w:r>
        <w:t>67.</w:t>
      </w:r>
      <w:r>
        <w:tab/>
        <w:t>Lei MK, Simons RL, Simons LG, Edmond MB. Gender equality and violent behavior: how neighborhood gender equality influences the gender gap in violence. Violence &amp; Victims. 2014;29:89-108.</w:t>
      </w:r>
    </w:p>
    <w:p w14:paraId="539BD997" w14:textId="77777777" w:rsidR="00765F9C" w:rsidRPr="006A47A3" w:rsidRDefault="00765F9C">
      <w:pPr>
        <w:rPr>
          <w:rFonts w:ascii="Calibri Light" w:hAnsi="Calibri Light" w:cs="Calibri Light"/>
        </w:rPr>
      </w:pPr>
      <w:r w:rsidRPr="006A47A3">
        <w:rPr>
          <w:rFonts w:ascii="Calibri Light" w:hAnsi="Calibri Light" w:cs="Calibri Light"/>
        </w:rPr>
        <w:t>68.</w:t>
      </w:r>
      <w:r w:rsidRPr="006A47A3">
        <w:rPr>
          <w:rFonts w:ascii="Calibri Light" w:hAnsi="Calibri Light" w:cs="Calibri Light"/>
        </w:rPr>
        <w:tab/>
      </w:r>
      <w:proofErr w:type="spellStart"/>
      <w:r w:rsidRPr="006A47A3">
        <w:rPr>
          <w:rFonts w:ascii="Calibri Light" w:hAnsi="Calibri Light" w:cs="Calibri Light"/>
        </w:rPr>
        <w:t>Titterington</w:t>
      </w:r>
      <w:proofErr w:type="spellEnd"/>
      <w:r w:rsidRPr="006A47A3">
        <w:rPr>
          <w:rFonts w:ascii="Calibri Light" w:hAnsi="Calibri Light" w:cs="Calibri Light"/>
        </w:rPr>
        <w:t xml:space="preserve"> VB. A retrospective investigation of gender inequality and female homicide victimization. Sociological Spectrum. 2006</w:t>
      </w:r>
      <w:proofErr w:type="gramStart"/>
      <w:r w:rsidRPr="006A47A3">
        <w:rPr>
          <w:rFonts w:ascii="Calibri Light" w:hAnsi="Calibri Light" w:cs="Calibri Light"/>
        </w:rPr>
        <w:t>;26:205</w:t>
      </w:r>
      <w:proofErr w:type="gramEnd"/>
      <w:r w:rsidRPr="006A47A3">
        <w:rPr>
          <w:rFonts w:ascii="Calibri Light" w:hAnsi="Calibri Light" w:cs="Calibri Light"/>
        </w:rPr>
        <w:t>-36.</w:t>
      </w:r>
    </w:p>
    <w:p w14:paraId="1CF765F3" w14:textId="77777777" w:rsidR="00765F9C" w:rsidRDefault="00765F9C"/>
    <w:sectPr w:rsidR="00765F9C" w:rsidSect="0063368F">
      <w:headerReference w:type="default" r:id="rId7"/>
      <w:endnotePr>
        <w:numFmt w:val="lowerLetter"/>
      </w:endnotePr>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5282" w14:textId="77777777" w:rsidR="00765F9C" w:rsidRDefault="00765F9C" w:rsidP="00504790">
      <w:pPr>
        <w:spacing w:after="0" w:line="240" w:lineRule="auto"/>
      </w:pPr>
      <w:r>
        <w:separator/>
      </w:r>
    </w:p>
  </w:endnote>
  <w:endnote w:type="continuationSeparator" w:id="0">
    <w:p w14:paraId="2FD2D3A8" w14:textId="77777777" w:rsidR="00765F9C" w:rsidRDefault="00765F9C" w:rsidP="00504790">
      <w:pPr>
        <w:spacing w:after="0" w:line="240" w:lineRule="auto"/>
      </w:pPr>
      <w:r>
        <w:continuationSeparator/>
      </w:r>
    </w:p>
  </w:endnote>
  <w:endnote w:id="1">
    <w:p w14:paraId="6DA8C3F8" w14:textId="542B8F11" w:rsidR="006A47A3" w:rsidRDefault="006A47A3" w:rsidP="00675A79">
      <w:pPr>
        <w:pStyle w:val="EndnoteText"/>
        <w:spacing w:line="480" w:lineRule="auto"/>
      </w:pPr>
      <w:r>
        <w:rPr>
          <w:rStyle w:val="EndnoteReference"/>
        </w:rPr>
        <w:endnoteRef/>
      </w:r>
      <w:r>
        <w:t xml:space="preserve"> </w:t>
      </w:r>
      <w:r w:rsidRPr="006A47A3">
        <w:t>Multiple indicators that represent some form of an index are formatted with the prefix “index of”; constructs that are represented by multiple sub-constructs/indices are underlined and separated by semi-colons; otherwise multiple indicators that are not part of an index are separated by commas.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2309" w14:textId="77777777" w:rsidR="00765F9C" w:rsidRDefault="00765F9C" w:rsidP="00504790">
      <w:pPr>
        <w:spacing w:after="0" w:line="240" w:lineRule="auto"/>
      </w:pPr>
      <w:r>
        <w:separator/>
      </w:r>
    </w:p>
  </w:footnote>
  <w:footnote w:type="continuationSeparator" w:id="0">
    <w:p w14:paraId="1BAA37CF" w14:textId="77777777" w:rsidR="00765F9C" w:rsidRDefault="00765F9C" w:rsidP="00504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139D" w14:textId="77777777" w:rsidR="00765F9C" w:rsidRDefault="00765F9C">
    <w:pPr>
      <w:pStyle w:val="Header"/>
    </w:pPr>
    <w:r>
      <w:t>INDICATORS FOR VIOLENCE PREVENTION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8F"/>
    <w:rsid w:val="001412E5"/>
    <w:rsid w:val="001A2D20"/>
    <w:rsid w:val="001C1997"/>
    <w:rsid w:val="00325064"/>
    <w:rsid w:val="00355A9B"/>
    <w:rsid w:val="00504790"/>
    <w:rsid w:val="0063368F"/>
    <w:rsid w:val="00675A79"/>
    <w:rsid w:val="006A47A3"/>
    <w:rsid w:val="00765F9C"/>
    <w:rsid w:val="00986897"/>
    <w:rsid w:val="00B12DE6"/>
    <w:rsid w:val="00B668EF"/>
    <w:rsid w:val="00C4646A"/>
    <w:rsid w:val="00C92C96"/>
    <w:rsid w:val="00D26908"/>
    <w:rsid w:val="00D32C19"/>
    <w:rsid w:val="00EF4C5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E357F"/>
  <w15:docId w15:val="{29B242E2-518F-44AA-AF07-86D4C542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97"/>
    <w:pPr>
      <w:spacing w:after="160" w:line="259" w:lineRule="auto"/>
    </w:pPr>
    <w:rPr>
      <w:rFonts w:cs="Calibri"/>
    </w:rPr>
  </w:style>
  <w:style w:type="paragraph" w:styleId="Heading4">
    <w:name w:val="heading 4"/>
    <w:basedOn w:val="Normal"/>
    <w:next w:val="Normal"/>
    <w:link w:val="Heading4Char"/>
    <w:uiPriority w:val="99"/>
    <w:qFormat/>
    <w:rsid w:val="0063368F"/>
    <w:pPr>
      <w:keepNext/>
      <w:keepLines/>
      <w:spacing w:before="40" w:after="0" w:line="276" w:lineRule="auto"/>
      <w:outlineLvl w:val="3"/>
    </w:pPr>
    <w:rPr>
      <w:rFonts w:ascii="Calibri Light" w:eastAsia="Times New Roman"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3368F"/>
    <w:rPr>
      <w:rFonts w:ascii="Calibri Light" w:hAnsi="Calibri Light" w:cs="Calibri Light"/>
      <w:i/>
      <w:iCs/>
      <w:color w:val="2E74B5"/>
    </w:rPr>
  </w:style>
  <w:style w:type="paragraph" w:styleId="Header">
    <w:name w:val="header"/>
    <w:basedOn w:val="Normal"/>
    <w:link w:val="HeaderChar"/>
    <w:uiPriority w:val="99"/>
    <w:rsid w:val="005047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4790"/>
  </w:style>
  <w:style w:type="paragraph" w:styleId="Footer">
    <w:name w:val="footer"/>
    <w:basedOn w:val="Normal"/>
    <w:link w:val="FooterChar"/>
    <w:uiPriority w:val="99"/>
    <w:rsid w:val="005047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4790"/>
  </w:style>
  <w:style w:type="table" w:styleId="TableGrid">
    <w:name w:val="Table Grid"/>
    <w:basedOn w:val="TableNormal"/>
    <w:uiPriority w:val="99"/>
    <w:rsid w:val="001C199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uiPriority w:val="99"/>
    <w:pPr>
      <w:spacing w:line="240" w:lineRule="auto"/>
    </w:pPr>
    <w:rPr>
      <w:rFonts w:ascii="Calibri Light" w:hAnsi="Calibri Light" w:cs="Calibri Light"/>
      <w:noProof/>
    </w:rPr>
  </w:style>
  <w:style w:type="character" w:customStyle="1" w:styleId="EndNoteBibliographyChar">
    <w:name w:val="EndNote Bibliography Char"/>
    <w:basedOn w:val="DefaultParagraphFont"/>
    <w:link w:val="EndNoteBibliography"/>
    <w:uiPriority w:val="99"/>
    <w:locked/>
    <w:rPr>
      <w:rFonts w:ascii="Calibri Light" w:hAnsi="Calibri Light" w:cs="Calibri Light"/>
      <w:noProof/>
      <w:sz w:val="22"/>
      <w:szCs w:val="22"/>
      <w:lang w:val="en-US" w:eastAsia="en-US"/>
    </w:rPr>
  </w:style>
  <w:style w:type="character" w:styleId="CommentReference">
    <w:name w:val="annotation reference"/>
    <w:basedOn w:val="DefaultParagraphFont"/>
    <w:uiPriority w:val="99"/>
    <w:semiHidden/>
    <w:unhideWhenUsed/>
    <w:rsid w:val="00B668EF"/>
    <w:rPr>
      <w:sz w:val="16"/>
      <w:szCs w:val="16"/>
    </w:rPr>
  </w:style>
  <w:style w:type="paragraph" w:styleId="CommentText">
    <w:name w:val="annotation text"/>
    <w:basedOn w:val="Normal"/>
    <w:link w:val="CommentTextChar"/>
    <w:uiPriority w:val="99"/>
    <w:semiHidden/>
    <w:unhideWhenUsed/>
    <w:rsid w:val="00B668EF"/>
    <w:rPr>
      <w:sz w:val="20"/>
      <w:szCs w:val="20"/>
    </w:rPr>
  </w:style>
  <w:style w:type="character" w:customStyle="1" w:styleId="CommentTextChar">
    <w:name w:val="Comment Text Char"/>
    <w:basedOn w:val="DefaultParagraphFont"/>
    <w:link w:val="CommentText"/>
    <w:uiPriority w:val="99"/>
    <w:semiHidden/>
    <w:rsid w:val="00B668EF"/>
    <w:rPr>
      <w:rFonts w:cs="Calibri"/>
      <w:sz w:val="20"/>
      <w:szCs w:val="20"/>
    </w:rPr>
  </w:style>
  <w:style w:type="paragraph" w:styleId="CommentSubject">
    <w:name w:val="annotation subject"/>
    <w:basedOn w:val="CommentText"/>
    <w:next w:val="CommentText"/>
    <w:link w:val="CommentSubjectChar"/>
    <w:uiPriority w:val="99"/>
    <w:semiHidden/>
    <w:unhideWhenUsed/>
    <w:rsid w:val="00B668EF"/>
    <w:rPr>
      <w:b/>
      <w:bCs/>
    </w:rPr>
  </w:style>
  <w:style w:type="character" w:customStyle="1" w:styleId="CommentSubjectChar">
    <w:name w:val="Comment Subject Char"/>
    <w:basedOn w:val="CommentTextChar"/>
    <w:link w:val="CommentSubject"/>
    <w:uiPriority w:val="99"/>
    <w:semiHidden/>
    <w:rsid w:val="00B668EF"/>
    <w:rPr>
      <w:rFonts w:cs="Calibri"/>
      <w:b/>
      <w:bCs/>
      <w:sz w:val="20"/>
      <w:szCs w:val="20"/>
    </w:rPr>
  </w:style>
  <w:style w:type="paragraph" w:styleId="BalloonText">
    <w:name w:val="Balloon Text"/>
    <w:basedOn w:val="Normal"/>
    <w:link w:val="BalloonTextChar"/>
    <w:uiPriority w:val="99"/>
    <w:semiHidden/>
    <w:unhideWhenUsed/>
    <w:rsid w:val="00B66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8EF"/>
    <w:rPr>
      <w:rFonts w:ascii="Segoe UI" w:hAnsi="Segoe UI" w:cs="Segoe UI"/>
      <w:sz w:val="18"/>
      <w:szCs w:val="18"/>
    </w:rPr>
  </w:style>
  <w:style w:type="paragraph" w:styleId="EndnoteText">
    <w:name w:val="endnote text"/>
    <w:basedOn w:val="Normal"/>
    <w:link w:val="EndnoteTextChar"/>
    <w:uiPriority w:val="99"/>
    <w:semiHidden/>
    <w:unhideWhenUsed/>
    <w:rsid w:val="006A47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47A3"/>
    <w:rPr>
      <w:rFonts w:cs="Calibri"/>
      <w:sz w:val="20"/>
      <w:szCs w:val="20"/>
    </w:rPr>
  </w:style>
  <w:style w:type="character" w:styleId="EndnoteReference">
    <w:name w:val="endnote reference"/>
    <w:basedOn w:val="DefaultParagraphFont"/>
    <w:uiPriority w:val="99"/>
    <w:semiHidden/>
    <w:unhideWhenUsed/>
    <w:rsid w:val="006A4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21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EAE1-7676-40DF-9A5C-2AD4E7F6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434</Words>
  <Characters>2537</Characters>
  <Application>Microsoft Office Word</Application>
  <DocSecurity>0</DocSecurity>
  <Lines>21</Lines>
  <Paragraphs>5</Paragraphs>
  <ScaleCrop>false</ScaleCrop>
  <Company>Centers for Disease Control and Prevention</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Armstead, Theresa (CDC/ONDIEH/NCIPC)</dc:creator>
  <cp:keywords/>
  <dc:description/>
  <cp:lastModifiedBy>Armstead, Theresa (CDC/ONDIEH/NCIPC)</cp:lastModifiedBy>
  <cp:revision>6</cp:revision>
  <dcterms:created xsi:type="dcterms:W3CDTF">2017-09-25T18:40:00Z</dcterms:created>
  <dcterms:modified xsi:type="dcterms:W3CDTF">2017-09-25T20:55:00Z</dcterms:modified>
</cp:coreProperties>
</file>