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3C3E" w14:textId="77777777" w:rsidR="00131CBB" w:rsidRDefault="00131CBB" w:rsidP="00472F12">
      <w:pPr>
        <w:pStyle w:val="Heading4"/>
        <w:spacing w:before="0" w:line="480" w:lineRule="auto"/>
        <w:rPr>
          <w:rStyle w:val="Heading4Char"/>
          <w:rFonts w:ascii="Calibri" w:hAnsi="Calibri" w:cs="Calibri"/>
          <w:b/>
          <w:bCs/>
          <w:color w:val="auto"/>
        </w:rPr>
      </w:pPr>
      <w:r>
        <w:rPr>
          <w:rStyle w:val="Heading4Char"/>
          <w:rFonts w:ascii="Calibri" w:hAnsi="Calibri" w:cs="Calibri"/>
          <w:b/>
          <w:bCs/>
          <w:color w:val="auto"/>
        </w:rPr>
        <w:t>Supplemental Digital Content</w:t>
      </w:r>
    </w:p>
    <w:p w14:paraId="7845F6A8" w14:textId="77777777" w:rsidR="00131CBB" w:rsidRDefault="00131CBB" w:rsidP="0049552A">
      <w:pPr>
        <w:pStyle w:val="Heading4"/>
        <w:spacing w:before="0" w:line="480" w:lineRule="auto"/>
        <w:rPr>
          <w:rStyle w:val="Heading4Char"/>
          <w:rFonts w:ascii="Calibri" w:hAnsi="Calibri" w:cs="Calibri"/>
          <w:b/>
          <w:bCs/>
          <w:color w:val="auto"/>
        </w:rPr>
      </w:pPr>
      <w:r>
        <w:rPr>
          <w:rStyle w:val="Heading4Char"/>
          <w:rFonts w:ascii="Calibri" w:hAnsi="Calibri" w:cs="Calibri"/>
          <w:b/>
          <w:bCs/>
          <w:color w:val="auto"/>
        </w:rPr>
        <w:br w:type="page"/>
      </w:r>
    </w:p>
    <w:p w14:paraId="2F14720F" w14:textId="77777777" w:rsidR="00131CBB" w:rsidRDefault="00131CBB" w:rsidP="0049552A">
      <w:pPr>
        <w:pStyle w:val="Heading4"/>
        <w:spacing w:before="0" w:line="480" w:lineRule="auto"/>
        <w:rPr>
          <w:rStyle w:val="Heading4Char"/>
          <w:rFonts w:ascii="Calibri" w:hAnsi="Calibri" w:cs="Calibri"/>
          <w:b/>
          <w:bCs/>
          <w:color w:val="auto"/>
        </w:rPr>
      </w:pPr>
      <w:r w:rsidRPr="008D2E70">
        <w:rPr>
          <w:rStyle w:val="Heading4Char"/>
          <w:rFonts w:ascii="Calibri" w:hAnsi="Calibri" w:cs="Calibri"/>
          <w:b/>
          <w:bCs/>
          <w:color w:val="auto"/>
        </w:rPr>
        <w:lastRenderedPageBreak/>
        <w:t>TABLE 1: DIMINISHED ECONOMIC OPPORTUNITY/NEIGHBORHOOD POVERTY</w:t>
      </w:r>
    </w:p>
    <w:p w14:paraId="3E6879FF" w14:textId="77777777" w:rsidR="00131CBB" w:rsidRDefault="00131CBB" w:rsidP="003932F1">
      <w:pPr>
        <w:spacing w:line="480" w:lineRule="auto"/>
        <w:rPr>
          <w:b/>
          <w:bCs/>
          <w:sz w:val="20"/>
          <w:szCs w:val="20"/>
        </w:rPr>
        <w:sectPr w:rsidR="00131CBB" w:rsidSect="0049552A">
          <w:headerReference w:type="default" r:id="rId7"/>
          <w:footnotePr>
            <w:numFmt w:val="lowerLetter"/>
            <w:numStart w:val="2"/>
          </w:footnotePr>
          <w:endnotePr>
            <w:numFmt w:val="chicago"/>
          </w:endnotePr>
          <w:type w:val="continuous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650"/>
        <w:gridCol w:w="3870"/>
      </w:tblGrid>
      <w:tr w:rsidR="00131CBB" w:rsidRPr="006E3D07" w14:paraId="68D1F25B" w14:textId="77777777">
        <w:trPr>
          <w:trHeight w:val="305"/>
          <w:tblHeader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91D0F97" w14:textId="77777777" w:rsidR="00131CBB" w:rsidRPr="006E3D07" w:rsidRDefault="00131CBB" w:rsidP="006E3D07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6E3D07">
              <w:rPr>
                <w:b/>
                <w:bCs/>
                <w:sz w:val="20"/>
                <w:szCs w:val="20"/>
              </w:rPr>
              <w:t>Construct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7AEBF988" w14:textId="6CF9A36C" w:rsidR="00131CBB" w:rsidRPr="006E3D07" w:rsidRDefault="00131CBB" w:rsidP="0043185E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b/>
                <w:bCs/>
                <w:sz w:val="20"/>
                <w:szCs w:val="20"/>
              </w:rPr>
              <w:t>Indicators</w:t>
            </w:r>
            <w:r w:rsidR="0043185E">
              <w:rPr>
                <w:rStyle w:val="EndnoteReference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9D0C2E7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b/>
                <w:bCs/>
                <w:sz w:val="20"/>
                <w:szCs w:val="20"/>
              </w:rPr>
              <w:t>Data Source</w:t>
            </w:r>
          </w:p>
        </w:tc>
      </w:tr>
      <w:tr w:rsidR="00131CBB" w:rsidRPr="006E3D07" w14:paraId="2A467709" w14:textId="77777777">
        <w:trPr>
          <w:trHeight w:val="382"/>
        </w:trPr>
        <w:tc>
          <w:tcPr>
            <w:tcW w:w="2155" w:type="dxa"/>
          </w:tcPr>
          <w:p w14:paraId="594B701D" w14:textId="77777777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bookmarkStart w:id="0" w:name="_Ref474501817"/>
            <w:r w:rsidRPr="006E3D07">
              <w:rPr>
                <w:sz w:val="20"/>
                <w:szCs w:val="20"/>
              </w:rPr>
              <w:t>Banking</w:t>
            </w:r>
            <w:bookmarkStart w:id="1" w:name="_Ref482803281"/>
            <w:r w:rsidRPr="006E3D07">
              <w:rPr>
                <w:noProof/>
                <w:sz w:val="20"/>
                <w:szCs w:val="20"/>
                <w:vertAlign w:val="superscript"/>
              </w:rPr>
              <w:t>39</w:t>
            </w:r>
            <w:bookmarkEnd w:id="0"/>
            <w:bookmarkEnd w:id="1"/>
          </w:p>
        </w:tc>
        <w:tc>
          <w:tcPr>
            <w:tcW w:w="7650" w:type="dxa"/>
          </w:tcPr>
          <w:p w14:paraId="3E18E752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Number and addresses (for geocoding) of banks</w:t>
            </w:r>
          </w:p>
        </w:tc>
        <w:tc>
          <w:tcPr>
            <w:tcW w:w="3870" w:type="dxa"/>
          </w:tcPr>
          <w:p w14:paraId="5C6F0603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 and Polk City Directories (The Polk company compiles local phone books, and produces reports for over 1,000 cities)</w:t>
            </w:r>
          </w:p>
        </w:tc>
      </w:tr>
      <w:tr w:rsidR="00131CBB" w:rsidRPr="006E3D07" w14:paraId="4B6B8DAF" w14:textId="77777777">
        <w:trPr>
          <w:trHeight w:val="382"/>
        </w:trPr>
        <w:tc>
          <w:tcPr>
            <w:tcW w:w="2155" w:type="dxa"/>
          </w:tcPr>
          <w:p w14:paraId="6C5154DB" w14:textId="77777777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Fringe banking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7650" w:type="dxa"/>
          </w:tcPr>
          <w:p w14:paraId="0731456E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Number and addresses (for geocoding) of payday lenders (&amp; check cashing) and pawnshops</w:t>
            </w:r>
          </w:p>
        </w:tc>
        <w:tc>
          <w:tcPr>
            <w:tcW w:w="3870" w:type="dxa"/>
          </w:tcPr>
          <w:p w14:paraId="084147C9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 and Polk City Directories (The Polk company compiles local phone books, and produces reports for over 1,000 cities)</w:t>
            </w:r>
          </w:p>
        </w:tc>
      </w:tr>
      <w:tr w:rsidR="00131CBB" w:rsidRPr="006E3D07" w14:paraId="60623943" w14:textId="77777777">
        <w:trPr>
          <w:trHeight w:val="382"/>
        </w:trPr>
        <w:tc>
          <w:tcPr>
            <w:tcW w:w="2155" w:type="dxa"/>
          </w:tcPr>
          <w:p w14:paraId="78275E18" w14:textId="77777777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Business presence</w:t>
            </w:r>
            <w:bookmarkStart w:id="2" w:name="_Ref474501493"/>
            <w:r w:rsidRPr="006E3D07">
              <w:rPr>
                <w:noProof/>
                <w:sz w:val="20"/>
                <w:szCs w:val="20"/>
                <w:vertAlign w:val="superscript"/>
              </w:rPr>
              <w:t>40</w:t>
            </w:r>
            <w:bookmarkEnd w:id="2"/>
          </w:p>
        </w:tc>
        <w:tc>
          <w:tcPr>
            <w:tcW w:w="7650" w:type="dxa"/>
          </w:tcPr>
          <w:p w14:paraId="1951B1A9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The mean number of businesses per block face within a tract</w:t>
            </w:r>
          </w:p>
        </w:tc>
        <w:tc>
          <w:tcPr>
            <w:tcW w:w="3870" w:type="dxa"/>
          </w:tcPr>
          <w:p w14:paraId="6E196C72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Project on Human Development Chicago Neighborhoods (PHDCN)- Systematic Social Observation Data</w:t>
            </w:r>
          </w:p>
        </w:tc>
      </w:tr>
      <w:tr w:rsidR="00131CBB" w:rsidRPr="006E3D07" w14:paraId="23C75899" w14:textId="77777777">
        <w:trPr>
          <w:trHeight w:val="382"/>
        </w:trPr>
        <w:tc>
          <w:tcPr>
            <w:tcW w:w="2155" w:type="dxa"/>
          </w:tcPr>
          <w:p w14:paraId="333BB64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bookmarkStart w:id="3" w:name="_Ref474502880"/>
            <w:r w:rsidRPr="006E3D07">
              <w:rPr>
                <w:sz w:val="20"/>
                <w:szCs w:val="20"/>
              </w:rPr>
              <w:t>Concentrated disadvantage</w:t>
            </w:r>
            <w:bookmarkEnd w:id="3"/>
            <w:r w:rsidRPr="006E3D07">
              <w:rPr>
                <w:noProof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7650" w:type="dxa"/>
          </w:tcPr>
          <w:p w14:paraId="14CB9935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poverty/inequality</w:t>
            </w:r>
            <w:r w:rsidRPr="006E3D07">
              <w:rPr>
                <w:sz w:val="20"/>
                <w:szCs w:val="20"/>
              </w:rPr>
              <w:t xml:space="preserve">: Percentage households with public assistance income, % households less than poverty level, Gini for total household income; Percentage high school graduates—total number and for 25 years and older; </w:t>
            </w:r>
          </w:p>
          <w:p w14:paraId="61C1459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labor market/human capital</w:t>
            </w:r>
            <w:r w:rsidRPr="006E3D07">
              <w:rPr>
                <w:sz w:val="20"/>
                <w:szCs w:val="20"/>
              </w:rPr>
              <w:t xml:space="preserve">: Percentage with managerial, professional, or technical jobs, employment rate, labor force participation rate; </w:t>
            </w:r>
          </w:p>
          <w:p w14:paraId="4E96B82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segregation</w:t>
            </w:r>
            <w:r w:rsidRPr="006E3D07">
              <w:rPr>
                <w:i/>
                <w:iCs/>
                <w:sz w:val="20"/>
                <w:szCs w:val="20"/>
              </w:rPr>
              <w:t xml:space="preserve">: </w:t>
            </w:r>
            <w:r w:rsidRPr="006E3D07">
              <w:rPr>
                <w:sz w:val="20"/>
                <w:szCs w:val="20"/>
              </w:rPr>
              <w:t xml:space="preserve">Percentage non-White, racial fragmentation index; </w:t>
            </w:r>
          </w:p>
          <w:p w14:paraId="07244A6D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supervision</w:t>
            </w:r>
            <w:r w:rsidRPr="006E3D07">
              <w:rPr>
                <w:sz w:val="20"/>
                <w:szCs w:val="20"/>
              </w:rPr>
              <w:t xml:space="preserve">: Percentage female-headed households with children younger than 18, supervision ratio (25-64 by 5-24), % youth population (5-15); </w:t>
            </w:r>
          </w:p>
          <w:p w14:paraId="1647F44B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anonymity</w:t>
            </w:r>
            <w:r w:rsidRPr="006E3D07">
              <w:rPr>
                <w:sz w:val="20"/>
                <w:szCs w:val="20"/>
              </w:rPr>
              <w:t xml:space="preserve">: Residential mobility—same house as 5 years ago, population; </w:t>
            </w:r>
          </w:p>
          <w:p w14:paraId="617399A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lastRenderedPageBreak/>
              <w:t>Index of immigration</w:t>
            </w:r>
            <w:r w:rsidRPr="006E3D07">
              <w:rPr>
                <w:sz w:val="20"/>
                <w:szCs w:val="20"/>
              </w:rPr>
              <w:t xml:space="preserve">: Percentage foreign born, % linguistic isolation; </w:t>
            </w:r>
          </w:p>
          <w:p w14:paraId="2ADB065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housing structure</w:t>
            </w:r>
            <w:r w:rsidRPr="006E3D07">
              <w:rPr>
                <w:sz w:val="20"/>
                <w:szCs w:val="20"/>
              </w:rPr>
              <w:t>: Percentage occupied units that are rentals, vacancy rate</w:t>
            </w:r>
          </w:p>
        </w:tc>
        <w:tc>
          <w:tcPr>
            <w:tcW w:w="3870" w:type="dxa"/>
          </w:tcPr>
          <w:p w14:paraId="2F8F33E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lastRenderedPageBreak/>
              <w:t>U.S. Census</w:t>
            </w:r>
          </w:p>
        </w:tc>
      </w:tr>
      <w:tr w:rsidR="00131CBB" w:rsidRPr="006E3D07" w14:paraId="5ADB0C81" w14:textId="77777777">
        <w:trPr>
          <w:trHeight w:val="360"/>
        </w:trPr>
        <w:tc>
          <w:tcPr>
            <w:tcW w:w="2155" w:type="dxa"/>
          </w:tcPr>
          <w:p w14:paraId="319EAF17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Concentrated neighborhood poverty</w:t>
            </w:r>
            <w:r w:rsidRPr="006E3D07">
              <w:rPr>
                <w:noProof/>
                <w:color w:val="000000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7650" w:type="dxa"/>
          </w:tcPr>
          <w:p w14:paraId="2FAFC01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A census tract neighborhood is high-poverty area if 40 per cent or more of the residents are poor based on the official US poverty measure</w:t>
            </w:r>
          </w:p>
        </w:tc>
        <w:tc>
          <w:tcPr>
            <w:tcW w:w="3870" w:type="dxa"/>
          </w:tcPr>
          <w:p w14:paraId="04696883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U.S. Census</w:t>
            </w:r>
          </w:p>
        </w:tc>
      </w:tr>
      <w:tr w:rsidR="00131CBB" w:rsidRPr="006E3D07" w14:paraId="7FAEF406" w14:textId="77777777">
        <w:trPr>
          <w:trHeight w:val="360"/>
        </w:trPr>
        <w:tc>
          <w:tcPr>
            <w:tcW w:w="2155" w:type="dxa"/>
          </w:tcPr>
          <w:p w14:paraId="207BA36E" w14:textId="77777777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Concentrated poverty</w:t>
            </w:r>
            <w:r w:rsidRPr="006E3D07">
              <w:rPr>
                <w:noProof/>
                <w:color w:val="000000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7650" w:type="dxa"/>
          </w:tcPr>
          <w:p w14:paraId="42398263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Index of: Percentage persons living below the poverty line, unemployed, and receiving public assistance</w:t>
            </w:r>
          </w:p>
        </w:tc>
        <w:tc>
          <w:tcPr>
            <w:tcW w:w="3870" w:type="dxa"/>
          </w:tcPr>
          <w:p w14:paraId="334BD81F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U.S. Census</w:t>
            </w:r>
          </w:p>
        </w:tc>
      </w:tr>
      <w:tr w:rsidR="00131CBB" w:rsidRPr="006E3D07" w14:paraId="025E4CA3" w14:textId="77777777">
        <w:trPr>
          <w:trHeight w:val="360"/>
        </w:trPr>
        <w:tc>
          <w:tcPr>
            <w:tcW w:w="2155" w:type="dxa"/>
          </w:tcPr>
          <w:p w14:paraId="75D4976B" w14:textId="77777777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Deprivation</w:t>
            </w:r>
            <w:bookmarkStart w:id="4" w:name="_Ref474501323"/>
            <w:r w:rsidRPr="006E3D07">
              <w:rPr>
                <w:noProof/>
                <w:color w:val="000000"/>
                <w:sz w:val="20"/>
                <w:szCs w:val="20"/>
                <w:vertAlign w:val="superscript"/>
              </w:rPr>
              <w:t>44</w:t>
            </w:r>
            <w:bookmarkEnd w:id="4"/>
          </w:p>
        </w:tc>
        <w:tc>
          <w:tcPr>
            <w:tcW w:w="7650" w:type="dxa"/>
          </w:tcPr>
          <w:p w14:paraId="77C1CCD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Poverty rate, % professional and managerial occupations (reverse coded), % adults 25+ collect graduates (reverse coded), % workforce unemployed</w:t>
            </w:r>
          </w:p>
        </w:tc>
        <w:tc>
          <w:tcPr>
            <w:tcW w:w="3870" w:type="dxa"/>
          </w:tcPr>
          <w:p w14:paraId="60DC66BD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 xml:space="preserve">U.S. Census </w:t>
            </w:r>
          </w:p>
        </w:tc>
      </w:tr>
      <w:tr w:rsidR="00131CBB" w:rsidRPr="006E3D07" w14:paraId="5049A0CB" w14:textId="77777777">
        <w:trPr>
          <w:trHeight w:val="360"/>
        </w:trPr>
        <w:tc>
          <w:tcPr>
            <w:tcW w:w="2155" w:type="dxa"/>
          </w:tcPr>
          <w:p w14:paraId="76AEB2DF" w14:textId="77777777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Disadvantage</w:t>
            </w:r>
            <w:bookmarkStart w:id="5" w:name="_Ref482976017"/>
            <w:r w:rsidRPr="006E3D07">
              <w:rPr>
                <w:noProof/>
                <w:sz w:val="20"/>
                <w:szCs w:val="20"/>
                <w:vertAlign w:val="superscript"/>
              </w:rPr>
              <w:t>45</w:t>
            </w:r>
            <w:bookmarkEnd w:id="5"/>
          </w:p>
        </w:tc>
        <w:tc>
          <w:tcPr>
            <w:tcW w:w="7650" w:type="dxa"/>
          </w:tcPr>
          <w:p w14:paraId="271114EB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Mean of the percentage of residents with annual incomes less than $10,000, the percentage of residents with incomes greater than $50,000 (reverse coded), the unemployment rate, the poverty rate, the percentage of unoccupied homes, and the public assistance rate</w:t>
            </w:r>
          </w:p>
        </w:tc>
        <w:tc>
          <w:tcPr>
            <w:tcW w:w="3870" w:type="dxa"/>
          </w:tcPr>
          <w:p w14:paraId="555C482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</w:tc>
      </w:tr>
      <w:tr w:rsidR="00131CBB" w:rsidRPr="006E3D07" w14:paraId="1D9D0647" w14:textId="77777777">
        <w:trPr>
          <w:trHeight w:val="382"/>
        </w:trPr>
        <w:tc>
          <w:tcPr>
            <w:tcW w:w="2155" w:type="dxa"/>
          </w:tcPr>
          <w:p w14:paraId="33AA594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Economic conditions related to women's opportunity costs of keeping children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7650" w:type="dxa"/>
          </w:tcPr>
          <w:p w14:paraId="29309260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The employment-population ratio in the state (# of people employed/ # aged 16 and older); unemployment rate; real per capita personal income; real manufacturing wage; real average AFDC benefit per recipient family (measuring welfare generosity)</w:t>
            </w:r>
          </w:p>
        </w:tc>
        <w:tc>
          <w:tcPr>
            <w:tcW w:w="3870" w:type="dxa"/>
          </w:tcPr>
          <w:p w14:paraId="476C3794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Bureau of Economic Analysis, Survey of Current Business; Bureau of Labor Statistics, Employment and Earnings; US Bureau of the Census, Statistical Abstract</w:t>
            </w:r>
          </w:p>
        </w:tc>
      </w:tr>
      <w:tr w:rsidR="00131CBB" w:rsidRPr="006E3D07" w14:paraId="67390552" w14:textId="77777777">
        <w:trPr>
          <w:trHeight w:val="382"/>
        </w:trPr>
        <w:tc>
          <w:tcPr>
            <w:tcW w:w="2155" w:type="dxa"/>
          </w:tcPr>
          <w:p w14:paraId="2C069FA5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</w:rPr>
              <w:t>Economic disadvantage</w:t>
            </w:r>
            <w:r w:rsidRPr="006E3D07">
              <w:rPr>
                <w:noProof/>
                <w:color w:val="000000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7650" w:type="dxa"/>
          </w:tcPr>
          <w:p w14:paraId="15274C3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Median Income, poverty rate, &amp; high school graduation rate</w:t>
            </w:r>
          </w:p>
        </w:tc>
        <w:tc>
          <w:tcPr>
            <w:tcW w:w="3870" w:type="dxa"/>
          </w:tcPr>
          <w:p w14:paraId="1FA3BA9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 xml:space="preserve">U.S. Census </w:t>
            </w:r>
          </w:p>
        </w:tc>
      </w:tr>
      <w:tr w:rsidR="00131CBB" w:rsidRPr="006E3D07" w14:paraId="5EA72BFF" w14:textId="77777777">
        <w:trPr>
          <w:trHeight w:val="382"/>
        </w:trPr>
        <w:tc>
          <w:tcPr>
            <w:tcW w:w="2155" w:type="dxa"/>
          </w:tcPr>
          <w:p w14:paraId="118E00EB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lastRenderedPageBreak/>
              <w:t>Economic independence</w:t>
            </w:r>
            <w:bookmarkStart w:id="6" w:name="_Ref474497705"/>
            <w:r w:rsidRPr="006E3D07">
              <w:rPr>
                <w:noProof/>
                <w:sz w:val="20"/>
                <w:szCs w:val="20"/>
                <w:vertAlign w:val="superscript"/>
              </w:rPr>
              <w:t>48</w:t>
            </w:r>
            <w:bookmarkEnd w:id="6"/>
          </w:p>
        </w:tc>
        <w:tc>
          <w:tcPr>
            <w:tcW w:w="7650" w:type="dxa"/>
          </w:tcPr>
          <w:p w14:paraId="0FC600F4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No. of family farms in the county per 1,000 people, proportion of workers that are self-employed, and the proportion of workers that work at home</w:t>
            </w:r>
          </w:p>
        </w:tc>
        <w:tc>
          <w:tcPr>
            <w:tcW w:w="3870" w:type="dxa"/>
          </w:tcPr>
          <w:p w14:paraId="3A1F525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Census of Agriculture and U.S. Census Summary File 3</w:t>
            </w:r>
          </w:p>
        </w:tc>
      </w:tr>
      <w:tr w:rsidR="00131CBB" w:rsidRPr="006E3D07" w14:paraId="489DB500" w14:textId="77777777">
        <w:trPr>
          <w:trHeight w:val="382"/>
        </w:trPr>
        <w:tc>
          <w:tcPr>
            <w:tcW w:w="2155" w:type="dxa"/>
          </w:tcPr>
          <w:p w14:paraId="4E4FC5A7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Job acces</w:t>
            </w:r>
            <w:bookmarkStart w:id="7" w:name="_Ref474498903"/>
            <w:r w:rsidRPr="006E3D07">
              <w:rPr>
                <w:sz w:val="20"/>
                <w:szCs w:val="20"/>
              </w:rPr>
              <w:t>s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49</w:t>
            </w:r>
            <w:bookmarkEnd w:id="7"/>
          </w:p>
        </w:tc>
        <w:tc>
          <w:tcPr>
            <w:tcW w:w="7650" w:type="dxa"/>
          </w:tcPr>
          <w:p w14:paraId="655E86B6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The ratio of the number of jobs in low-skill industries to the number of people in the population aged 25 and older with a high school diploma or less</w:t>
            </w:r>
          </w:p>
        </w:tc>
        <w:tc>
          <w:tcPr>
            <w:tcW w:w="3870" w:type="dxa"/>
          </w:tcPr>
          <w:p w14:paraId="7662D54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</w:tc>
      </w:tr>
      <w:tr w:rsidR="00131CBB" w:rsidRPr="006E3D07" w14:paraId="6EC029A6" w14:textId="77777777">
        <w:trPr>
          <w:trHeight w:val="382"/>
        </w:trPr>
        <w:tc>
          <w:tcPr>
            <w:tcW w:w="2155" w:type="dxa"/>
          </w:tcPr>
          <w:p w14:paraId="6535AC85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Labor and housing instability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7650" w:type="dxa"/>
          </w:tcPr>
          <w:p w14:paraId="57285D4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Proportion in poverty, proportion unemployed, proportion in secondary [labor] sector, proportion renters, proportion not living in same residence 5 years ago</w:t>
            </w:r>
          </w:p>
        </w:tc>
        <w:tc>
          <w:tcPr>
            <w:tcW w:w="3870" w:type="dxa"/>
          </w:tcPr>
          <w:p w14:paraId="428E78E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 and city police department data</w:t>
            </w:r>
          </w:p>
        </w:tc>
      </w:tr>
      <w:tr w:rsidR="00131CBB" w:rsidRPr="006E3D07" w14:paraId="36137BA6" w14:textId="77777777">
        <w:trPr>
          <w:trHeight w:val="382"/>
        </w:trPr>
        <w:tc>
          <w:tcPr>
            <w:tcW w:w="2155" w:type="dxa"/>
          </w:tcPr>
          <w:p w14:paraId="5D0AC44F" w14:textId="007A6CC5" w:rsidR="00131CBB" w:rsidRPr="006E3D07" w:rsidRDefault="00131CBB" w:rsidP="00903012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 xml:space="preserve">Labor </w:t>
            </w:r>
            <w:r w:rsidR="00903012">
              <w:rPr>
                <w:sz w:val="20"/>
                <w:szCs w:val="20"/>
              </w:rPr>
              <w:t>m</w:t>
            </w:r>
            <w:r w:rsidR="00903012" w:rsidRPr="006E3D07">
              <w:rPr>
                <w:sz w:val="20"/>
                <w:szCs w:val="20"/>
              </w:rPr>
              <w:t>arket</w:t>
            </w:r>
            <w:r w:rsidR="00903012" w:rsidRPr="006E3D07">
              <w:rPr>
                <w:noProof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7650" w:type="dxa"/>
          </w:tcPr>
          <w:p w14:paraId="0119E00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Low-wage service sector</w:t>
            </w:r>
            <w:r w:rsidRPr="006E3D07">
              <w:rPr>
                <w:sz w:val="20"/>
                <w:szCs w:val="20"/>
              </w:rPr>
              <w:t xml:space="preserve">: Proportion employed in service and technical, sales, and administrative support; </w:t>
            </w:r>
          </w:p>
          <w:p w14:paraId="58B4DB90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Unemployment</w:t>
            </w:r>
            <w:r w:rsidRPr="006E3D07">
              <w:rPr>
                <w:sz w:val="20"/>
                <w:szCs w:val="20"/>
              </w:rPr>
              <w:t xml:space="preserve">: Percentage of adults between 16 and 65 years of age who are not working; </w:t>
            </w:r>
          </w:p>
          <w:p w14:paraId="2D580DC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Professional sector</w:t>
            </w:r>
            <w:r w:rsidRPr="006E3D07">
              <w:rPr>
                <w:sz w:val="20"/>
                <w:szCs w:val="20"/>
              </w:rPr>
              <w:t xml:space="preserve">: Proportion employed in managerial and professional specialty occupations; </w:t>
            </w:r>
          </w:p>
          <w:p w14:paraId="2615C19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Extractive sector</w:t>
            </w:r>
            <w:r w:rsidRPr="006E3D07">
              <w:rPr>
                <w:sz w:val="20"/>
                <w:szCs w:val="20"/>
              </w:rPr>
              <w:t>: Proportion employed in farming, forestry, and fishing occupations</w:t>
            </w:r>
          </w:p>
        </w:tc>
        <w:tc>
          <w:tcPr>
            <w:tcW w:w="3870" w:type="dxa"/>
          </w:tcPr>
          <w:p w14:paraId="2BB0BB70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County level labor market data derived from the U.S. census</w:t>
            </w:r>
          </w:p>
        </w:tc>
      </w:tr>
      <w:tr w:rsidR="00131CBB" w:rsidRPr="006E3D07" w14:paraId="32C5C72B" w14:textId="77777777">
        <w:trPr>
          <w:trHeight w:val="382"/>
        </w:trPr>
        <w:tc>
          <w:tcPr>
            <w:tcW w:w="2155" w:type="dxa"/>
          </w:tcPr>
          <w:p w14:paraId="247B5F7B" w14:textId="1262C7EF" w:rsidR="00131CBB" w:rsidRPr="006E3D07" w:rsidRDefault="00131CBB" w:rsidP="006E3D07">
            <w:pPr>
              <w:spacing w:after="0" w:line="24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 xml:space="preserve">Local </w:t>
            </w:r>
            <w:r w:rsidR="00903012">
              <w:rPr>
                <w:sz w:val="20"/>
                <w:szCs w:val="20"/>
              </w:rPr>
              <w:t>c</w:t>
            </w:r>
            <w:r w:rsidRPr="006E3D07">
              <w:rPr>
                <w:sz w:val="20"/>
                <w:szCs w:val="20"/>
              </w:rPr>
              <w:t>apitalism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7650" w:type="dxa"/>
          </w:tcPr>
          <w:p w14:paraId="2C0AB2C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relative presence of small manufacturing and the proportion of all manufacturing firms in the county that employ less than 20 workers</w:t>
            </w:r>
          </w:p>
        </w:tc>
        <w:tc>
          <w:tcPr>
            <w:tcW w:w="3870" w:type="dxa"/>
          </w:tcPr>
          <w:p w14:paraId="317A100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County Business Patterns 2000 data file</w:t>
            </w:r>
          </w:p>
        </w:tc>
      </w:tr>
      <w:tr w:rsidR="00131CBB" w:rsidRPr="006E3D07" w14:paraId="1A1C155D" w14:textId="77777777" w:rsidTr="00A04FDC">
        <w:trPr>
          <w:trHeight w:val="382"/>
        </w:trPr>
        <w:tc>
          <w:tcPr>
            <w:tcW w:w="2155" w:type="dxa"/>
          </w:tcPr>
          <w:p w14:paraId="6876824D" w14:textId="0054762E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bookmarkStart w:id="8" w:name="_GoBack"/>
            <w:bookmarkEnd w:id="8"/>
            <w:r w:rsidRPr="006E3D07">
              <w:rPr>
                <w:sz w:val="20"/>
                <w:szCs w:val="20"/>
              </w:rPr>
              <w:t>Macroeconomic climate</w:t>
            </w:r>
            <w:bookmarkStart w:id="9" w:name="_Ref474502596"/>
            <w:r w:rsidRPr="006E3D07">
              <w:rPr>
                <w:noProof/>
                <w:sz w:val="20"/>
                <w:szCs w:val="20"/>
                <w:vertAlign w:val="superscript"/>
              </w:rPr>
              <w:t>51</w:t>
            </w:r>
            <w:bookmarkEnd w:id="9"/>
          </w:p>
        </w:tc>
        <w:tc>
          <w:tcPr>
            <w:tcW w:w="7650" w:type="dxa"/>
          </w:tcPr>
          <w:p w14:paraId="2571C154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Percentage of adults workers employed in manufacturing industries</w:t>
            </w:r>
          </w:p>
        </w:tc>
        <w:tc>
          <w:tcPr>
            <w:tcW w:w="3870" w:type="dxa"/>
          </w:tcPr>
          <w:p w14:paraId="181288F0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National Neighborhood Crime Study (NNCS)</w:t>
            </w:r>
            <w:r w:rsidRPr="006E3D07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131CBB" w:rsidRPr="006E3D07" w14:paraId="2EFB7D05" w14:textId="77777777" w:rsidTr="00A04FDC">
        <w:trPr>
          <w:trHeight w:val="382"/>
        </w:trPr>
        <w:tc>
          <w:tcPr>
            <w:tcW w:w="2155" w:type="dxa"/>
          </w:tcPr>
          <w:p w14:paraId="426C50C6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lastRenderedPageBreak/>
              <w:t>Neighborhood advantage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48, 52</w:t>
            </w:r>
          </w:p>
        </w:tc>
        <w:tc>
          <w:tcPr>
            <w:tcW w:w="7650" w:type="dxa"/>
          </w:tcPr>
          <w:p w14:paraId="50639A6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Percent owner occupied housing (local investment), families with annual incomes of $25,000 and above, individuals 25 years or older with 4-year college degrees, and individuals 16 years or older working as professionals or managers</w:t>
            </w:r>
          </w:p>
        </w:tc>
        <w:tc>
          <w:tcPr>
            <w:tcW w:w="3870" w:type="dxa"/>
          </w:tcPr>
          <w:p w14:paraId="1827B039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  <w:p w14:paraId="45A03AC5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31CBB" w:rsidRPr="006E3D07" w14:paraId="4A9F2E43" w14:textId="77777777" w:rsidTr="00A04FDC">
        <w:trPr>
          <w:trHeight w:val="382"/>
        </w:trPr>
        <w:tc>
          <w:tcPr>
            <w:tcW w:w="2155" w:type="dxa"/>
          </w:tcPr>
          <w:p w14:paraId="00F80069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Neighborhood disadvantage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7650" w:type="dxa"/>
          </w:tcPr>
          <w:p w14:paraId="45347C95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Percentage of high school graduates or higher, % of bachelor’s degree of higher, % of people in labor force, % of families below poverty level, # of unoccupied housing units, median income, crime statistics</w:t>
            </w:r>
          </w:p>
        </w:tc>
        <w:tc>
          <w:tcPr>
            <w:tcW w:w="3870" w:type="dxa"/>
          </w:tcPr>
          <w:p w14:paraId="099C421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</w:tc>
      </w:tr>
      <w:tr w:rsidR="00131CBB" w:rsidRPr="006E3D07" w14:paraId="47A84214" w14:textId="77777777" w:rsidTr="00A04FDC">
        <w:trPr>
          <w:trHeight w:val="382"/>
        </w:trPr>
        <w:tc>
          <w:tcPr>
            <w:tcW w:w="2155" w:type="dxa"/>
          </w:tcPr>
          <w:p w14:paraId="57BEA0FF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Neighborhood socioeconomic disadvantage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7650" w:type="dxa"/>
          </w:tcPr>
          <w:p w14:paraId="47333C9D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Index of education</w:t>
            </w:r>
            <w:r w:rsidRPr="006E3D07">
              <w:rPr>
                <w:sz w:val="20"/>
                <w:szCs w:val="20"/>
              </w:rPr>
              <w:t>: Percentage of people aged 25 and older with less than a high school education,</w:t>
            </w:r>
          </w:p>
          <w:p w14:paraId="13A9350B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Employment</w:t>
            </w:r>
            <w:r w:rsidRPr="006E3D07">
              <w:rPr>
                <w:sz w:val="20"/>
                <w:szCs w:val="20"/>
              </w:rPr>
              <w:t>: Percentage of people aged 16 or older in labor force who were unemployed and % of people aged 16 or older who held working-class or blue-collar jobs,</w:t>
            </w:r>
          </w:p>
          <w:p w14:paraId="5D64B0F3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  <w:u w:val="single"/>
              </w:rPr>
              <w:t>Economic resources</w:t>
            </w:r>
            <w:r w:rsidRPr="006E3D07">
              <w:rPr>
                <w:sz w:val="20"/>
                <w:szCs w:val="20"/>
              </w:rPr>
              <w:t>: Percentage of people living below federally defined poverty threshold, % of households without access to a car, and &amp; of renter-occupied housing units</w:t>
            </w:r>
          </w:p>
        </w:tc>
        <w:tc>
          <w:tcPr>
            <w:tcW w:w="3870" w:type="dxa"/>
          </w:tcPr>
          <w:p w14:paraId="7AE53ED4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</w:tc>
      </w:tr>
      <w:tr w:rsidR="00131CBB" w:rsidRPr="006E3D07" w14:paraId="74A2EC9A" w14:textId="77777777" w:rsidTr="00A04FDC">
        <w:trPr>
          <w:trHeight w:val="382"/>
        </w:trPr>
        <w:tc>
          <w:tcPr>
            <w:tcW w:w="2155" w:type="dxa"/>
          </w:tcPr>
          <w:p w14:paraId="1CFBC4DF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Poverty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54-56</w:t>
            </w:r>
          </w:p>
        </w:tc>
        <w:tc>
          <w:tcPr>
            <w:tcW w:w="7650" w:type="dxa"/>
          </w:tcPr>
          <w:p w14:paraId="01BC5D0E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Percentage of students qualifying for free or reduced price meals; percentage of households receiving Temporary Assistance for Needy Family (TANF) benefits; % of unemployment within the county</w:t>
            </w:r>
          </w:p>
        </w:tc>
        <w:tc>
          <w:tcPr>
            <w:tcW w:w="3870" w:type="dxa"/>
          </w:tcPr>
          <w:p w14:paraId="324AA4D9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State Dept. of Education data; State Department of Social Services &amp; State Labor and Workforce Development Agency</w:t>
            </w:r>
          </w:p>
        </w:tc>
      </w:tr>
      <w:tr w:rsidR="00131CBB" w:rsidRPr="006E3D07" w14:paraId="101FAA7C" w14:textId="77777777" w:rsidTr="00A04FDC">
        <w:trPr>
          <w:trHeight w:val="382"/>
        </w:trPr>
        <w:tc>
          <w:tcPr>
            <w:tcW w:w="2155" w:type="dxa"/>
          </w:tcPr>
          <w:p w14:paraId="295BC3A3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Poverty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57-59</w:t>
            </w:r>
          </w:p>
        </w:tc>
        <w:tc>
          <w:tcPr>
            <w:tcW w:w="7650" w:type="dxa"/>
          </w:tcPr>
          <w:p w14:paraId="406D0913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Percentage or proportion of residents, individuals, or families living below the poverty line</w:t>
            </w:r>
          </w:p>
        </w:tc>
        <w:tc>
          <w:tcPr>
            <w:tcW w:w="3870" w:type="dxa"/>
          </w:tcPr>
          <w:p w14:paraId="3201F4F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 xml:space="preserve">U.S. Census </w:t>
            </w:r>
          </w:p>
        </w:tc>
      </w:tr>
      <w:tr w:rsidR="00131CBB" w:rsidRPr="006E3D07" w14:paraId="457A2C84" w14:textId="77777777" w:rsidTr="00A04FDC">
        <w:trPr>
          <w:trHeight w:val="382"/>
        </w:trPr>
        <w:tc>
          <w:tcPr>
            <w:tcW w:w="2155" w:type="dxa"/>
          </w:tcPr>
          <w:p w14:paraId="29DC091A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Retail environment/ vibrancy</w:t>
            </w:r>
            <w:bookmarkStart w:id="10" w:name="_Ref474501517"/>
            <w:r w:rsidRPr="006E3D07">
              <w:rPr>
                <w:noProof/>
                <w:sz w:val="20"/>
                <w:szCs w:val="20"/>
                <w:vertAlign w:val="superscript"/>
              </w:rPr>
              <w:t>60</w:t>
            </w:r>
            <w:bookmarkEnd w:id="10"/>
          </w:p>
        </w:tc>
        <w:tc>
          <w:tcPr>
            <w:tcW w:w="7650" w:type="dxa"/>
          </w:tcPr>
          <w:p w14:paraId="7955EACE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Retail employees per capita</w:t>
            </w:r>
          </w:p>
        </w:tc>
        <w:tc>
          <w:tcPr>
            <w:tcW w:w="3870" w:type="dxa"/>
          </w:tcPr>
          <w:p w14:paraId="701DE229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Economic Censuses</w:t>
            </w:r>
          </w:p>
        </w:tc>
      </w:tr>
      <w:tr w:rsidR="00131CBB" w:rsidRPr="006E3D07" w14:paraId="67A64D8A" w14:textId="77777777" w:rsidTr="00A04FDC">
        <w:trPr>
          <w:trHeight w:val="382"/>
        </w:trPr>
        <w:tc>
          <w:tcPr>
            <w:tcW w:w="2155" w:type="dxa"/>
          </w:tcPr>
          <w:p w14:paraId="7B0A93E6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lastRenderedPageBreak/>
              <w:t>Socioeconomic conditions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7650" w:type="dxa"/>
          </w:tcPr>
          <w:p w14:paraId="5FD8D77D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Percentage completed high school (25+ year old) (reverse coded), % males in labor force (16+ year old) (reverse coded), % in poverty, % owner-occupied housing (reverse coded)</w:t>
            </w:r>
          </w:p>
        </w:tc>
        <w:tc>
          <w:tcPr>
            <w:tcW w:w="3870" w:type="dxa"/>
          </w:tcPr>
          <w:p w14:paraId="1CCFB6D8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Census Neighborhood Change Database (NCDB)</w:t>
            </w:r>
            <w:r w:rsidRPr="006E3D07"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131CBB" w:rsidRPr="006E3D07" w14:paraId="7DB82005" w14:textId="77777777" w:rsidTr="00A04FDC">
        <w:trPr>
          <w:trHeight w:val="382"/>
        </w:trPr>
        <w:tc>
          <w:tcPr>
            <w:tcW w:w="2155" w:type="dxa"/>
          </w:tcPr>
          <w:p w14:paraId="71F99580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Socioeconomic disadvantage</w:t>
            </w:r>
            <w:bookmarkStart w:id="11" w:name="_Ref474499167"/>
            <w:r w:rsidRPr="006E3D07">
              <w:rPr>
                <w:noProof/>
                <w:sz w:val="20"/>
                <w:szCs w:val="20"/>
                <w:vertAlign w:val="superscript"/>
              </w:rPr>
              <w:t>62</w:t>
            </w:r>
            <w:bookmarkEnd w:id="11"/>
          </w:p>
        </w:tc>
        <w:tc>
          <w:tcPr>
            <w:tcW w:w="7650" w:type="dxa"/>
          </w:tcPr>
          <w:p w14:paraId="0EE93EB2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Percentage males 16+ unemployed divided by the total male population aged 16+</w:t>
            </w:r>
          </w:p>
        </w:tc>
        <w:tc>
          <w:tcPr>
            <w:tcW w:w="3870" w:type="dxa"/>
          </w:tcPr>
          <w:p w14:paraId="2516FB6C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 &amp; National Center for Health Statistics data</w:t>
            </w:r>
          </w:p>
        </w:tc>
      </w:tr>
      <w:tr w:rsidR="00131CBB" w:rsidRPr="006E3D07" w14:paraId="54C217A7" w14:textId="77777777" w:rsidTr="00A04FDC">
        <w:trPr>
          <w:trHeight w:val="382"/>
        </w:trPr>
        <w:tc>
          <w:tcPr>
            <w:tcW w:w="2155" w:type="dxa"/>
          </w:tcPr>
          <w:p w14:paraId="1BB14C17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Structural disadvantage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7650" w:type="dxa"/>
            <w:tcBorders>
              <w:bottom w:val="nil"/>
            </w:tcBorders>
          </w:tcPr>
          <w:p w14:paraId="7BC0D3F6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Index of: Percentage people with less than a high school education, % people living under the poverty line, % households receiving public assistance, % joblessness (unemployed individuals plus those not in the labor market) within each census block group</w:t>
            </w:r>
          </w:p>
        </w:tc>
        <w:tc>
          <w:tcPr>
            <w:tcW w:w="3870" w:type="dxa"/>
            <w:tcBorders>
              <w:bottom w:val="nil"/>
            </w:tcBorders>
          </w:tcPr>
          <w:p w14:paraId="2F907AC1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</w:tc>
      </w:tr>
      <w:tr w:rsidR="00131CBB" w:rsidRPr="006E3D07" w14:paraId="00701ECF" w14:textId="77777777" w:rsidTr="00A04FDC">
        <w:trPr>
          <w:trHeight w:val="382"/>
        </w:trPr>
        <w:tc>
          <w:tcPr>
            <w:tcW w:w="2155" w:type="dxa"/>
            <w:tcBorders>
              <w:bottom w:val="single" w:sz="4" w:space="0" w:color="auto"/>
            </w:tcBorders>
          </w:tcPr>
          <w:p w14:paraId="35123DD5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Socioeconomic status</w:t>
            </w:r>
            <w:r w:rsidRPr="006E3D07">
              <w:rPr>
                <w:noProof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  <w:right w:val="nil"/>
            </w:tcBorders>
          </w:tcPr>
          <w:p w14:paraId="17DAD7E4" w14:textId="77777777" w:rsidR="00131CBB" w:rsidRPr="006E3D07" w:rsidRDefault="00131CBB" w:rsidP="006E3D07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  <w:u w:val="single"/>
              </w:rPr>
              <w:t>Poverty</w:t>
            </w:r>
            <w:r w:rsidRPr="006E3D07">
              <w:rPr>
                <w:color w:val="000000"/>
                <w:sz w:val="20"/>
                <w:szCs w:val="20"/>
              </w:rPr>
              <w:t xml:space="preserve">: Proportion of persons whose annual income falls at or below 175% of the poverty line; </w:t>
            </w:r>
          </w:p>
          <w:p w14:paraId="4199128E" w14:textId="77777777" w:rsidR="00131CBB" w:rsidRPr="006E3D07" w:rsidRDefault="00131CBB" w:rsidP="006E3D07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  <w:u w:val="single"/>
              </w:rPr>
              <w:t>Family income</w:t>
            </w:r>
            <w:r w:rsidRPr="006E3D07">
              <w:rPr>
                <w:color w:val="000000"/>
                <w:sz w:val="20"/>
                <w:szCs w:val="20"/>
              </w:rPr>
              <w:t xml:space="preserve">: Median income for all households; </w:t>
            </w:r>
          </w:p>
          <w:p w14:paraId="2869AB6D" w14:textId="77777777" w:rsidR="00131CBB" w:rsidRPr="006E3D07" w:rsidRDefault="00131CBB" w:rsidP="006E3D07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  <w:u w:val="single"/>
              </w:rPr>
              <w:t>Education</w:t>
            </w:r>
            <w:r w:rsidRPr="006E3D07">
              <w:rPr>
                <w:color w:val="000000"/>
                <w:sz w:val="20"/>
                <w:szCs w:val="20"/>
              </w:rPr>
              <w:t xml:space="preserve">: proportion of persons 25 years and over with less than a high school graduate education; </w:t>
            </w:r>
          </w:p>
          <w:p w14:paraId="78E24644" w14:textId="77777777" w:rsidR="00131CBB" w:rsidRPr="006E3D07" w:rsidRDefault="00131CBB" w:rsidP="006E3D07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  <w:u w:val="single"/>
              </w:rPr>
              <w:t>Housing value</w:t>
            </w:r>
            <w:r w:rsidRPr="006E3D07">
              <w:rPr>
                <w:color w:val="000000"/>
                <w:sz w:val="20"/>
                <w:szCs w:val="20"/>
              </w:rPr>
              <w:t xml:space="preserve">: Median value of owner occupied housing units; </w:t>
            </w:r>
          </w:p>
          <w:p w14:paraId="1BAE9E75" w14:textId="77777777" w:rsidR="00131CBB" w:rsidRPr="006E3D07" w:rsidRDefault="00131CBB" w:rsidP="006E3D07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  <w:u w:val="single"/>
              </w:rPr>
              <w:t>Crowded housing</w:t>
            </w:r>
            <w:r w:rsidRPr="006E3D07">
              <w:rPr>
                <w:color w:val="000000"/>
                <w:sz w:val="20"/>
                <w:szCs w:val="20"/>
              </w:rPr>
              <w:t xml:space="preserve">: Proportion of households with more than one person per room; </w:t>
            </w:r>
          </w:p>
          <w:p w14:paraId="1501BCCF" w14:textId="77777777" w:rsidR="00131CBB" w:rsidRPr="006E3D07" w:rsidRDefault="00131CBB" w:rsidP="006E3D07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6E3D07">
              <w:rPr>
                <w:color w:val="000000"/>
                <w:sz w:val="20"/>
                <w:szCs w:val="20"/>
                <w:u w:val="single"/>
              </w:rPr>
              <w:t>Blue collar</w:t>
            </w:r>
            <w:r w:rsidRPr="006E3D07">
              <w:rPr>
                <w:color w:val="000000"/>
                <w:sz w:val="20"/>
                <w:szCs w:val="20"/>
              </w:rPr>
              <w:t>: Proportion of employed persons in service occupations, farming and fishing occupations, precision production, craft and repair occupations, and operators, fabricators, and laborers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</w:tcPr>
          <w:p w14:paraId="7EB4FD8E" w14:textId="77777777" w:rsidR="00131CBB" w:rsidRPr="006E3D07" w:rsidRDefault="00131CBB" w:rsidP="006E3D07">
            <w:pPr>
              <w:spacing w:after="0" w:line="480" w:lineRule="auto"/>
              <w:rPr>
                <w:sz w:val="20"/>
                <w:szCs w:val="20"/>
              </w:rPr>
            </w:pPr>
            <w:r w:rsidRPr="006E3D07">
              <w:rPr>
                <w:sz w:val="20"/>
                <w:szCs w:val="20"/>
              </w:rPr>
              <w:t>U.S. Census</w:t>
            </w:r>
          </w:p>
        </w:tc>
      </w:tr>
    </w:tbl>
    <w:p w14:paraId="685AA62A" w14:textId="52EE86F3" w:rsidR="00131CBB" w:rsidRDefault="00131CBB" w:rsidP="0049552A"/>
    <w:p w14:paraId="7CDC93B6" w14:textId="77777777" w:rsidR="0043185E" w:rsidRDefault="0043185E" w:rsidP="0043185E">
      <w:pPr>
        <w:pStyle w:val="EndnoteText"/>
        <w:spacing w:line="480" w:lineRule="auto"/>
        <w:ind w:left="720" w:hanging="720"/>
      </w:pPr>
      <w:r>
        <w:t>39.</w:t>
      </w:r>
      <w:r>
        <w:tab/>
      </w:r>
      <w:r w:rsidRPr="0043185E">
        <w:rPr>
          <w:rFonts w:ascii="Calibri Light" w:hAnsi="Calibri Light" w:cs="Calibri Light"/>
          <w:sz w:val="22"/>
        </w:rPr>
        <w:t>Lee AM, Gainey R, Triplett R. Banking options and neighborhood crime: Does fringe banking increase neighborhood crime? American Journal of Criminal Justice Dec. 2013:No Pagination Specified.</w:t>
      </w:r>
    </w:p>
    <w:p w14:paraId="351BB8A2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40.</w:t>
      </w:r>
      <w:r>
        <w:tab/>
        <w:t>Browning CR, Jackson AL. THE SOCIAL ECOLOGY OF PUBLIC SPACE: ACTIVE STREETS AND VIOLENT CRIME IN URBAN NEIGHBORHOODS. Criminology. 2013;51:1009-43. (in English).</w:t>
      </w:r>
    </w:p>
    <w:p w14:paraId="03870116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41.</w:t>
      </w:r>
      <w:r>
        <w:tab/>
        <w:t>Fagan J, Davies G. The Natural History of Neighborhood Violence. Journal of Contemporary Criminal Justice. 2004;20:127-47.</w:t>
      </w:r>
    </w:p>
    <w:p w14:paraId="6D41617C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42.</w:t>
      </w:r>
      <w:r>
        <w:tab/>
        <w:t>Jargowsky PA. Immigrants and Neighbourhoods of Concentrated Poverty: Assimilation or Stagnation? Journal of Ethnic and Migration Studies. 2009;35:1129-51. (in English).</w:t>
      </w:r>
    </w:p>
    <w:p w14:paraId="0045D09B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43.</w:t>
      </w:r>
      <w:r>
        <w:tab/>
        <w:t>Jain S, Buka SL, Subramanian S, Molnar BE. Protective factors for youth exposed to violence: Role of developmental assets in building emotional resilience. Youth Violence and Juvenile Justice. 2012;10:107-29.</w:t>
      </w:r>
    </w:p>
    <w:p w14:paraId="116075D8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44.</w:t>
      </w:r>
      <w:r>
        <w:tab/>
        <w:t>Congdon P. Spatial path models with multiple indicators and multiple causes: mental health in US counties. Spatial and Spatio-Temporal Epidemiology. 2011;2:103-16.</w:t>
      </w:r>
    </w:p>
    <w:p w14:paraId="3C95A767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45.</w:t>
      </w:r>
      <w:r>
        <w:tab/>
        <w:t>Mair C, Diez Roux AV, Morenoff JD. Neighborhood stressors and social support as predictors of depressive symptoms in the Chicago Community Adult Health Study. Health and Place. 2010;16:811-9.</w:t>
      </w:r>
    </w:p>
    <w:p w14:paraId="5443EAA6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46.</w:t>
      </w:r>
      <w:r>
        <w:tab/>
        <w:t>Bitler M, Madeline Z. Did abortion legalization reduce the number of unwanted children? Evidence from adoptions. Perspectives on Sexual &amp; Reproductive Health. 2002;34:25-33.</w:t>
      </w:r>
    </w:p>
    <w:p w14:paraId="4C8DB241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47.</w:t>
      </w:r>
      <w:r>
        <w:tab/>
        <w:t>Cooper LFH, Hunter-Jones J, Kelley ME, Karnes C, Haley DF, Ross Z, et al. The Aftermath of Public Housing Relocations: Relationships between Changes in Local Socioeconomic Conditions and Depressive Symptoms in a Cohort of Adult Relocaters. Journal of Urban Health. 2014;91:223-41.</w:t>
      </w:r>
    </w:p>
    <w:p w14:paraId="72FC3A2E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48.</w:t>
      </w:r>
      <w:r>
        <w:tab/>
        <w:t>Lee MR. Civic Community in the Hinterland: Toward a Theory of Rural Social Structure and Violence. Criminology. 2008;46:447-78. (in English).</w:t>
      </w:r>
    </w:p>
    <w:p w14:paraId="5150FD5B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lastRenderedPageBreak/>
        <w:t>49.</w:t>
      </w:r>
      <w:r>
        <w:tab/>
        <w:t>Wadsworth T, Kubrin CE. Structural Factors and Black Interracial Homicide: A New Examination of the Causal Process. Criminology. 2004;42:647-72. (in English).</w:t>
      </w:r>
    </w:p>
    <w:p w14:paraId="2B1475A2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50.</w:t>
      </w:r>
      <w:r>
        <w:tab/>
        <w:t>Bellair PE, Roscigno VJ, McNulty TL. Linking Local Labor Market Opportunity to Violent Adolescent Delinquency. Journal of Research in Crime and Delinquency. 2003;40:6-33. (in English).</w:t>
      </w:r>
    </w:p>
    <w:p w14:paraId="4AF19F11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51.</w:t>
      </w:r>
      <w:r>
        <w:tab/>
        <w:t>Krivo LJ, Peterson RD, Kuhl DC. Segregation, racial structure, and neighborhood violent crime. AJS - American Journal of Sociology. 2009;114:1765-802.</w:t>
      </w:r>
    </w:p>
    <w:p w14:paraId="32703980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52.</w:t>
      </w:r>
      <w:r>
        <w:tab/>
        <w:t>DuMont KA, Widom CS, Czaja SJ. Predictors of resilience in abused and neglected children grown-up: the role of individual and neighborhood characteristics. Child Abuse &amp; Neglect. 2007;31:255-74.</w:t>
      </w:r>
    </w:p>
    <w:p w14:paraId="165AB3AD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53.</w:t>
      </w:r>
      <w:r>
        <w:tab/>
        <w:t>Myers MA, Thompson VLS. The Impact of Violence Exposure on African American Youth in Context. Youth and Society. 2000;32:253-67. (in English).</w:t>
      </w:r>
    </w:p>
    <w:p w14:paraId="30ABB4F6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54.</w:t>
      </w:r>
      <w:r>
        <w:tab/>
        <w:t>Carlson KT. Poverty and youth violence exposure: Experiences in rural communities. Children &amp; Schools. 2006;28:87-96.</w:t>
      </w:r>
    </w:p>
    <w:p w14:paraId="464A1549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55.</w:t>
      </w:r>
      <w:r>
        <w:tab/>
        <w:t>Cornell D, Gregory A, Huang F, Fan X. Perceived prevalence of teasing and bullying predicts high school dropout rates. Journal of Educational Psychology. 2013;105:138-49.</w:t>
      </w:r>
    </w:p>
    <w:p w14:paraId="231F7C25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56.</w:t>
      </w:r>
      <w:r>
        <w:tab/>
        <w:t>Freisthler B, Weiss RE. Using Bayesian space-time models to understand the substance use environment and risk for being referred to child protective services. Substance Use &amp; Misuse. 2008;43:239-51.</w:t>
      </w:r>
    </w:p>
    <w:p w14:paraId="09EA5D21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57.</w:t>
      </w:r>
      <w:r>
        <w:tab/>
        <w:t>Lovasi GS, Bader MD, Quinn J, Neckerman K, Weiss C, Rundle A. Body mass index, safety hazards, and neighborhood attractiveness. American Journal of Preventive Medicine. 2012;43:378-84.</w:t>
      </w:r>
    </w:p>
    <w:p w14:paraId="7F036B9D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58.</w:t>
      </w:r>
      <w:r>
        <w:tab/>
        <w:t>Osgood DW, Chambers JM. Social Disorganization outside the Metropolis: An Analysis of Rural Violence. Criminology. 2000;38:81-115. (in English).</w:t>
      </w:r>
    </w:p>
    <w:p w14:paraId="414461D1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lastRenderedPageBreak/>
        <w:t>59.</w:t>
      </w:r>
      <w:r>
        <w:tab/>
        <w:t>Feldmeyer B. Immigration and violence: the offsetting effects of immigrant concentration on Latino violence. Social Science Research. 2009;38:717-31.</w:t>
      </w:r>
    </w:p>
    <w:p w14:paraId="77696B76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60.</w:t>
      </w:r>
      <w:r>
        <w:tab/>
        <w:t>Hipp JR. A Dynamic View of Neighborhoods: The Reciprocal Relationship between Crime and Neighborhood Structural Characteristics. Social Problems. 2010;57:205-30. (in English).</w:t>
      </w:r>
    </w:p>
    <w:p w14:paraId="224C7439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61.</w:t>
      </w:r>
      <w:r>
        <w:tab/>
        <w:t>Griffiths E. Race, space, and the spread of violence across the city. Social Problems. 2013;60:491-512.</w:t>
      </w:r>
    </w:p>
    <w:p w14:paraId="6A1366FA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62.</w:t>
      </w:r>
      <w:r>
        <w:tab/>
        <w:t>Phillips JA. White, Black, and Latino Homicide Rates: Why the Difference? Social Problems. 2002;49:349-73. (in English).</w:t>
      </w:r>
    </w:p>
    <w:p w14:paraId="05626E79" w14:textId="77777777" w:rsidR="0043185E" w:rsidRDefault="0043185E" w:rsidP="0043185E">
      <w:pPr>
        <w:pStyle w:val="EndNoteBibliography"/>
        <w:spacing w:after="0" w:line="480" w:lineRule="auto"/>
        <w:ind w:left="720" w:hanging="720"/>
      </w:pPr>
      <w:r>
        <w:t>63.</w:t>
      </w:r>
      <w:r>
        <w:tab/>
        <w:t>Willits D, Broidy L, Denman K. Schools, Neighborhood Risk Factors, and Crime. Crime &amp; Delinquency. 2013;59:292-315. (in English).</w:t>
      </w:r>
    </w:p>
    <w:p w14:paraId="2C34CFC8" w14:textId="77777777" w:rsidR="0043185E" w:rsidRDefault="0043185E" w:rsidP="0043185E">
      <w:pPr>
        <w:pStyle w:val="EndnoteText"/>
        <w:spacing w:line="480" w:lineRule="auto"/>
        <w:ind w:left="720" w:hanging="720"/>
        <w:rPr>
          <w:rFonts w:ascii="Calibri Light" w:hAnsi="Calibri Light" w:cs="Calibri Light"/>
          <w:sz w:val="22"/>
          <w:szCs w:val="22"/>
        </w:rPr>
      </w:pPr>
      <w:r>
        <w:t>64.</w:t>
      </w:r>
      <w:r>
        <w:tab/>
      </w:r>
      <w:r w:rsidRPr="00A830F0">
        <w:rPr>
          <w:rFonts w:ascii="Calibri Light" w:hAnsi="Calibri Light" w:cs="Calibri Light"/>
          <w:sz w:val="22"/>
          <w:szCs w:val="22"/>
        </w:rPr>
        <w:t>Cubbin C, LeClere FB, Smith GS. Socioeconomic status and injury mortality: individual and neighbourhood determinants. Journal of Epidemiology &amp; Community Health. 2000;54:517-24.</w:t>
      </w:r>
    </w:p>
    <w:p w14:paraId="23BBF617" w14:textId="77777777" w:rsidR="0043185E" w:rsidRDefault="0043185E" w:rsidP="0049552A"/>
    <w:sectPr w:rsidR="0043185E" w:rsidSect="0049552A">
      <w:footnotePr>
        <w:numFmt w:val="chicago"/>
      </w:footnotePr>
      <w:endnotePr>
        <w:numFmt w:val="lowerLetter"/>
      </w:endnotePr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0C53" w14:textId="77777777" w:rsidR="00131CBB" w:rsidRDefault="00131CBB" w:rsidP="00CC496B">
      <w:pPr>
        <w:spacing w:after="0" w:line="240" w:lineRule="auto"/>
      </w:pPr>
      <w:r>
        <w:separator/>
      </w:r>
    </w:p>
  </w:endnote>
  <w:endnote w:type="continuationSeparator" w:id="0">
    <w:p w14:paraId="3C06FD5D" w14:textId="77777777" w:rsidR="00131CBB" w:rsidRDefault="00131CBB" w:rsidP="00CC496B">
      <w:pPr>
        <w:spacing w:after="0" w:line="240" w:lineRule="auto"/>
      </w:pPr>
      <w:r>
        <w:continuationSeparator/>
      </w:r>
    </w:p>
  </w:endnote>
  <w:endnote w:id="1">
    <w:p w14:paraId="3FFF5235" w14:textId="1EEF08D5" w:rsidR="0043185E" w:rsidRDefault="0043185E" w:rsidP="0026317B">
      <w:pPr>
        <w:pStyle w:val="EndnoteText"/>
        <w:spacing w:line="480" w:lineRule="auto"/>
      </w:pPr>
      <w:r>
        <w:rPr>
          <w:rStyle w:val="EndnoteReference"/>
        </w:rPr>
        <w:endnoteRef/>
      </w:r>
      <w:r>
        <w:t xml:space="preserve"> </w:t>
      </w:r>
      <w:r w:rsidRPr="006A47A3">
        <w:t>Multiple indicators that represent some form of an index are formatted with the prefix “index of”; constructs that are represented by multiple sub-constructs/indices are underlined and separated by semi-colons; otherwise multiple indicators that are not part of an index are separated by commas.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7E72" w14:textId="77777777" w:rsidR="00131CBB" w:rsidRDefault="00131CBB" w:rsidP="00CC496B">
      <w:pPr>
        <w:spacing w:after="0" w:line="240" w:lineRule="auto"/>
      </w:pPr>
      <w:r>
        <w:separator/>
      </w:r>
    </w:p>
  </w:footnote>
  <w:footnote w:type="continuationSeparator" w:id="0">
    <w:p w14:paraId="468CA874" w14:textId="77777777" w:rsidR="00131CBB" w:rsidRDefault="00131CBB" w:rsidP="00CC496B">
      <w:pPr>
        <w:spacing w:after="0" w:line="240" w:lineRule="auto"/>
      </w:pPr>
      <w:r>
        <w:continuationSeparator/>
      </w:r>
    </w:p>
  </w:footnote>
  <w:footnote w:id="1">
    <w:p w14:paraId="2A394B43" w14:textId="77777777" w:rsidR="00131CBB" w:rsidRDefault="00131CBB" w:rsidP="002432B7">
      <w:pPr>
        <w:pStyle w:val="FootnoteText"/>
      </w:pPr>
      <w:r>
        <w:rPr>
          <w:rStyle w:val="FootnoteReference"/>
        </w:rPr>
        <w:footnoteRef/>
      </w:r>
      <w:r>
        <w:t xml:space="preserve"> The indicator can be found using other publicly available data sources (e.g., the U.S. Census).</w:t>
      </w:r>
    </w:p>
  </w:footnote>
  <w:footnote w:id="2">
    <w:p w14:paraId="7309085A" w14:textId="77777777" w:rsidR="00131CBB" w:rsidRDefault="00131CBB" w:rsidP="002432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0801">
        <w:t>Census Neighborhood Change Database (NCDB) combines information from the 1970, 1980, 1990 and 2000 long form US Census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270D" w14:textId="77777777" w:rsidR="00131CBB" w:rsidRDefault="00131CBB">
    <w:pPr>
      <w:pStyle w:val="Header"/>
    </w:pPr>
    <w:r>
      <w:t>INDICATORS FOR VIOLENCE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characterSpacingControl w:val="doNotCompress"/>
  <w:doNotValidateAgainstSchema/>
  <w:doNotDemarcateInvalidXml/>
  <w:footnotePr>
    <w:numFmt w:val="lowerLetter"/>
    <w:numStart w:val="2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6B"/>
    <w:rsid w:val="00131CBB"/>
    <w:rsid w:val="002432B7"/>
    <w:rsid w:val="0026317B"/>
    <w:rsid w:val="003932F1"/>
    <w:rsid w:val="0043185E"/>
    <w:rsid w:val="00445B64"/>
    <w:rsid w:val="00472F12"/>
    <w:rsid w:val="0049552A"/>
    <w:rsid w:val="004B6D2A"/>
    <w:rsid w:val="0054250F"/>
    <w:rsid w:val="006E3D07"/>
    <w:rsid w:val="00726CC9"/>
    <w:rsid w:val="008D2E70"/>
    <w:rsid w:val="00903012"/>
    <w:rsid w:val="00A04FDC"/>
    <w:rsid w:val="00A063D8"/>
    <w:rsid w:val="00A830F0"/>
    <w:rsid w:val="00AD5D1E"/>
    <w:rsid w:val="00B51DB3"/>
    <w:rsid w:val="00BA211D"/>
    <w:rsid w:val="00BA5870"/>
    <w:rsid w:val="00C92C96"/>
    <w:rsid w:val="00CC496B"/>
    <w:rsid w:val="00D26908"/>
    <w:rsid w:val="00D32C19"/>
    <w:rsid w:val="00D700A7"/>
    <w:rsid w:val="00E3173E"/>
    <w:rsid w:val="00EF0801"/>
    <w:rsid w:val="00F831D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CF1E3"/>
  <w15:docId w15:val="{34156A84-7EEF-4E57-8494-23DF27F9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0F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CC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96B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CC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496B"/>
    <w:rPr>
      <w:rFonts w:ascii="Calibri Light" w:hAnsi="Calibri Light" w:cs="Calibri Light"/>
      <w:i/>
      <w:iCs/>
      <w:color w:val="2E74B5"/>
    </w:rPr>
  </w:style>
  <w:style w:type="paragraph" w:styleId="EndnoteText">
    <w:name w:val="endnote text"/>
    <w:basedOn w:val="Normal"/>
    <w:link w:val="EndnoteTextChar"/>
    <w:uiPriority w:val="99"/>
    <w:semiHidden/>
    <w:rsid w:val="004955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55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9552A"/>
    <w:rPr>
      <w:vertAlign w:val="superscript"/>
    </w:rPr>
  </w:style>
  <w:style w:type="table" w:styleId="TableGrid">
    <w:name w:val="Table Grid"/>
    <w:basedOn w:val="TableNormal"/>
    <w:uiPriority w:val="99"/>
    <w:rsid w:val="004955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95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55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063D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D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D1E"/>
  </w:style>
  <w:style w:type="paragraph" w:styleId="Footer">
    <w:name w:val="footer"/>
    <w:basedOn w:val="Normal"/>
    <w:link w:val="FooterChar"/>
    <w:uiPriority w:val="99"/>
    <w:rsid w:val="00AD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D1E"/>
  </w:style>
  <w:style w:type="paragraph" w:customStyle="1" w:styleId="EndNoteBibliography">
    <w:name w:val="EndNote Bibliography"/>
    <w:basedOn w:val="Normal"/>
    <w:link w:val="EndNoteBibliographyChar"/>
    <w:uiPriority w:val="99"/>
    <w:pPr>
      <w:spacing w:line="240" w:lineRule="auto"/>
    </w:pPr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Pr>
      <w:rFonts w:ascii="Calibri Light" w:hAnsi="Calibri Light" w:cs="Calibri Light"/>
      <w:noProof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1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0A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0A7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9468-A5F8-4B6F-860A-56EC7C28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1645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Armstead, Theresa (CDC/ONDIEH/NCIPC)</dc:creator>
  <cp:keywords/>
  <dc:description/>
  <cp:lastModifiedBy>Armstead, Theresa (CDC/ONDIEH/NCIPC)</cp:lastModifiedBy>
  <cp:revision>7</cp:revision>
  <dcterms:created xsi:type="dcterms:W3CDTF">2017-09-25T18:41:00Z</dcterms:created>
  <dcterms:modified xsi:type="dcterms:W3CDTF">2017-09-26T14:09:00Z</dcterms:modified>
</cp:coreProperties>
</file>