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2A0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82860">
        <w:rPr>
          <w:rFonts w:ascii="Times New Roman" w:hAnsi="Times New Roman" w:cs="Times New Roman"/>
          <w:b/>
          <w:sz w:val="24"/>
          <w:szCs w:val="24"/>
        </w:rPr>
        <w:t>S1</w:t>
      </w:r>
      <w:r w:rsidRPr="00BE2A0E">
        <w:rPr>
          <w:rFonts w:ascii="Times New Roman" w:hAnsi="Times New Roman" w:cs="Times New Roman"/>
          <w:b/>
          <w:sz w:val="24"/>
          <w:szCs w:val="24"/>
        </w:rPr>
        <w:t>.  Summary of Community Health Survey data collected, 2002-2006.</w:t>
      </w:r>
    </w:p>
    <w:tbl>
      <w:tblPr>
        <w:tblStyle w:val="LightShading1"/>
        <w:tblpPr w:leftFromText="180" w:rightFromText="180" w:vertAnchor="text" w:tblpY="1"/>
        <w:tblW w:w="0" w:type="auto"/>
        <w:tblLook w:val="04A0"/>
      </w:tblPr>
      <w:tblGrid>
        <w:gridCol w:w="1868"/>
        <w:gridCol w:w="4450"/>
        <w:gridCol w:w="1530"/>
      </w:tblGrid>
      <w:tr w:rsidR="00E61475" w:rsidRPr="00BE2A0E" w:rsidTr="00240385">
        <w:trPr>
          <w:cnfStyle w:val="1000000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Survey measure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Variable or question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tabs>
                <w:tab w:val="left" w:pos="1134"/>
              </w:tabs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Years of available data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Demographics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Age, gender, United Health Fund (UHF) neighborhood, ethnicity, education level, Poverty level based on </w:t>
            </w:r>
            <w:proofErr w:type="spellStart"/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zipcode</w:t>
            </w:r>
            <w:proofErr w:type="spellEnd"/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 poverty percentage, US or foreign born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2002- 2006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sexual orientation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Self-assessed neighborhood safety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General physical health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Self-reported health status, body mass index (BMI)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Past medical history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Told had high blood pressure by doctor,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2002, 2005, 2006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informed about high cholesterol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ever received diagnosis of diabetes mellitus,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2002-2004, 2006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Asthma episode in past test months,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2002-2004, 2006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Access to health care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Presence of primary care physician, insured or uninsured status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Medical screening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HIV test in past 12 months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2003, 2005, 2006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Ever  been tested for HIV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PAP </w:t>
            </w:r>
            <w:r w:rsidR="004510EC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 in past 3 years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2002, 2004-2006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mammogram in past 2 years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2002, 2004-2006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Ever had colonoscopy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ind w:right="-37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2003, 2004, 2006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Lifestyle habits</w:t>
            </w: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binge drinking (≥ 5 drinks on one occasion in past 30 days)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Smoking status (smoking is defined as &gt;100 cigarettes in lifetime)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Heavy smoking ( &gt; 10 cigarettes/day)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2002-2004, 2006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number of sex partners 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61475" w:rsidRPr="00BE2A0E" w:rsidTr="00240385">
        <w:trPr>
          <w:cnfStyle w:val="000000100000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Exercise in last 30 days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E61475" w:rsidRPr="00BE2A0E" w:rsidTr="00240385"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Recreational needle use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61475" w:rsidRPr="00BE2A0E" w:rsidTr="00240385">
        <w:trPr>
          <w:cnfStyle w:val="000000100000"/>
          <w:trHeight w:val="269"/>
        </w:trPr>
        <w:tc>
          <w:tcPr>
            <w:cnfStyle w:val="001000000000"/>
            <w:tcW w:w="1868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Fruits and vegetables servings per day</w:t>
            </w:r>
          </w:p>
        </w:tc>
        <w:tc>
          <w:tcPr>
            <w:tcW w:w="153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E61475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2A0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Pr="00BE2A0E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2A0E" w:rsidRPr="00BE2A0E" w:rsidRDefault="0084372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67230" cy="2806700"/>
            <wp:effectExtent l="19050" t="0" r="0" b="0"/>
            <wp:docPr id="1" name="Picture 1" descr="N:\NYCancerAtlas\Mortality\MapNYC.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YCancerAtlas\Mortality\MapNYC.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0E" w:rsidRPr="00BE2A0E" w:rsidRDefault="00BE2A0E" w:rsidP="009100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2A0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4641E">
        <w:rPr>
          <w:rFonts w:ascii="Times New Roman" w:hAnsi="Times New Roman" w:cs="Times New Roman"/>
          <w:b/>
          <w:sz w:val="24"/>
          <w:szCs w:val="24"/>
        </w:rPr>
        <w:t>S1</w:t>
      </w:r>
      <w:r w:rsidRPr="00BE2A0E">
        <w:rPr>
          <w:rFonts w:ascii="Times New Roman" w:hAnsi="Times New Roman" w:cs="Times New Roman"/>
          <w:sz w:val="24"/>
          <w:szCs w:val="24"/>
        </w:rPr>
        <w:t>. Geographic location the three neighborhoods of Upper Manhattan studied: Upper East Side (10021, 10028, 10044, 10128), Central Harlem (10026, 10027, 10030, 10037, 10039), and East Harlem (10029</w:t>
      </w:r>
      <w:proofErr w:type="gramStart"/>
      <w:r w:rsidRPr="00BE2A0E">
        <w:rPr>
          <w:rFonts w:ascii="Times New Roman" w:hAnsi="Times New Roman" w:cs="Times New Roman"/>
          <w:sz w:val="24"/>
          <w:szCs w:val="24"/>
        </w:rPr>
        <w:t>,10035</w:t>
      </w:r>
      <w:proofErr w:type="gramEnd"/>
      <w:r w:rsidRPr="00BE2A0E">
        <w:rPr>
          <w:rFonts w:ascii="Times New Roman" w:hAnsi="Times New Roman" w:cs="Times New Roman"/>
          <w:sz w:val="24"/>
          <w:szCs w:val="24"/>
        </w:rPr>
        <w:t xml:space="preserve">) (source: </w:t>
      </w:r>
      <w:hyperlink r:id="rId5" w:history="1">
        <w:r w:rsidRPr="00BE2A0E">
          <w:rPr>
            <w:rStyle w:val="Hyperlink"/>
            <w:rFonts w:ascii="Times New Roman" w:hAnsi="Times New Roman" w:cs="Times New Roman"/>
            <w:sz w:val="24"/>
            <w:szCs w:val="24"/>
          </w:rPr>
          <w:t>http://www.nyc.gov/html/doh/downloads/pdf/survey/uhf_map_100604.pdf</w:t>
        </w:r>
      </w:hyperlink>
      <w:r w:rsidRPr="00BE2A0E">
        <w:rPr>
          <w:rFonts w:ascii="Times New Roman" w:hAnsi="Times New Roman" w:cs="Times New Roman"/>
          <w:sz w:val="24"/>
          <w:szCs w:val="24"/>
        </w:rPr>
        <w:t>)</w:t>
      </w:r>
    </w:p>
    <w:p w:rsidR="00E61475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2634" w:rsidRPr="00BE2A0E" w:rsidRDefault="00792634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2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4578" cy="2647507"/>
            <wp:effectExtent l="19050" t="0" r="20822" b="443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2A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90903" cy="2477386"/>
            <wp:effectExtent l="19050" t="0" r="9747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1475" w:rsidRPr="00BE2A0E" w:rsidRDefault="00BE2A0E" w:rsidP="0091000A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BE2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54641E">
        <w:rPr>
          <w:rFonts w:ascii="Times New Roman" w:hAnsi="Times New Roman" w:cs="Times New Roman"/>
          <w:b/>
          <w:sz w:val="24"/>
          <w:szCs w:val="24"/>
        </w:rPr>
        <w:t>S2</w:t>
      </w:r>
      <w:r w:rsidR="00E61475" w:rsidRPr="00BE2A0E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70E4A" w:rsidRPr="00970E4A">
        <w:rPr>
          <w:rFonts w:ascii="Times New Roman" w:hAnsi="Times New Roman" w:cs="Times New Roman"/>
          <w:b/>
          <w:sz w:val="24"/>
          <w:szCs w:val="24"/>
        </w:rPr>
        <w:t>Age-standardized cancer incidence rates for specific cancers by United Health Fund New York City neighborhood and sex, 2007 to 2011.  Vertical bars indicate 95% confidence intervals.</w:t>
      </w:r>
    </w:p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61475" w:rsidRPr="003822C0" w:rsidRDefault="00E61475" w:rsidP="009100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2A0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4641E">
        <w:rPr>
          <w:rFonts w:ascii="Times New Roman" w:hAnsi="Times New Roman" w:cs="Times New Roman"/>
          <w:b/>
          <w:sz w:val="24"/>
          <w:szCs w:val="24"/>
        </w:rPr>
        <w:t>S2</w:t>
      </w:r>
      <w:r w:rsidRPr="00BE2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2C0" w:rsidRPr="003822C0">
        <w:rPr>
          <w:rFonts w:ascii="Times New Roman" w:hAnsi="Times New Roman" w:cs="Times New Roman"/>
          <w:b/>
          <w:sz w:val="24"/>
          <w:szCs w:val="24"/>
        </w:rPr>
        <w:t>Associations of neighborhood and race with cancer incidence for other common cancer sites, 2007-2011</w:t>
      </w:r>
    </w:p>
    <w:tbl>
      <w:tblPr>
        <w:tblStyle w:val="LightShading1"/>
        <w:tblW w:w="14036" w:type="dxa"/>
        <w:tblLayout w:type="fixed"/>
        <w:tblLook w:val="04A0"/>
      </w:tblPr>
      <w:tblGrid>
        <w:gridCol w:w="1368"/>
        <w:gridCol w:w="90"/>
        <w:gridCol w:w="878"/>
        <w:gridCol w:w="90"/>
        <w:gridCol w:w="1080"/>
        <w:gridCol w:w="90"/>
        <w:gridCol w:w="1710"/>
        <w:gridCol w:w="22"/>
        <w:gridCol w:w="1778"/>
        <w:gridCol w:w="90"/>
        <w:gridCol w:w="1980"/>
        <w:gridCol w:w="22"/>
        <w:gridCol w:w="3308"/>
        <w:gridCol w:w="90"/>
        <w:gridCol w:w="1350"/>
        <w:gridCol w:w="90"/>
      </w:tblGrid>
      <w:tr w:rsidR="00E61475" w:rsidRPr="00BE2A0E" w:rsidTr="006E6426">
        <w:trPr>
          <w:cnfStyle w:val="100000000000"/>
        </w:trPr>
        <w:tc>
          <w:tcPr>
            <w:cnfStyle w:val="001000000000"/>
            <w:tcW w:w="1368" w:type="dxa"/>
            <w:tcBorders>
              <w:bottom w:val="nil"/>
            </w:tcBorders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Cancer type or cancer site</w:t>
            </w:r>
          </w:p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bottom w:val="nil"/>
            </w:tcBorders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3870" w:type="dxa"/>
            <w:gridSpan w:val="4"/>
            <w:tcBorders>
              <w:bottom w:val="nil"/>
            </w:tcBorders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UHF neighborhood</w:t>
            </w:r>
          </w:p>
        </w:tc>
        <w:tc>
          <w:tcPr>
            <w:tcW w:w="3420" w:type="dxa"/>
            <w:gridSpan w:val="3"/>
            <w:tcBorders>
              <w:bottom w:val="nil"/>
            </w:tcBorders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Community Health Survey (CHS) variables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Likelihood ratio test</w:t>
            </w:r>
          </w:p>
        </w:tc>
      </w:tr>
      <w:tr w:rsidR="00240385" w:rsidRPr="000F4D49" w:rsidTr="006E6426">
        <w:trPr>
          <w:gridAfter w:val="1"/>
          <w:cnfStyle w:val="000000100000"/>
          <w:wAfter w:w="90" w:type="dxa"/>
          <w:trHeight w:val="368"/>
        </w:trPr>
        <w:tc>
          <w:tcPr>
            <w:cnfStyle w:val="001000000000"/>
            <w:tcW w:w="14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5">
              <w:rPr>
                <w:rFonts w:ascii="Times New Roman" w:hAnsi="Times New Roman" w:cs="Times New Roman"/>
                <w:sz w:val="24"/>
                <w:szCs w:val="24"/>
              </w:rPr>
              <w:t>Black vs. White</w:t>
            </w:r>
          </w:p>
        </w:tc>
        <w:tc>
          <w:tcPr>
            <w:tcW w:w="18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5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6E6426">
              <w:rPr>
                <w:rFonts w:ascii="Times New Roman" w:hAnsi="Times New Roman" w:cs="Times New Roman"/>
                <w:sz w:val="24"/>
                <w:szCs w:val="24"/>
              </w:rPr>
              <w:t>spanic vs.</w:t>
            </w:r>
            <w:r w:rsidRPr="00240385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5">
              <w:rPr>
                <w:rFonts w:ascii="Times New Roman" w:hAnsi="Times New Roman" w:cs="Times New Roman"/>
                <w:sz w:val="24"/>
                <w:szCs w:val="24"/>
              </w:rPr>
              <w:t>East Harlem vs. Upper East Side</w:t>
            </w:r>
          </w:p>
        </w:tc>
        <w:tc>
          <w:tcPr>
            <w:tcW w:w="20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5">
              <w:rPr>
                <w:rFonts w:ascii="Times New Roman" w:hAnsi="Times New Roman" w:cs="Times New Roman"/>
                <w:sz w:val="24"/>
                <w:szCs w:val="24"/>
              </w:rPr>
              <w:t>Central Harlem vs. Upper East Side</w:t>
            </w: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0385" w:rsidRPr="00240385" w:rsidRDefault="0024038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5">
              <w:rPr>
                <w:rFonts w:ascii="Times New Roman" w:hAnsi="Times New Roman" w:cs="Times New Roman"/>
                <w:sz w:val="24"/>
                <w:szCs w:val="24"/>
              </w:rPr>
              <w:t xml:space="preserve">     P- value</w:t>
            </w:r>
          </w:p>
        </w:tc>
      </w:tr>
      <w:tr w:rsidR="00240385" w:rsidRPr="00BE2A0E" w:rsidTr="00240385">
        <w:tc>
          <w:tcPr>
            <w:cnfStyle w:val="001000000000"/>
            <w:tcW w:w="1368" w:type="dxa"/>
            <w:shd w:val="clear" w:color="auto" w:fill="auto"/>
          </w:tcPr>
          <w:p w:rsidR="00240385" w:rsidRPr="00BE2A0E" w:rsidRDefault="00240385" w:rsidP="00910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240385" w:rsidRPr="00BE2A0E" w:rsidRDefault="00240385" w:rsidP="0091000A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240385" w:rsidRPr="00BE2A0E" w:rsidRDefault="00240385" w:rsidP="0091000A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shd w:val="clear" w:color="auto" w:fill="auto"/>
          </w:tcPr>
          <w:p w:rsidR="00240385" w:rsidRPr="00BE2A0E" w:rsidRDefault="00240385" w:rsidP="0091000A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240385" w:rsidRPr="00BE2A0E" w:rsidRDefault="00240385" w:rsidP="0091000A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40385" w:rsidRPr="00BE2A0E" w:rsidRDefault="00240385" w:rsidP="0091000A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cnfStyle w:val="000000100000"/>
          <w:trHeight w:val="485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Oral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(0.77, 1.77)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(0.58, 1.38)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 (0.62, 1.46)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0.94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(0.62, 1.44)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846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2.69 (1.43, 5.05)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2.45 (1.30, 4.61)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1.86 (1.07, 3.22)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1.78 (1.10, 2.90)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Sex and age interaction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Fruit and vegetable consumption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Ever been HIV tested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61475" w:rsidRPr="00BE2A0E" w:rsidTr="00240385">
        <w:trPr>
          <w:cnfStyle w:val="000000100000"/>
          <w:trHeight w:val="395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Esophagus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2.15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(1.18, 3.91)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(0.67, 2.31)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0.62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(0.33, 1.15)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0.46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(0.25, 0.86)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22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2.00 (0.99, 4.03)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1.08 (0.55, 2.13)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0.51 (0.27, 0.97)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0.40 (0.21, 0.76)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Neighborhood safety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Current smoking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 0.01</w:t>
            </w:r>
          </w:p>
        </w:tc>
      </w:tr>
      <w:tr w:rsidR="00E61475" w:rsidRPr="00BE2A0E" w:rsidTr="00240385">
        <w:trPr>
          <w:cnfStyle w:val="000000100000"/>
          <w:trHeight w:val="377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Stomach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(1.36, 3.82)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2.47</w:t>
            </w:r>
          </w:p>
          <w:p w:rsidR="00E61475" w:rsidRPr="00BE2A0E" w:rsidRDefault="009806B2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1475"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1.49, 4.09)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(0.81, 2.23)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1.50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(0.91, 2.49)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58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3.33 (1.79, 6.19)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3.15 (1.74, 5.71)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1.03 (0.59, 1.82)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1.10 (0.57, 1.86)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Healthcare insurance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Alcohol binge drinking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 &lt;0.001</w:t>
            </w:r>
          </w:p>
        </w:tc>
      </w:tr>
      <w:tr w:rsidR="00E61475" w:rsidRPr="00BE2A0E" w:rsidTr="00240385">
        <w:trPr>
          <w:cnfStyle w:val="000000100000"/>
          <w:trHeight w:val="440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Colon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1.35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(1.04, 1.77)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(0.77, 1.34)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(0.89, 1.54)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(0.90, 1.54)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611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5.89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(12.62, 13.25)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4.20 (1.71, 10.33)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2.39 (1.53, 3.73)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1.79 (1.25, 2.56)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College education level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Ever tested for HIV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Never smoking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61475" w:rsidRPr="00BE2A0E" w:rsidTr="00240385">
        <w:trPr>
          <w:cnfStyle w:val="000000100000"/>
          <w:trHeight w:val="413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Rectum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(0.88, 2.06)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(0.66, 1.59)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(0.58, 1.43)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(0.79, 1.82)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40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1.41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(0.84, 2.08)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0.83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(0.43, 1.58)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0.94 (0.59, 1.49)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1.33 (0.86, 2.07)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Presence of primary care physician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Heavy smoking (&gt;10 cigarettes /day)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cnfStyle w:val="000000100000"/>
          <w:trHeight w:val="395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Liver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3.37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(2.20, 5.17)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3.10 (2.05, 4.71)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0.97 (0.64, 1.46)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0.98 (0.65, 1.46)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73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6.54 (1.41, 30.40)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32.38 (2.13, 491.59)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2.32 (0.98, 5.49)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2.90 (1.28, 6.58)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BMI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Recreational needle use    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Fruit and vegetable consumption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Heavy smoking (&gt;10 cigarettes /day)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Foreign born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Asthma    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  <w:proofErr w:type="spellStart"/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bing</w:t>
            </w:r>
            <w:proofErr w:type="spellEnd"/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 drinking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61475" w:rsidRPr="00BE2A0E" w:rsidTr="00240385">
        <w:trPr>
          <w:cnfStyle w:val="000000100000"/>
          <w:trHeight w:val="485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Pancreas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1.55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(1.08, 2.21)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0.70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(0.47, 1.03)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0.98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(0.68, 1.42)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0.83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(0.58, 1.20)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395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1.71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(1.18, 2.46)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(0.55, 1.30)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(0.63, 1.36)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(0.56, 1.16)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Number of sex partners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 0.04</w:t>
            </w:r>
          </w:p>
        </w:tc>
      </w:tr>
      <w:tr w:rsidR="00E61475" w:rsidRPr="00BE2A0E" w:rsidTr="00240385">
        <w:trPr>
          <w:cnfStyle w:val="000000100000"/>
          <w:trHeight w:val="422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Larynx</w:t>
            </w:r>
          </w:p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2.43 (1.23, 4.80)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1.20 (0.58, 2.49)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1.13 (0.56, 2.26)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0.85 (0.43, 1.70)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846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2.95 (1.45, 6.01)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(0.74, 3.12)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(0.001, 0.30)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(0.001, 0.26)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Recreational needle use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Ever HIV tested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Poverty level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61475" w:rsidRPr="00BE2A0E" w:rsidTr="00240385">
        <w:trPr>
          <w:cnfStyle w:val="000000100000"/>
          <w:trHeight w:val="395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Melanoma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0.04 (0.01, 0.10)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0.19 (0.11, 0.33)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0.26 (0.14, 0.48)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0.43 (0.27, 0.69)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13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(0.01, 0.07)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0.11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(0.05, 0.24)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0.22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(0.12, 0.41)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0.42 (0.26, 0.66)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Current smoking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61475" w:rsidRPr="00BE2A0E" w:rsidTr="00240385">
        <w:trPr>
          <w:cnfStyle w:val="000000100000"/>
          <w:trHeight w:val="847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Cervix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1.53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(0.69, 3.42)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(0.47, 2.49)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(1.02, 5.51)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2.23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(0.97, 5.12)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368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2.29 (1.02, 5.17)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1.32 (0.62, 2.78)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2.30 (1.08, 4.90)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1.70 (0.77, 3.74)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Mammogram in the past 2 years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 0.05</w:t>
            </w:r>
          </w:p>
        </w:tc>
      </w:tr>
      <w:tr w:rsidR="00E61475" w:rsidRPr="00BE2A0E" w:rsidTr="00240385">
        <w:trPr>
          <w:cnfStyle w:val="000000100000"/>
          <w:trHeight w:val="458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Endometrium</w:t>
            </w:r>
            <w:proofErr w:type="spellEnd"/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0.96 (0.68, 1.35)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0.68 (0.48, 0.98)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1.07 (0.75, 1.52)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1.00 (0.71, 1.41)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611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2.78 (1.02, 7.61)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1.44 (0.67, 3.12)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1.63 (0.99, 2.67)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1.20 (0.80, 1.78)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61475" w:rsidRPr="00BE2A0E" w:rsidTr="00240385">
        <w:trPr>
          <w:cnfStyle w:val="000000100000"/>
          <w:trHeight w:val="847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Ovary 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0.88 (0.51, 1.53)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0.43 (0.23, 0.79)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0.88 (0.50, 1.57)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0.73 (0.42, 1.29)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85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2.47 (0.62, 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9.83)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0.92 (0.30, 2.90)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1.64 (0.78, 3.46)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0.99 (0.53, 1.84)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Pap smear in past 3 years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1475" w:rsidRPr="00BE2A0E" w:rsidTr="00240385">
        <w:trPr>
          <w:cnfStyle w:val="000000100000"/>
          <w:trHeight w:val="847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Testis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(0.06, 1.31)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(0.02, 1.34)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0.30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(0.04, 2.53)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(0.25, 3.06)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846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(0.01, 0.68)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(&lt;0.001, 0.42)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(0.01, 1.32)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(0.37, 3.57)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61475" w:rsidRPr="00BE2A0E" w:rsidTr="00240385">
        <w:trPr>
          <w:cnfStyle w:val="000000100000"/>
          <w:trHeight w:val="431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Bladder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0.54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(0.37, 0.79)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0.53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(0.36, 0.78)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0.70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(0.47, 1.02)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(0.60, 1.23)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846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0.57 (0.36, 0.91)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(0.36, 1.20)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0.67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(0.36, 0.96)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(0.64, 1.31)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Exercise in the past 30 days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61475" w:rsidRPr="00BE2A0E" w:rsidTr="00240385">
        <w:trPr>
          <w:cnfStyle w:val="000000100000"/>
          <w:trHeight w:val="431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Kidney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1.16 (0.78, 1.73)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0.87 (0.58, 1.30)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1.38 (0.93, 2.03)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0.82 (0.54, 1.24)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989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(0.30, 1.04)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(0.21, 1.07)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0.88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(0.50, 1.56)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0.54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(0.29, 0.98)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Self-assessed health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Fruit and vegetable consumption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Foreign born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hypercholesterolemia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61475" w:rsidRPr="00BE2A0E" w:rsidTr="00240385">
        <w:trPr>
          <w:cnfStyle w:val="000000100000"/>
          <w:trHeight w:val="458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Brain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(0.32, 1.36)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(0.52, 1.88)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0.55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(0.26, 1.14)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0.77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(0.39, 1.49)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620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(0.23, 1.18)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(0.21, 1.52)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(&lt;0.001, 0.35)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(&lt;0.001, 0.52)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Current Asthma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Poverty level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1475" w:rsidRPr="00BE2A0E" w:rsidTr="00240385">
        <w:trPr>
          <w:cnfStyle w:val="000000100000"/>
          <w:trHeight w:val="847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Thyroid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0.40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(0.26, 0.62)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0.65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(0.44, 0.97)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0.73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(0.48, 1.12)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0.85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(0.57, 1.27)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846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0.40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(0.26, 0.62)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(0.53, 3.65)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(0.48, 1.13)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(0.57, 1.50)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Sex and age interaction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 0.02</w:t>
            </w:r>
          </w:p>
        </w:tc>
      </w:tr>
      <w:tr w:rsidR="00E61475" w:rsidRPr="00BE2A0E" w:rsidTr="00240385">
        <w:trPr>
          <w:cnfStyle w:val="000000100000"/>
          <w:trHeight w:val="602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Hodgkin </w:t>
            </w: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lymphoma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1.51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(0.57, 4.01)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1.39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(0.53, 3.65)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1.49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(0.57, 3.88)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0.96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(0.36, 2.58)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989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(0.53, 3.91)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(0.50, 3.51)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(0.37, 3.15)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(0.46, 4.95)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Recreational needle use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Ever been tested for HIV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E61475" w:rsidRPr="00BE2A0E" w:rsidTr="00240385">
        <w:trPr>
          <w:cnfStyle w:val="000000100000"/>
          <w:trHeight w:val="611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Non-Hodgkin lymphomas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(0.75, 1.44)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1.06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(0.78, 1.44)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0.59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(0.42, 0.83)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0.65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(0.47, 0.89)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76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(0.52, 1.10)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(0.51, 1.07)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0.61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(0.45, 0.84)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0.68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(0.50, 0.94)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Current smoking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E61475" w:rsidRPr="00BE2A0E" w:rsidTr="00240385">
        <w:trPr>
          <w:cnfStyle w:val="000000100000"/>
          <w:trHeight w:val="440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Myeloma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3.01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(1.85, 4.90)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(0.80, 2.30)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(0.50, 1.37)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(0.53, 1.39)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49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5.69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(2.10, 15.14)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3.27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(0.94, 11.36)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(0.65, 2.58)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1.31 (0.71, 2.44)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 xml:space="preserve">Homosexual orientation  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cnfStyle w:val="000000100000"/>
          <w:trHeight w:val="485"/>
        </w:trPr>
        <w:tc>
          <w:tcPr>
            <w:cnfStyle w:val="001000000000"/>
            <w:tcW w:w="1368" w:type="dxa"/>
            <w:vMerge w:val="restart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 w:val="0"/>
                <w:sz w:val="24"/>
                <w:szCs w:val="24"/>
              </w:rPr>
              <w:t>Leukemia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0.57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(0.37, 0.88)</w:t>
            </w: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0.60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(0.39, 0.93)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1.14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(0.74, 1.76)</w:t>
            </w: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1.27 </w:t>
            </w:r>
          </w:p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(0.84, 1.94)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5" w:rsidRPr="00BE2A0E" w:rsidTr="00240385">
        <w:trPr>
          <w:trHeight w:val="431"/>
        </w:trPr>
        <w:tc>
          <w:tcPr>
            <w:cnfStyle w:val="001000000000"/>
            <w:tcW w:w="1368" w:type="dxa"/>
            <w:vMerge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0.51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(0.31, 0.84)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(0.30, 0.83)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(0.004, 0.56)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b/>
                <w:sz w:val="24"/>
                <w:szCs w:val="24"/>
              </w:rPr>
              <w:t>0.07 (0.01, 0.68)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Fruit and vegetable consumption</w:t>
            </w:r>
          </w:p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Poverty level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1475" w:rsidRPr="00BE2A0E" w:rsidRDefault="00E61475" w:rsidP="0091000A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A0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A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E2A0E">
        <w:rPr>
          <w:rFonts w:ascii="Times New Roman" w:hAnsi="Times New Roman" w:cs="Times New Roman"/>
          <w:sz w:val="24"/>
          <w:szCs w:val="24"/>
        </w:rPr>
        <w:t>Model</w:t>
      </w:r>
      <w:proofErr w:type="spellEnd"/>
      <w:proofErr w:type="gramEnd"/>
      <w:r w:rsidRPr="00BE2A0E">
        <w:rPr>
          <w:rFonts w:ascii="Times New Roman" w:hAnsi="Times New Roman" w:cs="Times New Roman"/>
          <w:sz w:val="24"/>
          <w:szCs w:val="24"/>
        </w:rPr>
        <w:t xml:space="preserve"> 1 includes terms for age category, gender, race/ethnicity, and United Health Fund neighborhood.</w:t>
      </w:r>
    </w:p>
    <w:p w:rsidR="00E61475" w:rsidRPr="00BE2A0E" w:rsidRDefault="00E61475" w:rsidP="009100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A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E2A0E">
        <w:rPr>
          <w:rFonts w:ascii="Times New Roman" w:hAnsi="Times New Roman" w:cs="Times New Roman"/>
          <w:sz w:val="24"/>
          <w:szCs w:val="24"/>
        </w:rPr>
        <w:t>Model</w:t>
      </w:r>
      <w:proofErr w:type="spellEnd"/>
      <w:proofErr w:type="gramEnd"/>
      <w:r w:rsidRPr="00BE2A0E">
        <w:rPr>
          <w:rFonts w:ascii="Times New Roman" w:hAnsi="Times New Roman" w:cs="Times New Roman"/>
          <w:sz w:val="24"/>
          <w:szCs w:val="24"/>
        </w:rPr>
        <w:t xml:space="preserve"> 2 includes terms for the four categories in Model 1 in addition to statistically significant Community Health Survey (CHS) variables.</w:t>
      </w:r>
    </w:p>
    <w:p w:rsidR="00E61475" w:rsidRDefault="00E61475" w:rsidP="0091000A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E61475" w:rsidRPr="000B333D" w:rsidRDefault="00E61475" w:rsidP="0091000A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533871" w:rsidRDefault="00533871" w:rsidP="0091000A">
      <w:pPr>
        <w:spacing w:line="480" w:lineRule="auto"/>
      </w:pPr>
    </w:p>
    <w:sectPr w:rsidR="00533871" w:rsidSect="00E614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475"/>
    <w:rsid w:val="00082860"/>
    <w:rsid w:val="00240385"/>
    <w:rsid w:val="00243240"/>
    <w:rsid w:val="00257611"/>
    <w:rsid w:val="003822C0"/>
    <w:rsid w:val="004510EC"/>
    <w:rsid w:val="00484532"/>
    <w:rsid w:val="004B208C"/>
    <w:rsid w:val="00533871"/>
    <w:rsid w:val="0054641E"/>
    <w:rsid w:val="006E6426"/>
    <w:rsid w:val="00792634"/>
    <w:rsid w:val="00843725"/>
    <w:rsid w:val="0091000A"/>
    <w:rsid w:val="00970E4A"/>
    <w:rsid w:val="009806B2"/>
    <w:rsid w:val="00A62648"/>
    <w:rsid w:val="00BE2A0E"/>
    <w:rsid w:val="00D023A8"/>
    <w:rsid w:val="00DB0750"/>
    <w:rsid w:val="00E61475"/>
    <w:rsid w:val="00EF29DE"/>
    <w:rsid w:val="00FB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614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nyc.gov/html/doh/downloads/pdf/survey/uhf_map_100604.pdf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ahashim:Documents:MenCanc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\users$\hashid02\NYCancerAtlas\IncidencePaper\MenCanc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Upper East Side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rrBars>
            <c:errBarType val="plus"/>
            <c:errValType val="cust"/>
            <c:plus>
              <c:numRef>
                <c:f>Sheet1!$J$2:$J$18</c:f>
                <c:numCache>
                  <c:formatCode>General</c:formatCode>
                  <c:ptCount val="17"/>
                  <c:pt idx="0">
                    <c:v>3.7</c:v>
                  </c:pt>
                  <c:pt idx="1">
                    <c:v>2.6</c:v>
                  </c:pt>
                  <c:pt idx="2">
                    <c:v>2.2999999999999998</c:v>
                  </c:pt>
                  <c:pt idx="3">
                    <c:v>5.2</c:v>
                  </c:pt>
                  <c:pt idx="4">
                    <c:v>4.5</c:v>
                  </c:pt>
                  <c:pt idx="5">
                    <c:v>2.7</c:v>
                  </c:pt>
                  <c:pt idx="6">
                    <c:v>3</c:v>
                  </c:pt>
                  <c:pt idx="7">
                    <c:v>3.6</c:v>
                  </c:pt>
                  <c:pt idx="8">
                    <c:v>2.1</c:v>
                  </c:pt>
                  <c:pt idx="9">
                    <c:v>5.9</c:v>
                  </c:pt>
                  <c:pt idx="10">
                    <c:v>6.3</c:v>
                  </c:pt>
                  <c:pt idx="11">
                    <c:v>10.5</c:v>
                  </c:pt>
                  <c:pt idx="12">
                    <c:v>3.4</c:v>
                  </c:pt>
                  <c:pt idx="13">
                    <c:v>5.6</c:v>
                  </c:pt>
                  <c:pt idx="14">
                    <c:v>3.7</c:v>
                  </c:pt>
                  <c:pt idx="15">
                    <c:v>2.8</c:v>
                  </c:pt>
                  <c:pt idx="16">
                    <c:v>3.2</c:v>
                  </c:pt>
                </c:numCache>
              </c:numRef>
            </c:plus>
            <c:minus>
              <c:numRef>
                <c:f>Sheet1!$J$2:$J$18</c:f>
                <c:numCache>
                  <c:formatCode>General</c:formatCode>
                  <c:ptCount val="17"/>
                  <c:pt idx="0">
                    <c:v>3.7</c:v>
                  </c:pt>
                  <c:pt idx="1">
                    <c:v>2.6</c:v>
                  </c:pt>
                  <c:pt idx="2">
                    <c:v>2.2999999999999998</c:v>
                  </c:pt>
                  <c:pt idx="3">
                    <c:v>5.2</c:v>
                  </c:pt>
                  <c:pt idx="4">
                    <c:v>4.5</c:v>
                  </c:pt>
                  <c:pt idx="5">
                    <c:v>2.7</c:v>
                  </c:pt>
                  <c:pt idx="6">
                    <c:v>3</c:v>
                  </c:pt>
                  <c:pt idx="7">
                    <c:v>3.6</c:v>
                  </c:pt>
                  <c:pt idx="8">
                    <c:v>2.1</c:v>
                  </c:pt>
                  <c:pt idx="9">
                    <c:v>5.9</c:v>
                  </c:pt>
                  <c:pt idx="10">
                    <c:v>6.3</c:v>
                  </c:pt>
                  <c:pt idx="11">
                    <c:v>10.5</c:v>
                  </c:pt>
                  <c:pt idx="12">
                    <c:v>3.4</c:v>
                  </c:pt>
                  <c:pt idx="13">
                    <c:v>5.6</c:v>
                  </c:pt>
                  <c:pt idx="14">
                    <c:v>3.7</c:v>
                  </c:pt>
                  <c:pt idx="15">
                    <c:v>2.8</c:v>
                  </c:pt>
                  <c:pt idx="16">
                    <c:v>3.2</c:v>
                  </c:pt>
                </c:numCache>
              </c:numRef>
            </c:minus>
          </c:errBars>
          <c:cat>
            <c:strRef>
              <c:f>Sheet1!$A$2:$A$22</c:f>
              <c:strCache>
                <c:ptCount val="21"/>
                <c:pt idx="0">
                  <c:v>Oral</c:v>
                </c:pt>
                <c:pt idx="1">
                  <c:v>Esophagus</c:v>
                </c:pt>
                <c:pt idx="2">
                  <c:v>Stomach</c:v>
                </c:pt>
                <c:pt idx="3">
                  <c:v>Colorectal</c:v>
                </c:pt>
                <c:pt idx="4">
                  <c:v>Colon</c:v>
                </c:pt>
                <c:pt idx="5">
                  <c:v>Rectum</c:v>
                </c:pt>
                <c:pt idx="6">
                  <c:v>Liver</c:v>
                </c:pt>
                <c:pt idx="7">
                  <c:v>Pancreas</c:v>
                </c:pt>
                <c:pt idx="8">
                  <c:v>Larynx</c:v>
                </c:pt>
                <c:pt idx="9">
                  <c:v>Lung</c:v>
                </c:pt>
                <c:pt idx="10">
                  <c:v>Melanoma</c:v>
                </c:pt>
                <c:pt idx="11">
                  <c:v>Prostate</c:v>
                </c:pt>
                <c:pt idx="12">
                  <c:v>Testis</c:v>
                </c:pt>
                <c:pt idx="13">
                  <c:v>Bladder</c:v>
                </c:pt>
                <c:pt idx="14">
                  <c:v>Kidney</c:v>
                </c:pt>
                <c:pt idx="15">
                  <c:v>Brain</c:v>
                </c:pt>
                <c:pt idx="16">
                  <c:v>Thyroid</c:v>
                </c:pt>
                <c:pt idx="17">
                  <c:v>Hodgkin's Lymphoma</c:v>
                </c:pt>
                <c:pt idx="18">
                  <c:v>Non-Hodgkin's Lymphoma</c:v>
                </c:pt>
                <c:pt idx="19">
                  <c:v>Myeloma</c:v>
                </c:pt>
                <c:pt idx="20">
                  <c:v>Leukemias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19.600000000000001</c:v>
                </c:pt>
                <c:pt idx="1">
                  <c:v>9.2000000000000011</c:v>
                </c:pt>
                <c:pt idx="2">
                  <c:v>7.8</c:v>
                </c:pt>
                <c:pt idx="3">
                  <c:v>38.300000000000004</c:v>
                </c:pt>
                <c:pt idx="4">
                  <c:v>27.3</c:v>
                </c:pt>
                <c:pt idx="5">
                  <c:v>10.9</c:v>
                </c:pt>
                <c:pt idx="6">
                  <c:v>12.5</c:v>
                </c:pt>
                <c:pt idx="7">
                  <c:v>18.600000000000001</c:v>
                </c:pt>
                <c:pt idx="8">
                  <c:v>6.2</c:v>
                </c:pt>
                <c:pt idx="9">
                  <c:v>49.6</c:v>
                </c:pt>
                <c:pt idx="10">
                  <c:v>54.8</c:v>
                </c:pt>
                <c:pt idx="11">
                  <c:v>162.30000000000001</c:v>
                </c:pt>
                <c:pt idx="12">
                  <c:v>11.9</c:v>
                </c:pt>
                <c:pt idx="13">
                  <c:v>44.1</c:v>
                </c:pt>
                <c:pt idx="14">
                  <c:v>19.3</c:v>
                </c:pt>
                <c:pt idx="15">
                  <c:v>9</c:v>
                </c:pt>
                <c:pt idx="16">
                  <c:v>12.9</c:v>
                </c:pt>
                <c:pt idx="17">
                  <c:v>5.0999999999999996</c:v>
                </c:pt>
                <c:pt idx="18">
                  <c:v>32.1</c:v>
                </c:pt>
                <c:pt idx="19">
                  <c:v>9.5</c:v>
                </c:pt>
                <c:pt idx="2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East Harlem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errBars>
            <c:errBarType val="plus"/>
            <c:errValType val="cust"/>
            <c:plus>
              <c:numRef>
                <c:f>Sheet1!$H$2:$H$22</c:f>
                <c:numCache>
                  <c:formatCode>General</c:formatCode>
                  <c:ptCount val="21"/>
                  <c:pt idx="0">
                    <c:v>5.7</c:v>
                  </c:pt>
                  <c:pt idx="1">
                    <c:v>4.2</c:v>
                  </c:pt>
                  <c:pt idx="2">
                    <c:v>5.2</c:v>
                  </c:pt>
                  <c:pt idx="3">
                    <c:v>10</c:v>
                  </c:pt>
                  <c:pt idx="4">
                    <c:v>8.8000000000000007</c:v>
                  </c:pt>
                  <c:pt idx="5">
                    <c:v>4.8</c:v>
                  </c:pt>
                  <c:pt idx="6">
                    <c:v>6.9</c:v>
                  </c:pt>
                  <c:pt idx="7">
                    <c:v>5.4</c:v>
                  </c:pt>
                  <c:pt idx="8">
                    <c:v>4.0999999999999996</c:v>
                  </c:pt>
                  <c:pt idx="9">
                    <c:v>12.3</c:v>
                  </c:pt>
                  <c:pt idx="10">
                    <c:v>2.4</c:v>
                  </c:pt>
                  <c:pt idx="11">
                    <c:v>17.2</c:v>
                  </c:pt>
                  <c:pt idx="12">
                    <c:v>1.8</c:v>
                  </c:pt>
                  <c:pt idx="13">
                    <c:v>6.3</c:v>
                  </c:pt>
                  <c:pt idx="14">
                    <c:v>6.1</c:v>
                  </c:pt>
                  <c:pt idx="15">
                    <c:v>2.6</c:v>
                  </c:pt>
                  <c:pt idx="16">
                    <c:v>3.1</c:v>
                  </c:pt>
                  <c:pt idx="17">
                    <c:v>2.7</c:v>
                  </c:pt>
                  <c:pt idx="18">
                    <c:v>6.1</c:v>
                  </c:pt>
                  <c:pt idx="19">
                    <c:v>4.7</c:v>
                  </c:pt>
                  <c:pt idx="20">
                    <c:v>5.2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Sheet1!$A$2:$A$22</c:f>
              <c:strCache>
                <c:ptCount val="21"/>
                <c:pt idx="0">
                  <c:v>Oral</c:v>
                </c:pt>
                <c:pt idx="1">
                  <c:v>Esophagus</c:v>
                </c:pt>
                <c:pt idx="2">
                  <c:v>Stomach</c:v>
                </c:pt>
                <c:pt idx="3">
                  <c:v>Colorectal</c:v>
                </c:pt>
                <c:pt idx="4">
                  <c:v>Colon</c:v>
                </c:pt>
                <c:pt idx="5">
                  <c:v>Rectum</c:v>
                </c:pt>
                <c:pt idx="6">
                  <c:v>Liver</c:v>
                </c:pt>
                <c:pt idx="7">
                  <c:v>Pancreas</c:v>
                </c:pt>
                <c:pt idx="8">
                  <c:v>Larynx</c:v>
                </c:pt>
                <c:pt idx="9">
                  <c:v>Lung</c:v>
                </c:pt>
                <c:pt idx="10">
                  <c:v>Melanoma</c:v>
                </c:pt>
                <c:pt idx="11">
                  <c:v>Prostate</c:v>
                </c:pt>
                <c:pt idx="12">
                  <c:v>Testis</c:v>
                </c:pt>
                <c:pt idx="13">
                  <c:v>Bladder</c:v>
                </c:pt>
                <c:pt idx="14">
                  <c:v>Kidney</c:v>
                </c:pt>
                <c:pt idx="15">
                  <c:v>Brain</c:v>
                </c:pt>
                <c:pt idx="16">
                  <c:v>Thyroid</c:v>
                </c:pt>
                <c:pt idx="17">
                  <c:v>Hodgkin's Lymphoma</c:v>
                </c:pt>
                <c:pt idx="18">
                  <c:v>Non-Hodgkin's Lymphoma</c:v>
                </c:pt>
                <c:pt idx="19">
                  <c:v>Myeloma</c:v>
                </c:pt>
                <c:pt idx="20">
                  <c:v>Leukemias</c:v>
                </c:pt>
              </c:strCache>
            </c:str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17.5</c:v>
                </c:pt>
                <c:pt idx="1">
                  <c:v>9.1</c:v>
                </c:pt>
                <c:pt idx="2">
                  <c:v>14.2</c:v>
                </c:pt>
                <c:pt idx="3">
                  <c:v>54.5</c:v>
                </c:pt>
                <c:pt idx="4">
                  <c:v>41.4</c:v>
                </c:pt>
                <c:pt idx="5">
                  <c:v>13.2</c:v>
                </c:pt>
                <c:pt idx="6">
                  <c:v>27.3</c:v>
                </c:pt>
                <c:pt idx="7">
                  <c:v>16</c:v>
                </c:pt>
                <c:pt idx="8">
                  <c:v>9.4</c:v>
                </c:pt>
                <c:pt idx="9">
                  <c:v>81.3</c:v>
                </c:pt>
                <c:pt idx="10">
                  <c:v>3.3</c:v>
                </c:pt>
                <c:pt idx="11">
                  <c:v>161.30000000000001</c:v>
                </c:pt>
                <c:pt idx="12">
                  <c:v>2.8</c:v>
                </c:pt>
                <c:pt idx="13">
                  <c:v>21</c:v>
                </c:pt>
                <c:pt idx="14">
                  <c:v>20.8</c:v>
                </c:pt>
                <c:pt idx="15">
                  <c:v>4.5</c:v>
                </c:pt>
                <c:pt idx="16">
                  <c:v>5.2</c:v>
                </c:pt>
                <c:pt idx="17">
                  <c:v>5.6</c:v>
                </c:pt>
                <c:pt idx="18">
                  <c:v>21.5</c:v>
                </c:pt>
                <c:pt idx="19">
                  <c:v>11.9</c:v>
                </c:pt>
                <c:pt idx="20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Central Harlem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plus"/>
            <c:errValType val="cust"/>
            <c:plus>
              <c:numRef>
                <c:f>Sheet1!$I$2:$I$18</c:f>
                <c:numCache>
                  <c:formatCode>General</c:formatCode>
                  <c:ptCount val="17"/>
                  <c:pt idx="0">
                    <c:v>4.5</c:v>
                  </c:pt>
                  <c:pt idx="1">
                    <c:v>2.9</c:v>
                  </c:pt>
                  <c:pt idx="2">
                    <c:v>5</c:v>
                  </c:pt>
                  <c:pt idx="3">
                    <c:v>8.2000000000000011</c:v>
                  </c:pt>
                  <c:pt idx="4">
                    <c:v>6.9</c:v>
                  </c:pt>
                  <c:pt idx="5">
                    <c:v>4.5</c:v>
                  </c:pt>
                  <c:pt idx="6">
                    <c:v>5.6</c:v>
                  </c:pt>
                  <c:pt idx="7">
                    <c:v>4.5999999999999996</c:v>
                  </c:pt>
                  <c:pt idx="8">
                    <c:v>3</c:v>
                  </c:pt>
                  <c:pt idx="9">
                    <c:v>10.4</c:v>
                  </c:pt>
                  <c:pt idx="10">
                    <c:v>2.4</c:v>
                  </c:pt>
                  <c:pt idx="11">
                    <c:v>16.100000000000001</c:v>
                  </c:pt>
                  <c:pt idx="12">
                    <c:v>1.8</c:v>
                  </c:pt>
                  <c:pt idx="13">
                    <c:v>5</c:v>
                  </c:pt>
                  <c:pt idx="14">
                    <c:v>4.4000000000000004</c:v>
                  </c:pt>
                  <c:pt idx="15">
                    <c:v>2.1</c:v>
                  </c:pt>
                  <c:pt idx="16">
                    <c:v>2.2000000000000002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Sheet1!$A$2:$A$22</c:f>
              <c:strCache>
                <c:ptCount val="21"/>
                <c:pt idx="0">
                  <c:v>Oral</c:v>
                </c:pt>
                <c:pt idx="1">
                  <c:v>Esophagus</c:v>
                </c:pt>
                <c:pt idx="2">
                  <c:v>Stomach</c:v>
                </c:pt>
                <c:pt idx="3">
                  <c:v>Colorectal</c:v>
                </c:pt>
                <c:pt idx="4">
                  <c:v>Colon</c:v>
                </c:pt>
                <c:pt idx="5">
                  <c:v>Rectum</c:v>
                </c:pt>
                <c:pt idx="6">
                  <c:v>Liver</c:v>
                </c:pt>
                <c:pt idx="7">
                  <c:v>Pancreas</c:v>
                </c:pt>
                <c:pt idx="8">
                  <c:v>Larynx</c:v>
                </c:pt>
                <c:pt idx="9">
                  <c:v>Lung</c:v>
                </c:pt>
                <c:pt idx="10">
                  <c:v>Melanoma</c:v>
                </c:pt>
                <c:pt idx="11">
                  <c:v>Prostate</c:v>
                </c:pt>
                <c:pt idx="12">
                  <c:v>Testis</c:v>
                </c:pt>
                <c:pt idx="13">
                  <c:v>Bladder</c:v>
                </c:pt>
                <c:pt idx="14">
                  <c:v>Kidney</c:v>
                </c:pt>
                <c:pt idx="15">
                  <c:v>Brain</c:v>
                </c:pt>
                <c:pt idx="16">
                  <c:v>Thyroid</c:v>
                </c:pt>
                <c:pt idx="17">
                  <c:v>Hodgkin's Lymphoma</c:v>
                </c:pt>
                <c:pt idx="18">
                  <c:v>Non-Hodgkin's Lymphoma</c:v>
                </c:pt>
                <c:pt idx="19">
                  <c:v>Myeloma</c:v>
                </c:pt>
                <c:pt idx="20">
                  <c:v>Leukemias</c:v>
                </c:pt>
              </c:strCache>
            </c:strRef>
          </c:cat>
          <c:val>
            <c:numRef>
              <c:f>Sheet1!$D$2:$D$22</c:f>
              <c:numCache>
                <c:formatCode>General</c:formatCode>
                <c:ptCount val="21"/>
                <c:pt idx="0">
                  <c:v>16.8</c:v>
                </c:pt>
                <c:pt idx="1">
                  <c:v>6.9</c:v>
                </c:pt>
                <c:pt idx="2">
                  <c:v>18.100000000000001</c:v>
                </c:pt>
                <c:pt idx="3">
                  <c:v>52.2</c:v>
                </c:pt>
                <c:pt idx="4">
                  <c:v>35.300000000000004</c:v>
                </c:pt>
                <c:pt idx="5">
                  <c:v>16.899999999999999</c:v>
                </c:pt>
                <c:pt idx="6">
                  <c:v>26.4</c:v>
                </c:pt>
                <c:pt idx="7">
                  <c:v>16.899999999999999</c:v>
                </c:pt>
                <c:pt idx="8">
                  <c:v>7.2</c:v>
                </c:pt>
                <c:pt idx="9">
                  <c:v>82.6</c:v>
                </c:pt>
                <c:pt idx="10">
                  <c:v>4.7</c:v>
                </c:pt>
                <c:pt idx="11">
                  <c:v>203</c:v>
                </c:pt>
                <c:pt idx="12">
                  <c:v>3.3</c:v>
                </c:pt>
                <c:pt idx="13">
                  <c:v>18.8</c:v>
                </c:pt>
                <c:pt idx="14">
                  <c:v>15</c:v>
                </c:pt>
                <c:pt idx="15">
                  <c:v>3.7</c:v>
                </c:pt>
                <c:pt idx="16">
                  <c:v>4.5999999999999996</c:v>
                </c:pt>
                <c:pt idx="17">
                  <c:v>4</c:v>
                </c:pt>
                <c:pt idx="18">
                  <c:v>22.8</c:v>
                </c:pt>
                <c:pt idx="19">
                  <c:v>13.8</c:v>
                </c:pt>
                <c:pt idx="20">
                  <c:v>14.4</c:v>
                </c:pt>
              </c:numCache>
            </c:numRef>
          </c:val>
        </c:ser>
        <c:axId val="82157952"/>
        <c:axId val="82159488"/>
      </c:barChart>
      <c:catAx>
        <c:axId val="82157952"/>
        <c:scaling>
          <c:orientation val="minMax"/>
        </c:scaling>
        <c:axPos val="b"/>
        <c:tickLblPos val="nextTo"/>
        <c:crossAx val="82159488"/>
        <c:crosses val="autoZero"/>
        <c:auto val="1"/>
        <c:lblAlgn val="ctr"/>
        <c:lblOffset val="100"/>
      </c:catAx>
      <c:valAx>
        <c:axId val="82159488"/>
        <c:scaling>
          <c:orientation val="minMax"/>
          <c:max val="22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/>
                    <a:cs typeface="Times New Roman"/>
                  </a:defRPr>
                </a:pPr>
                <a:r>
                  <a:rPr lang="en-US" sz="1200" b="0">
                    <a:latin typeface="Times New Roman"/>
                    <a:cs typeface="Times New Roman"/>
                  </a:rPr>
                  <a:t>Standardized</a:t>
                </a:r>
                <a:r>
                  <a:rPr lang="en-US" sz="1200" b="0" baseline="0">
                    <a:latin typeface="Times New Roman"/>
                    <a:cs typeface="Times New Roman"/>
                  </a:rPr>
                  <a:t> cancer i</a:t>
                </a:r>
                <a:r>
                  <a:rPr lang="en-US" sz="1200" b="0">
                    <a:latin typeface="Times New Roman"/>
                    <a:cs typeface="Times New Roman"/>
                  </a:rPr>
                  <a:t>ncidence</a:t>
                </a:r>
                <a:r>
                  <a:rPr lang="en-US" sz="1200" b="0" baseline="0">
                    <a:latin typeface="Times New Roman"/>
                    <a:cs typeface="Times New Roman"/>
                  </a:rPr>
                  <a:t> per 100,000 males</a:t>
                </a:r>
                <a:endParaRPr lang="en-US" sz="1200" b="0">
                  <a:latin typeface="Times New Roman"/>
                  <a:cs typeface="Times New Roman"/>
                </a:endParaRPr>
              </a:p>
            </c:rich>
          </c:tx>
          <c:layout/>
        </c:title>
        <c:numFmt formatCode="General" sourceLinked="1"/>
        <c:tickLblPos val="nextTo"/>
        <c:crossAx val="82157952"/>
        <c:crosses val="autoZero"/>
        <c:crossBetween val="between"/>
        <c:majorUnit val="25"/>
      </c:valAx>
    </c:plotArea>
    <c:legend>
      <c:legendPos val="b"/>
      <c:layout/>
      <c:txPr>
        <a:bodyPr/>
        <a:lstStyle/>
        <a:p>
          <a:pPr>
            <a:defRPr sz="1000">
              <a:latin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fem!$B$1</c:f>
              <c:strCache>
                <c:ptCount val="1"/>
                <c:pt idx="0">
                  <c:v>Upper East Side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rrBars>
            <c:errBarType val="plus"/>
            <c:errValType val="cust"/>
            <c:plus>
              <c:numRef>
                <c:f>fem!$H$2:$H$24</c:f>
                <c:numCache>
                  <c:formatCode>General</c:formatCode>
                  <c:ptCount val="23"/>
                  <c:pt idx="0">
                    <c:v>1.8</c:v>
                  </c:pt>
                  <c:pt idx="1">
                    <c:v>1.3</c:v>
                  </c:pt>
                  <c:pt idx="2">
                    <c:v>1.3</c:v>
                  </c:pt>
                  <c:pt idx="3">
                    <c:v>4.2</c:v>
                  </c:pt>
                  <c:pt idx="4">
                    <c:v>3.6</c:v>
                  </c:pt>
                  <c:pt idx="5">
                    <c:v>2.2000000000000002</c:v>
                  </c:pt>
                  <c:pt idx="6">
                    <c:v>1.6</c:v>
                  </c:pt>
                  <c:pt idx="7">
                    <c:v>2.7</c:v>
                  </c:pt>
                  <c:pt idx="8">
                    <c:v>0.70000000000000062</c:v>
                  </c:pt>
                  <c:pt idx="9">
                    <c:v>5.3</c:v>
                  </c:pt>
                  <c:pt idx="10">
                    <c:v>4.4000000000000004</c:v>
                  </c:pt>
                  <c:pt idx="11">
                    <c:v>9.4</c:v>
                  </c:pt>
                  <c:pt idx="12">
                    <c:v>1.6</c:v>
                  </c:pt>
                  <c:pt idx="13">
                    <c:v>4</c:v>
                  </c:pt>
                  <c:pt idx="14">
                    <c:v>3</c:v>
                  </c:pt>
                  <c:pt idx="15">
                    <c:v>2.4</c:v>
                  </c:pt>
                  <c:pt idx="16">
                    <c:v>2</c:v>
                  </c:pt>
                  <c:pt idx="17">
                    <c:v>2.2999999999999998</c:v>
                  </c:pt>
                  <c:pt idx="18">
                    <c:v>4.4000000000000004</c:v>
                  </c:pt>
                  <c:pt idx="19">
                    <c:v>1.5</c:v>
                  </c:pt>
                  <c:pt idx="20">
                    <c:v>3.4</c:v>
                  </c:pt>
                  <c:pt idx="21">
                    <c:v>1.5</c:v>
                  </c:pt>
                  <c:pt idx="22">
                    <c:v>2.6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fem!$A$2:$A$24</c:f>
              <c:strCache>
                <c:ptCount val="23"/>
                <c:pt idx="0">
                  <c:v>Oral</c:v>
                </c:pt>
                <c:pt idx="1">
                  <c:v>Esophagus</c:v>
                </c:pt>
                <c:pt idx="2">
                  <c:v>Stomach</c:v>
                </c:pt>
                <c:pt idx="3">
                  <c:v>Colorectal</c:v>
                </c:pt>
                <c:pt idx="4">
                  <c:v>Colon</c:v>
                </c:pt>
                <c:pt idx="5">
                  <c:v>Rectum</c:v>
                </c:pt>
                <c:pt idx="6">
                  <c:v>Liver</c:v>
                </c:pt>
                <c:pt idx="7">
                  <c:v>Pancreas</c:v>
                </c:pt>
                <c:pt idx="8">
                  <c:v>Larynx</c:v>
                </c:pt>
                <c:pt idx="9">
                  <c:v>Lung</c:v>
                </c:pt>
                <c:pt idx="10">
                  <c:v>Melanoma</c:v>
                </c:pt>
                <c:pt idx="11">
                  <c:v>Breast</c:v>
                </c:pt>
                <c:pt idx="12">
                  <c:v>Cervix</c:v>
                </c:pt>
                <c:pt idx="13">
                  <c:v>Uterus</c:v>
                </c:pt>
                <c:pt idx="14">
                  <c:v>Ovary</c:v>
                </c:pt>
                <c:pt idx="15">
                  <c:v>Bladder</c:v>
                </c:pt>
                <c:pt idx="16">
                  <c:v>Kidney</c:v>
                </c:pt>
                <c:pt idx="17">
                  <c:v>Brain</c:v>
                </c:pt>
                <c:pt idx="18">
                  <c:v>Thyroid</c:v>
                </c:pt>
                <c:pt idx="19">
                  <c:v>Hodgkins Lymphoma</c:v>
                </c:pt>
                <c:pt idx="20">
                  <c:v>Non-Hodgkins Lymphoma</c:v>
                </c:pt>
                <c:pt idx="21">
                  <c:v>Myeloma</c:v>
                </c:pt>
                <c:pt idx="22">
                  <c:v>Leukemias</c:v>
                </c:pt>
              </c:strCache>
            </c:strRef>
          </c:cat>
          <c:val>
            <c:numRef>
              <c:f>fem!$B$2:$B$24</c:f>
              <c:numCache>
                <c:formatCode>General</c:formatCode>
                <c:ptCount val="23"/>
                <c:pt idx="0">
                  <c:v>6.3</c:v>
                </c:pt>
                <c:pt idx="1">
                  <c:v>3.5</c:v>
                </c:pt>
                <c:pt idx="2">
                  <c:v>3.4</c:v>
                </c:pt>
                <c:pt idx="3">
                  <c:v>34.6</c:v>
                </c:pt>
                <c:pt idx="4">
                  <c:v>25.6</c:v>
                </c:pt>
                <c:pt idx="5">
                  <c:v>9</c:v>
                </c:pt>
                <c:pt idx="6">
                  <c:v>4.0999999999999996</c:v>
                </c:pt>
                <c:pt idx="7">
                  <c:v>13.9</c:v>
                </c:pt>
                <c:pt idx="8">
                  <c:v>1</c:v>
                </c:pt>
                <c:pt idx="9">
                  <c:v>54.4</c:v>
                </c:pt>
                <c:pt idx="10">
                  <c:v>32.800000000000004</c:v>
                </c:pt>
                <c:pt idx="11">
                  <c:v>165.9</c:v>
                </c:pt>
                <c:pt idx="12">
                  <c:v>4.5</c:v>
                </c:pt>
                <c:pt idx="13">
                  <c:v>31.3</c:v>
                </c:pt>
                <c:pt idx="14">
                  <c:v>16.3</c:v>
                </c:pt>
                <c:pt idx="15">
                  <c:v>11.5</c:v>
                </c:pt>
                <c:pt idx="16">
                  <c:v>7.6</c:v>
                </c:pt>
                <c:pt idx="17">
                  <c:v>7.3</c:v>
                </c:pt>
                <c:pt idx="18">
                  <c:v>31.9</c:v>
                </c:pt>
                <c:pt idx="19">
                  <c:v>3.2</c:v>
                </c:pt>
                <c:pt idx="20">
                  <c:v>21.3</c:v>
                </c:pt>
                <c:pt idx="21">
                  <c:v>4.4000000000000004</c:v>
                </c:pt>
                <c:pt idx="22">
                  <c:v>11.4</c:v>
                </c:pt>
              </c:numCache>
            </c:numRef>
          </c:val>
        </c:ser>
        <c:ser>
          <c:idx val="1"/>
          <c:order val="1"/>
          <c:tx>
            <c:strRef>
              <c:f>fem!$C$1</c:f>
              <c:strCache>
                <c:ptCount val="1"/>
                <c:pt idx="0">
                  <c:v>East Harlem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errBars>
            <c:errBarType val="plus"/>
            <c:errValType val="cust"/>
            <c:plus>
              <c:numRef>
                <c:f>fem!$F$2:$F$24</c:f>
                <c:numCache>
                  <c:formatCode>General</c:formatCode>
                  <c:ptCount val="23"/>
                  <c:pt idx="0">
                    <c:v>2.8</c:v>
                  </c:pt>
                  <c:pt idx="1">
                    <c:v>1.4</c:v>
                  </c:pt>
                  <c:pt idx="2">
                    <c:v>3.5</c:v>
                  </c:pt>
                  <c:pt idx="3">
                    <c:v>6.4</c:v>
                  </c:pt>
                  <c:pt idx="4">
                    <c:v>5.6</c:v>
                  </c:pt>
                  <c:pt idx="5">
                    <c:v>3</c:v>
                  </c:pt>
                  <c:pt idx="6">
                    <c:v>3</c:v>
                  </c:pt>
                  <c:pt idx="7">
                    <c:v>4.0999999999999996</c:v>
                  </c:pt>
                  <c:pt idx="8">
                    <c:v>1.6</c:v>
                  </c:pt>
                  <c:pt idx="9">
                    <c:v>7.4</c:v>
                  </c:pt>
                  <c:pt idx="10">
                    <c:v>1.7</c:v>
                  </c:pt>
                  <c:pt idx="11">
                    <c:v>12.2</c:v>
                  </c:pt>
                  <c:pt idx="12">
                    <c:v>3.4</c:v>
                  </c:pt>
                  <c:pt idx="13">
                    <c:v>5.9</c:v>
                  </c:pt>
                  <c:pt idx="14">
                    <c:v>3.4</c:v>
                  </c:pt>
                  <c:pt idx="15">
                    <c:v>2</c:v>
                  </c:pt>
                  <c:pt idx="16">
                    <c:v>3.9</c:v>
                  </c:pt>
                  <c:pt idx="17">
                    <c:v>1.6</c:v>
                  </c:pt>
                  <c:pt idx="18">
                    <c:v>4.4000000000000004</c:v>
                  </c:pt>
                  <c:pt idx="19">
                    <c:v>2</c:v>
                  </c:pt>
                  <c:pt idx="20">
                    <c:v>4</c:v>
                  </c:pt>
                  <c:pt idx="21">
                    <c:v>2.6</c:v>
                  </c:pt>
                  <c:pt idx="22">
                    <c:v>3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fem!$A$2:$A$24</c:f>
              <c:strCache>
                <c:ptCount val="23"/>
                <c:pt idx="0">
                  <c:v>Oral</c:v>
                </c:pt>
                <c:pt idx="1">
                  <c:v>Esophagus</c:v>
                </c:pt>
                <c:pt idx="2">
                  <c:v>Stomach</c:v>
                </c:pt>
                <c:pt idx="3">
                  <c:v>Colorectal</c:v>
                </c:pt>
                <c:pt idx="4">
                  <c:v>Colon</c:v>
                </c:pt>
                <c:pt idx="5">
                  <c:v>Rectum</c:v>
                </c:pt>
                <c:pt idx="6">
                  <c:v>Liver</c:v>
                </c:pt>
                <c:pt idx="7">
                  <c:v>Pancreas</c:v>
                </c:pt>
                <c:pt idx="8">
                  <c:v>Larynx</c:v>
                </c:pt>
                <c:pt idx="9">
                  <c:v>Lung</c:v>
                </c:pt>
                <c:pt idx="10">
                  <c:v>Melanoma</c:v>
                </c:pt>
                <c:pt idx="11">
                  <c:v>Breast</c:v>
                </c:pt>
                <c:pt idx="12">
                  <c:v>Cervix</c:v>
                </c:pt>
                <c:pt idx="13">
                  <c:v>Uterus</c:v>
                </c:pt>
                <c:pt idx="14">
                  <c:v>Ovary</c:v>
                </c:pt>
                <c:pt idx="15">
                  <c:v>Bladder</c:v>
                </c:pt>
                <c:pt idx="16">
                  <c:v>Kidney</c:v>
                </c:pt>
                <c:pt idx="17">
                  <c:v>Brain</c:v>
                </c:pt>
                <c:pt idx="18">
                  <c:v>Thyroid</c:v>
                </c:pt>
                <c:pt idx="19">
                  <c:v>Hodgkins Lymphoma</c:v>
                </c:pt>
                <c:pt idx="20">
                  <c:v>Non-Hodgkins Lymphoma</c:v>
                </c:pt>
                <c:pt idx="21">
                  <c:v>Myeloma</c:v>
                </c:pt>
                <c:pt idx="22">
                  <c:v>Leukemias</c:v>
                </c:pt>
              </c:strCache>
            </c:strRef>
          </c:cat>
          <c:val>
            <c:numRef>
              <c:f>fem!$C$2:$C$24</c:f>
              <c:numCache>
                <c:formatCode>General</c:formatCode>
                <c:ptCount val="23"/>
                <c:pt idx="0">
                  <c:v>6.4</c:v>
                </c:pt>
                <c:pt idx="1">
                  <c:v>1.8</c:v>
                </c:pt>
                <c:pt idx="2">
                  <c:v>10.200000000000001</c:v>
                </c:pt>
                <c:pt idx="3">
                  <c:v>33.9</c:v>
                </c:pt>
                <c:pt idx="4">
                  <c:v>26.3</c:v>
                </c:pt>
                <c:pt idx="5">
                  <c:v>7.6</c:v>
                </c:pt>
                <c:pt idx="6">
                  <c:v>7.5</c:v>
                </c:pt>
                <c:pt idx="7">
                  <c:v>14.1</c:v>
                </c:pt>
                <c:pt idx="8">
                  <c:v>2</c:v>
                </c:pt>
                <c:pt idx="9">
                  <c:v>45</c:v>
                </c:pt>
                <c:pt idx="10">
                  <c:v>2.2999999999999998</c:v>
                </c:pt>
                <c:pt idx="11">
                  <c:v>117.8</c:v>
                </c:pt>
                <c:pt idx="12">
                  <c:v>8.6</c:v>
                </c:pt>
                <c:pt idx="13">
                  <c:v>28.1</c:v>
                </c:pt>
                <c:pt idx="14">
                  <c:v>9.5</c:v>
                </c:pt>
                <c:pt idx="15">
                  <c:v>3.3</c:v>
                </c:pt>
                <c:pt idx="16">
                  <c:v>11.9</c:v>
                </c:pt>
                <c:pt idx="17">
                  <c:v>1.9000000000000001</c:v>
                </c:pt>
                <c:pt idx="18">
                  <c:v>14.8</c:v>
                </c:pt>
                <c:pt idx="19">
                  <c:v>3.1</c:v>
                </c:pt>
                <c:pt idx="20">
                  <c:v>12.6</c:v>
                </c:pt>
                <c:pt idx="21">
                  <c:v>6.1</c:v>
                </c:pt>
                <c:pt idx="22">
                  <c:v>7.2</c:v>
                </c:pt>
              </c:numCache>
            </c:numRef>
          </c:val>
        </c:ser>
        <c:ser>
          <c:idx val="2"/>
          <c:order val="2"/>
          <c:tx>
            <c:strRef>
              <c:f>fem!$D$1</c:f>
              <c:strCache>
                <c:ptCount val="1"/>
                <c:pt idx="0">
                  <c:v>Central Harlem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plus"/>
            <c:errValType val="cust"/>
            <c:plus>
              <c:numRef>
                <c:f>fem!$G$2:$G$24</c:f>
                <c:numCache>
                  <c:formatCode>General</c:formatCode>
                  <c:ptCount val="23"/>
                  <c:pt idx="0">
                    <c:v>2.5</c:v>
                  </c:pt>
                  <c:pt idx="1">
                    <c:v>1.5</c:v>
                  </c:pt>
                  <c:pt idx="2">
                    <c:v>2.7</c:v>
                  </c:pt>
                  <c:pt idx="3">
                    <c:v>6.1</c:v>
                  </c:pt>
                  <c:pt idx="4">
                    <c:v>5.2</c:v>
                  </c:pt>
                  <c:pt idx="5">
                    <c:v>3.2</c:v>
                  </c:pt>
                  <c:pt idx="6">
                    <c:v>2.6</c:v>
                  </c:pt>
                  <c:pt idx="7">
                    <c:v>3.5</c:v>
                  </c:pt>
                  <c:pt idx="8">
                    <c:v>1.6</c:v>
                  </c:pt>
                  <c:pt idx="9">
                    <c:v>6.8</c:v>
                  </c:pt>
                  <c:pt idx="10">
                    <c:v>1.7</c:v>
                  </c:pt>
                  <c:pt idx="11">
                    <c:v>10.6</c:v>
                  </c:pt>
                  <c:pt idx="12">
                    <c:v>2.9</c:v>
                  </c:pt>
                  <c:pt idx="13">
                    <c:v>5</c:v>
                  </c:pt>
                  <c:pt idx="14">
                    <c:v>2.9</c:v>
                  </c:pt>
                  <c:pt idx="15">
                    <c:v>2.2000000000000002</c:v>
                  </c:pt>
                  <c:pt idx="16">
                    <c:v>2.5</c:v>
                  </c:pt>
                  <c:pt idx="17">
                    <c:v>2</c:v>
                  </c:pt>
                  <c:pt idx="18">
                    <c:v>3.8</c:v>
                  </c:pt>
                  <c:pt idx="19">
                    <c:v>1.6</c:v>
                  </c:pt>
                  <c:pt idx="20">
                    <c:v>3.4</c:v>
                  </c:pt>
                  <c:pt idx="21">
                    <c:v>2.9</c:v>
                  </c:pt>
                  <c:pt idx="22">
                    <c:v>2.9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fem!$A$2:$A$24</c:f>
              <c:strCache>
                <c:ptCount val="23"/>
                <c:pt idx="0">
                  <c:v>Oral</c:v>
                </c:pt>
                <c:pt idx="1">
                  <c:v>Esophagus</c:v>
                </c:pt>
                <c:pt idx="2">
                  <c:v>Stomach</c:v>
                </c:pt>
                <c:pt idx="3">
                  <c:v>Colorectal</c:v>
                </c:pt>
                <c:pt idx="4">
                  <c:v>Colon</c:v>
                </c:pt>
                <c:pt idx="5">
                  <c:v>Rectum</c:v>
                </c:pt>
                <c:pt idx="6">
                  <c:v>Liver</c:v>
                </c:pt>
                <c:pt idx="7">
                  <c:v>Pancreas</c:v>
                </c:pt>
                <c:pt idx="8">
                  <c:v>Larynx</c:v>
                </c:pt>
                <c:pt idx="9">
                  <c:v>Lung</c:v>
                </c:pt>
                <c:pt idx="10">
                  <c:v>Melanoma</c:v>
                </c:pt>
                <c:pt idx="11">
                  <c:v>Breast</c:v>
                </c:pt>
                <c:pt idx="12">
                  <c:v>Cervix</c:v>
                </c:pt>
                <c:pt idx="13">
                  <c:v>Uterus</c:v>
                </c:pt>
                <c:pt idx="14">
                  <c:v>Ovary</c:v>
                </c:pt>
                <c:pt idx="15">
                  <c:v>Bladder</c:v>
                </c:pt>
                <c:pt idx="16">
                  <c:v>Kidney</c:v>
                </c:pt>
                <c:pt idx="17">
                  <c:v>Brain</c:v>
                </c:pt>
                <c:pt idx="18">
                  <c:v>Thyroid</c:v>
                </c:pt>
                <c:pt idx="19">
                  <c:v>Hodgkins Lymphoma</c:v>
                </c:pt>
                <c:pt idx="20">
                  <c:v>Non-Hodgkins Lymphoma</c:v>
                </c:pt>
                <c:pt idx="21">
                  <c:v>Myeloma</c:v>
                </c:pt>
                <c:pt idx="22">
                  <c:v>Leukemias</c:v>
                </c:pt>
              </c:strCache>
            </c:strRef>
          </c:cat>
          <c:val>
            <c:numRef>
              <c:f>fem!$D$2:$D$24</c:f>
              <c:numCache>
                <c:formatCode>General</c:formatCode>
                <c:ptCount val="23"/>
                <c:pt idx="0">
                  <c:v>7.4</c:v>
                </c:pt>
                <c:pt idx="1">
                  <c:v>2.6</c:v>
                </c:pt>
                <c:pt idx="2">
                  <c:v>8.6</c:v>
                </c:pt>
                <c:pt idx="3">
                  <c:v>43.9</c:v>
                </c:pt>
                <c:pt idx="4">
                  <c:v>32.4</c:v>
                </c:pt>
                <c:pt idx="5">
                  <c:v>11.5</c:v>
                </c:pt>
                <c:pt idx="6">
                  <c:v>8.1</c:v>
                </c:pt>
                <c:pt idx="7">
                  <c:v>14.6</c:v>
                </c:pt>
                <c:pt idx="8">
                  <c:v>2.8</c:v>
                </c:pt>
                <c:pt idx="9">
                  <c:v>53.5</c:v>
                </c:pt>
                <c:pt idx="10">
                  <c:v>3.6</c:v>
                </c:pt>
                <c:pt idx="11">
                  <c:v>129.19999999999999</c:v>
                </c:pt>
                <c:pt idx="12">
                  <c:v>9.8000000000000007</c:v>
                </c:pt>
                <c:pt idx="13">
                  <c:v>29.1</c:v>
                </c:pt>
                <c:pt idx="14">
                  <c:v>9.8000000000000007</c:v>
                </c:pt>
                <c:pt idx="15">
                  <c:v>5.8</c:v>
                </c:pt>
                <c:pt idx="16">
                  <c:v>6.9</c:v>
                </c:pt>
                <c:pt idx="17">
                  <c:v>4.3</c:v>
                </c:pt>
                <c:pt idx="18">
                  <c:v>16.600000000000001</c:v>
                </c:pt>
                <c:pt idx="19">
                  <c:v>3.2</c:v>
                </c:pt>
                <c:pt idx="20">
                  <c:v>13.1</c:v>
                </c:pt>
                <c:pt idx="21">
                  <c:v>9.9</c:v>
                </c:pt>
                <c:pt idx="22">
                  <c:v>9.4</c:v>
                </c:pt>
              </c:numCache>
            </c:numRef>
          </c:val>
        </c:ser>
        <c:axId val="82769408"/>
        <c:axId val="82770944"/>
      </c:barChart>
      <c:catAx>
        <c:axId val="82769408"/>
        <c:scaling>
          <c:orientation val="minMax"/>
        </c:scaling>
        <c:axPos val="b"/>
        <c:tickLblPos val="nextTo"/>
        <c:crossAx val="82770944"/>
        <c:crosses val="autoZero"/>
        <c:auto val="1"/>
        <c:lblAlgn val="ctr"/>
        <c:lblOffset val="100"/>
      </c:catAx>
      <c:valAx>
        <c:axId val="827709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Standardized cancer incidence per 100,000 females</a:t>
                </a:r>
              </a:p>
            </c:rich>
          </c:tx>
        </c:title>
        <c:numFmt formatCode="General" sourceLinked="1"/>
        <c:tickLblPos val="nextTo"/>
        <c:crossAx val="8276940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hashid02</dc:creator>
  <cp:lastModifiedBy>hashid02</cp:lastModifiedBy>
  <cp:revision>5</cp:revision>
  <dcterms:created xsi:type="dcterms:W3CDTF">2015-03-10T01:24:00Z</dcterms:created>
  <dcterms:modified xsi:type="dcterms:W3CDTF">2015-04-28T15:38:00Z</dcterms:modified>
</cp:coreProperties>
</file>