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AF442" w14:textId="77777777" w:rsidR="00080520" w:rsidRPr="00244CF1" w:rsidRDefault="00080520" w:rsidP="00080520">
      <w:pPr>
        <w:suppressLineNumbers/>
        <w:spacing w:after="160"/>
        <w:outlineLvl w:val="0"/>
        <w:rPr>
          <w:rFonts w:ascii="Gill Sans MT" w:hAnsi="Gill Sans MT"/>
          <w:b/>
        </w:rPr>
      </w:pPr>
      <w:r w:rsidRPr="00244CF1">
        <w:rPr>
          <w:rFonts w:ascii="Gill Sans MT" w:hAnsi="Gill Sans MT"/>
          <w:b/>
        </w:rPr>
        <w:t>Supplementary Information</w:t>
      </w:r>
    </w:p>
    <w:p w14:paraId="0C994F63" w14:textId="77777777" w:rsidR="00080520" w:rsidRPr="00244CF1" w:rsidRDefault="00080520" w:rsidP="00080520">
      <w:pPr>
        <w:spacing w:after="160"/>
        <w:rPr>
          <w:rFonts w:ascii="Gill Sans MT" w:hAnsi="Gill Sans MT"/>
        </w:rPr>
      </w:pPr>
      <w:r w:rsidRPr="00244CF1">
        <w:rPr>
          <w:rFonts w:ascii="Gill Sans MT" w:hAnsi="Gill Sans MT"/>
        </w:rPr>
        <w:t>Supplementary Table 1.  Simplified study schema for the ‘Safety study of a single dose of monovalent high-dose inactivated poliovirus type 2 vaccine (m-IPV2 HD) in infants in early life’ (NCT 02111135) in Panama City, Panama, between 14 April and 9 May 2014.</w:t>
      </w:r>
    </w:p>
    <w:tbl>
      <w:tblPr>
        <w:tblStyle w:val="PlainTable1"/>
        <w:tblW w:w="5000" w:type="pct"/>
        <w:tblLook w:val="04A0" w:firstRow="1" w:lastRow="0" w:firstColumn="1" w:lastColumn="0" w:noHBand="0" w:noVBand="1"/>
      </w:tblPr>
      <w:tblGrid>
        <w:gridCol w:w="1340"/>
        <w:gridCol w:w="1192"/>
        <w:gridCol w:w="1084"/>
        <w:gridCol w:w="1241"/>
        <w:gridCol w:w="1209"/>
        <w:gridCol w:w="1241"/>
        <w:gridCol w:w="1203"/>
        <w:gridCol w:w="1149"/>
        <w:gridCol w:w="1136"/>
      </w:tblGrid>
      <w:tr w:rsidR="00080520" w:rsidRPr="00244CF1" w14:paraId="7BFC2C6C" w14:textId="77777777" w:rsidTr="00712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Borders>
              <w:top w:val="nil"/>
              <w:left w:val="nil"/>
              <w:bottom w:val="nil"/>
            </w:tcBorders>
            <w:shd w:val="clear" w:color="auto" w:fill="auto"/>
          </w:tcPr>
          <w:p w14:paraId="70874069" w14:textId="77777777" w:rsidR="00080520" w:rsidRPr="00244CF1" w:rsidRDefault="00080520" w:rsidP="00080520">
            <w:pPr>
              <w:pStyle w:val="NoSpacing"/>
              <w:rPr>
                <w:rFonts w:ascii="Gill Sans MT" w:hAnsi="Gill Sans MT"/>
                <w:sz w:val="14"/>
                <w:szCs w:val="18"/>
              </w:rPr>
            </w:pPr>
          </w:p>
        </w:tc>
        <w:tc>
          <w:tcPr>
            <w:tcW w:w="2763" w:type="pct"/>
            <w:gridSpan w:val="5"/>
            <w:tcBorders>
              <w:right w:val="double" w:sz="4" w:space="0" w:color="auto"/>
            </w:tcBorders>
            <w:shd w:val="clear" w:color="auto" w:fill="auto"/>
          </w:tcPr>
          <w:p w14:paraId="0FBEE5DF" w14:textId="77777777" w:rsidR="00080520" w:rsidRPr="00244CF1" w:rsidRDefault="00080520" w:rsidP="00080520">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Before Challenge</w:t>
            </w:r>
          </w:p>
        </w:tc>
        <w:tc>
          <w:tcPr>
            <w:tcW w:w="1616" w:type="pct"/>
            <w:gridSpan w:val="3"/>
            <w:tcBorders>
              <w:left w:val="double" w:sz="4" w:space="0" w:color="auto"/>
            </w:tcBorders>
            <w:shd w:val="clear" w:color="auto" w:fill="auto"/>
          </w:tcPr>
          <w:p w14:paraId="29855AE1" w14:textId="77777777" w:rsidR="00080520" w:rsidRPr="00244CF1" w:rsidRDefault="00080520" w:rsidP="00080520">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After Challenge</w:t>
            </w:r>
          </w:p>
        </w:tc>
      </w:tr>
      <w:tr w:rsidR="007124DD" w:rsidRPr="00244CF1" w14:paraId="73C02E50"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Borders>
              <w:top w:val="nil"/>
              <w:left w:val="nil"/>
              <w:bottom w:val="nil"/>
            </w:tcBorders>
            <w:shd w:val="clear" w:color="auto" w:fill="auto"/>
          </w:tcPr>
          <w:p w14:paraId="14411E67" w14:textId="77777777" w:rsidR="00080520" w:rsidRPr="00244CF1" w:rsidRDefault="00080520" w:rsidP="00080520">
            <w:pPr>
              <w:pStyle w:val="NoSpacing"/>
              <w:rPr>
                <w:rFonts w:ascii="Gill Sans MT" w:hAnsi="Gill Sans MT"/>
                <w:sz w:val="14"/>
                <w:szCs w:val="18"/>
              </w:rPr>
            </w:pPr>
          </w:p>
        </w:tc>
        <w:tc>
          <w:tcPr>
            <w:tcW w:w="552" w:type="pct"/>
            <w:shd w:val="clear" w:color="auto" w:fill="auto"/>
          </w:tcPr>
          <w:p w14:paraId="21380FF0"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6 weeks </w:t>
            </w:r>
          </w:p>
          <w:p w14:paraId="7EC83EB4"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c>
          <w:tcPr>
            <w:tcW w:w="502" w:type="pct"/>
            <w:shd w:val="clear" w:color="auto" w:fill="auto"/>
          </w:tcPr>
          <w:p w14:paraId="631A7B65"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10 weeks </w:t>
            </w:r>
          </w:p>
          <w:p w14:paraId="09FCC336"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c>
          <w:tcPr>
            <w:tcW w:w="575" w:type="pct"/>
            <w:shd w:val="clear" w:color="auto" w:fill="auto"/>
          </w:tcPr>
          <w:p w14:paraId="40D9A936"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14 weeks </w:t>
            </w:r>
          </w:p>
          <w:p w14:paraId="793D581A"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c>
          <w:tcPr>
            <w:tcW w:w="560" w:type="pct"/>
            <w:shd w:val="clear" w:color="auto" w:fill="auto"/>
          </w:tcPr>
          <w:p w14:paraId="4169D555"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15 weeks </w:t>
            </w:r>
          </w:p>
          <w:p w14:paraId="1429E956"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c>
          <w:tcPr>
            <w:tcW w:w="575" w:type="pct"/>
            <w:tcBorders>
              <w:right w:val="double" w:sz="4" w:space="0" w:color="auto"/>
            </w:tcBorders>
            <w:shd w:val="clear" w:color="auto" w:fill="auto"/>
          </w:tcPr>
          <w:p w14:paraId="26E93859"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18 weeks </w:t>
            </w:r>
          </w:p>
          <w:p w14:paraId="5C237955"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c>
          <w:tcPr>
            <w:tcW w:w="557" w:type="pct"/>
            <w:tcBorders>
              <w:left w:val="double" w:sz="4" w:space="0" w:color="auto"/>
            </w:tcBorders>
            <w:shd w:val="clear" w:color="auto" w:fill="auto"/>
          </w:tcPr>
          <w:p w14:paraId="57F2AB43"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19 weeks </w:t>
            </w:r>
          </w:p>
          <w:p w14:paraId="13A10D13"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c>
          <w:tcPr>
            <w:tcW w:w="532" w:type="pct"/>
            <w:shd w:val="clear" w:color="auto" w:fill="auto"/>
          </w:tcPr>
          <w:p w14:paraId="247F3C50"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20 weeks </w:t>
            </w:r>
          </w:p>
          <w:p w14:paraId="40399B8F"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c>
          <w:tcPr>
            <w:tcW w:w="528" w:type="pct"/>
            <w:shd w:val="clear" w:color="auto" w:fill="auto"/>
          </w:tcPr>
          <w:p w14:paraId="7D119643"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 xml:space="preserve">21 weeks </w:t>
            </w:r>
          </w:p>
          <w:p w14:paraId="26BE75F6" w14:textId="77777777" w:rsidR="00080520" w:rsidRPr="00244CF1" w:rsidRDefault="00080520" w:rsidP="00080520">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4"/>
                <w:szCs w:val="18"/>
              </w:rPr>
            </w:pPr>
            <w:r w:rsidRPr="00244CF1">
              <w:rPr>
                <w:rFonts w:ascii="Gill Sans MT" w:hAnsi="Gill Sans MT"/>
                <w:b/>
                <w:sz w:val="14"/>
                <w:szCs w:val="18"/>
              </w:rPr>
              <w:t>of age</w:t>
            </w:r>
          </w:p>
        </w:tc>
      </w:tr>
      <w:tr w:rsidR="007124DD" w:rsidRPr="00244CF1" w14:paraId="42CEA572" w14:textId="77777777" w:rsidTr="007124DD">
        <w:tc>
          <w:tcPr>
            <w:cnfStyle w:val="001000000000" w:firstRow="0" w:lastRow="0" w:firstColumn="1" w:lastColumn="0" w:oddVBand="0" w:evenVBand="0" w:oddHBand="0" w:evenHBand="0" w:firstRowFirstColumn="0" w:firstRowLastColumn="0" w:lastRowFirstColumn="0" w:lastRowLastColumn="0"/>
            <w:tcW w:w="621" w:type="pct"/>
            <w:vMerge w:val="restart"/>
            <w:shd w:val="clear" w:color="auto" w:fill="auto"/>
          </w:tcPr>
          <w:p w14:paraId="2EBDAC00" w14:textId="77777777" w:rsidR="00080520" w:rsidRPr="00244CF1" w:rsidRDefault="00080520" w:rsidP="00080520">
            <w:pPr>
              <w:pStyle w:val="NoSpacing"/>
              <w:rPr>
                <w:rFonts w:ascii="Gill Sans MT" w:hAnsi="Gill Sans MT"/>
                <w:sz w:val="14"/>
                <w:szCs w:val="18"/>
              </w:rPr>
            </w:pPr>
            <w:r w:rsidRPr="00244CF1">
              <w:rPr>
                <w:rFonts w:ascii="Gill Sans MT" w:hAnsi="Gill Sans MT"/>
                <w:sz w:val="14"/>
                <w:szCs w:val="18"/>
              </w:rPr>
              <w:t>All participants</w:t>
            </w:r>
          </w:p>
        </w:tc>
        <w:tc>
          <w:tcPr>
            <w:tcW w:w="552" w:type="pct"/>
            <w:shd w:val="clear" w:color="auto" w:fill="auto"/>
          </w:tcPr>
          <w:p w14:paraId="3D7C3612"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1</w:t>
            </w:r>
            <w:r w:rsidRPr="00244CF1">
              <w:rPr>
                <w:rFonts w:ascii="Gill Sans MT" w:hAnsi="Gill Sans MT"/>
                <w:sz w:val="14"/>
                <w:szCs w:val="18"/>
                <w:vertAlign w:val="superscript"/>
              </w:rPr>
              <w:t>st</w:t>
            </w:r>
            <w:r>
              <w:rPr>
                <w:rFonts w:ascii="Gill Sans MT" w:hAnsi="Gill Sans MT"/>
                <w:sz w:val="14"/>
                <w:szCs w:val="18"/>
              </w:rPr>
              <w:t xml:space="preserve"> serum s</w:t>
            </w:r>
            <w:r w:rsidRPr="00244CF1">
              <w:rPr>
                <w:rFonts w:ascii="Gill Sans MT" w:hAnsi="Gill Sans MT"/>
                <w:sz w:val="14"/>
                <w:szCs w:val="18"/>
              </w:rPr>
              <w:t>ample</w:t>
            </w:r>
          </w:p>
        </w:tc>
        <w:tc>
          <w:tcPr>
            <w:tcW w:w="502" w:type="pct"/>
            <w:shd w:val="clear" w:color="auto" w:fill="auto"/>
          </w:tcPr>
          <w:p w14:paraId="6133219C"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p>
        </w:tc>
        <w:tc>
          <w:tcPr>
            <w:tcW w:w="575" w:type="pct"/>
            <w:shd w:val="clear" w:color="auto" w:fill="auto"/>
          </w:tcPr>
          <w:p w14:paraId="019D4C0C"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2</w:t>
            </w:r>
            <w:r w:rsidRPr="00244CF1">
              <w:rPr>
                <w:rFonts w:ascii="Gill Sans MT" w:hAnsi="Gill Sans MT"/>
                <w:sz w:val="14"/>
                <w:szCs w:val="18"/>
                <w:vertAlign w:val="superscript"/>
              </w:rPr>
              <w:t>nd</w:t>
            </w:r>
            <w:r>
              <w:rPr>
                <w:rFonts w:ascii="Gill Sans MT" w:hAnsi="Gill Sans MT"/>
                <w:sz w:val="14"/>
                <w:szCs w:val="18"/>
              </w:rPr>
              <w:t xml:space="preserve"> serum s</w:t>
            </w:r>
            <w:r w:rsidRPr="00244CF1">
              <w:rPr>
                <w:rFonts w:ascii="Gill Sans MT" w:hAnsi="Gill Sans MT"/>
                <w:sz w:val="14"/>
                <w:szCs w:val="18"/>
              </w:rPr>
              <w:t>ample</w:t>
            </w:r>
          </w:p>
        </w:tc>
        <w:tc>
          <w:tcPr>
            <w:tcW w:w="560" w:type="pct"/>
            <w:shd w:val="clear" w:color="auto" w:fill="auto"/>
          </w:tcPr>
          <w:p w14:paraId="0A7B0AD4"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3</w:t>
            </w:r>
            <w:r w:rsidRPr="00244CF1">
              <w:rPr>
                <w:rFonts w:ascii="Gill Sans MT" w:hAnsi="Gill Sans MT"/>
                <w:sz w:val="14"/>
                <w:szCs w:val="18"/>
                <w:vertAlign w:val="superscript"/>
              </w:rPr>
              <w:t>rd</w:t>
            </w:r>
            <w:r>
              <w:rPr>
                <w:rFonts w:ascii="Gill Sans MT" w:hAnsi="Gill Sans MT"/>
                <w:sz w:val="14"/>
                <w:szCs w:val="18"/>
              </w:rPr>
              <w:t xml:space="preserve"> serum s</w:t>
            </w:r>
            <w:r w:rsidRPr="00244CF1">
              <w:rPr>
                <w:rFonts w:ascii="Gill Sans MT" w:hAnsi="Gill Sans MT"/>
                <w:sz w:val="14"/>
                <w:szCs w:val="18"/>
              </w:rPr>
              <w:t>ample</w:t>
            </w:r>
          </w:p>
        </w:tc>
        <w:tc>
          <w:tcPr>
            <w:tcW w:w="575" w:type="pct"/>
            <w:tcBorders>
              <w:right w:val="double" w:sz="4" w:space="0" w:color="auto"/>
            </w:tcBorders>
            <w:shd w:val="clear" w:color="auto" w:fill="auto"/>
          </w:tcPr>
          <w:p w14:paraId="2D5B2FC6"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4</w:t>
            </w:r>
            <w:r w:rsidRPr="00244CF1">
              <w:rPr>
                <w:rFonts w:ascii="Gill Sans MT" w:hAnsi="Gill Sans MT"/>
                <w:sz w:val="14"/>
                <w:szCs w:val="18"/>
                <w:vertAlign w:val="superscript"/>
              </w:rPr>
              <w:t>th</w:t>
            </w:r>
            <w:r>
              <w:rPr>
                <w:rFonts w:ascii="Gill Sans MT" w:hAnsi="Gill Sans MT"/>
                <w:sz w:val="14"/>
                <w:szCs w:val="18"/>
              </w:rPr>
              <w:t xml:space="preserve"> serum s</w:t>
            </w:r>
            <w:r w:rsidRPr="00244CF1">
              <w:rPr>
                <w:rFonts w:ascii="Gill Sans MT" w:hAnsi="Gill Sans MT"/>
                <w:sz w:val="14"/>
                <w:szCs w:val="18"/>
              </w:rPr>
              <w:t>ample</w:t>
            </w:r>
          </w:p>
        </w:tc>
        <w:tc>
          <w:tcPr>
            <w:tcW w:w="557" w:type="pct"/>
            <w:tcBorders>
              <w:left w:val="double" w:sz="4" w:space="0" w:color="auto"/>
            </w:tcBorders>
            <w:shd w:val="clear" w:color="auto" w:fill="auto"/>
          </w:tcPr>
          <w:p w14:paraId="1E448C38"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5</w:t>
            </w:r>
            <w:r w:rsidRPr="00244CF1">
              <w:rPr>
                <w:rFonts w:ascii="Gill Sans MT" w:hAnsi="Gill Sans MT"/>
                <w:sz w:val="14"/>
                <w:szCs w:val="18"/>
                <w:vertAlign w:val="superscript"/>
              </w:rPr>
              <w:t>th</w:t>
            </w:r>
            <w:r>
              <w:rPr>
                <w:rFonts w:ascii="Gill Sans MT" w:hAnsi="Gill Sans MT"/>
                <w:sz w:val="14"/>
                <w:szCs w:val="18"/>
              </w:rPr>
              <w:t xml:space="preserve"> serum s</w:t>
            </w:r>
            <w:r w:rsidRPr="00244CF1">
              <w:rPr>
                <w:rFonts w:ascii="Gill Sans MT" w:hAnsi="Gill Sans MT"/>
                <w:sz w:val="14"/>
                <w:szCs w:val="18"/>
              </w:rPr>
              <w:t>ample</w:t>
            </w:r>
          </w:p>
        </w:tc>
        <w:tc>
          <w:tcPr>
            <w:tcW w:w="532" w:type="pct"/>
            <w:shd w:val="clear" w:color="auto" w:fill="auto"/>
          </w:tcPr>
          <w:p w14:paraId="46C414E6"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p>
        </w:tc>
        <w:tc>
          <w:tcPr>
            <w:tcW w:w="528" w:type="pct"/>
            <w:shd w:val="clear" w:color="auto" w:fill="auto"/>
          </w:tcPr>
          <w:p w14:paraId="6B62A7DC"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p>
        </w:tc>
      </w:tr>
      <w:tr w:rsidR="007124DD" w:rsidRPr="00244CF1" w14:paraId="2A2AF32E"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vMerge/>
            <w:shd w:val="clear" w:color="auto" w:fill="auto"/>
          </w:tcPr>
          <w:p w14:paraId="0CADF071" w14:textId="77777777" w:rsidR="00080520" w:rsidRPr="00244CF1" w:rsidRDefault="00080520" w:rsidP="00080520">
            <w:pPr>
              <w:pStyle w:val="NoSpacing"/>
              <w:rPr>
                <w:rFonts w:ascii="Gill Sans MT" w:hAnsi="Gill Sans MT"/>
                <w:i/>
                <w:sz w:val="14"/>
                <w:szCs w:val="18"/>
              </w:rPr>
            </w:pPr>
          </w:p>
        </w:tc>
        <w:tc>
          <w:tcPr>
            <w:tcW w:w="552" w:type="pct"/>
            <w:shd w:val="clear" w:color="auto" w:fill="auto"/>
          </w:tcPr>
          <w:p w14:paraId="07EDD35B"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02" w:type="pct"/>
            <w:shd w:val="clear" w:color="auto" w:fill="auto"/>
          </w:tcPr>
          <w:p w14:paraId="49D1F54B"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75" w:type="pct"/>
            <w:shd w:val="clear" w:color="auto" w:fill="auto"/>
          </w:tcPr>
          <w:p w14:paraId="16BC10AC"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60" w:type="pct"/>
            <w:shd w:val="clear" w:color="auto" w:fill="auto"/>
          </w:tcPr>
          <w:p w14:paraId="47D84278"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75" w:type="pct"/>
            <w:tcBorders>
              <w:right w:val="double" w:sz="4" w:space="0" w:color="auto"/>
            </w:tcBorders>
            <w:shd w:val="clear" w:color="auto" w:fill="auto"/>
          </w:tcPr>
          <w:p w14:paraId="4E7AC0F9"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57" w:type="pct"/>
            <w:tcBorders>
              <w:left w:val="double" w:sz="4" w:space="0" w:color="auto"/>
            </w:tcBorders>
            <w:shd w:val="clear" w:color="auto" w:fill="auto"/>
          </w:tcPr>
          <w:p w14:paraId="5649DFF4"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1</w:t>
            </w:r>
            <w:r w:rsidRPr="00244CF1">
              <w:rPr>
                <w:rFonts w:ascii="Gill Sans MT" w:hAnsi="Gill Sans MT"/>
                <w:sz w:val="14"/>
                <w:szCs w:val="18"/>
                <w:vertAlign w:val="superscript"/>
              </w:rPr>
              <w:t>st</w:t>
            </w:r>
            <w:r>
              <w:rPr>
                <w:rFonts w:ascii="Gill Sans MT" w:hAnsi="Gill Sans MT"/>
                <w:sz w:val="14"/>
                <w:szCs w:val="18"/>
              </w:rPr>
              <w:t xml:space="preserve"> stool s</w:t>
            </w:r>
            <w:r w:rsidRPr="00244CF1">
              <w:rPr>
                <w:rFonts w:ascii="Gill Sans MT" w:hAnsi="Gill Sans MT"/>
                <w:sz w:val="14"/>
                <w:szCs w:val="18"/>
              </w:rPr>
              <w:t>ample</w:t>
            </w:r>
          </w:p>
        </w:tc>
        <w:tc>
          <w:tcPr>
            <w:tcW w:w="532" w:type="pct"/>
            <w:shd w:val="clear" w:color="auto" w:fill="auto"/>
          </w:tcPr>
          <w:p w14:paraId="6B218920"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2</w:t>
            </w:r>
            <w:r w:rsidRPr="00244CF1">
              <w:rPr>
                <w:rFonts w:ascii="Gill Sans MT" w:hAnsi="Gill Sans MT"/>
                <w:sz w:val="14"/>
                <w:szCs w:val="18"/>
                <w:vertAlign w:val="superscript"/>
              </w:rPr>
              <w:t>nd</w:t>
            </w:r>
            <w:r>
              <w:rPr>
                <w:rFonts w:ascii="Gill Sans MT" w:hAnsi="Gill Sans MT"/>
                <w:sz w:val="14"/>
                <w:szCs w:val="18"/>
              </w:rPr>
              <w:t xml:space="preserve"> stool s</w:t>
            </w:r>
            <w:r w:rsidRPr="00244CF1">
              <w:rPr>
                <w:rFonts w:ascii="Gill Sans MT" w:hAnsi="Gill Sans MT"/>
                <w:sz w:val="14"/>
                <w:szCs w:val="18"/>
              </w:rPr>
              <w:t xml:space="preserve">ample </w:t>
            </w:r>
          </w:p>
        </w:tc>
        <w:tc>
          <w:tcPr>
            <w:tcW w:w="528" w:type="pct"/>
            <w:shd w:val="clear" w:color="auto" w:fill="auto"/>
          </w:tcPr>
          <w:p w14:paraId="009689A3"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3</w:t>
            </w:r>
            <w:r w:rsidRPr="00244CF1">
              <w:rPr>
                <w:rFonts w:ascii="Gill Sans MT" w:hAnsi="Gill Sans MT"/>
                <w:sz w:val="14"/>
                <w:szCs w:val="18"/>
                <w:vertAlign w:val="superscript"/>
              </w:rPr>
              <w:t>rd</w:t>
            </w:r>
            <w:r>
              <w:rPr>
                <w:rFonts w:ascii="Gill Sans MT" w:hAnsi="Gill Sans MT"/>
                <w:sz w:val="14"/>
                <w:szCs w:val="18"/>
              </w:rPr>
              <w:t xml:space="preserve"> stool s</w:t>
            </w:r>
            <w:r w:rsidRPr="00244CF1">
              <w:rPr>
                <w:rFonts w:ascii="Gill Sans MT" w:hAnsi="Gill Sans MT"/>
                <w:sz w:val="14"/>
                <w:szCs w:val="18"/>
              </w:rPr>
              <w:t>ample</w:t>
            </w:r>
          </w:p>
        </w:tc>
      </w:tr>
      <w:tr w:rsidR="007124DD" w:rsidRPr="00244CF1" w14:paraId="59FB4958" w14:textId="77777777" w:rsidTr="007124DD">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4CBFF1B2" w14:textId="77777777" w:rsidR="00080520" w:rsidRPr="00244CF1" w:rsidRDefault="00080520" w:rsidP="00080520">
            <w:pPr>
              <w:pStyle w:val="NoSpacing"/>
              <w:rPr>
                <w:rFonts w:ascii="Gill Sans MT" w:hAnsi="Gill Sans MT"/>
                <w:sz w:val="14"/>
                <w:szCs w:val="18"/>
              </w:rPr>
            </w:pPr>
            <w:r w:rsidRPr="00244CF1">
              <w:rPr>
                <w:rFonts w:ascii="Gill Sans MT" w:hAnsi="Gill Sans MT"/>
                <w:sz w:val="14"/>
                <w:szCs w:val="18"/>
              </w:rPr>
              <w:t>mIPV2HD group</w:t>
            </w:r>
          </w:p>
        </w:tc>
        <w:tc>
          <w:tcPr>
            <w:tcW w:w="552" w:type="pct"/>
            <w:shd w:val="clear" w:color="auto" w:fill="auto"/>
          </w:tcPr>
          <w:p w14:paraId="7AA811AA"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1</w:t>
            </w:r>
            <w:r w:rsidRPr="00244CF1">
              <w:rPr>
                <w:rFonts w:ascii="Gill Sans MT" w:hAnsi="Gill Sans MT"/>
                <w:sz w:val="14"/>
                <w:szCs w:val="18"/>
                <w:vertAlign w:val="superscript"/>
              </w:rPr>
              <w:t>st</w:t>
            </w:r>
            <w:r w:rsidRPr="00244CF1">
              <w:rPr>
                <w:rFonts w:ascii="Gill Sans MT" w:hAnsi="Gill Sans MT"/>
                <w:sz w:val="14"/>
                <w:szCs w:val="18"/>
              </w:rPr>
              <w:t xml:space="preserve"> </w:t>
            </w:r>
            <w:proofErr w:type="spellStart"/>
            <w:r w:rsidRPr="00244CF1">
              <w:rPr>
                <w:rFonts w:ascii="Gill Sans MT" w:hAnsi="Gill Sans MT"/>
                <w:sz w:val="14"/>
                <w:szCs w:val="18"/>
              </w:rPr>
              <w:t>bOPV</w:t>
            </w:r>
            <w:proofErr w:type="spellEnd"/>
            <w:r w:rsidRPr="00244CF1">
              <w:rPr>
                <w:rFonts w:ascii="Gill Sans MT" w:hAnsi="Gill Sans MT"/>
                <w:sz w:val="14"/>
                <w:szCs w:val="18"/>
              </w:rPr>
              <w:t xml:space="preserve"> dose</w:t>
            </w:r>
          </w:p>
        </w:tc>
        <w:tc>
          <w:tcPr>
            <w:tcW w:w="502" w:type="pct"/>
            <w:shd w:val="clear" w:color="auto" w:fill="auto"/>
          </w:tcPr>
          <w:p w14:paraId="1CBAA0BE"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2</w:t>
            </w:r>
            <w:r w:rsidRPr="00244CF1">
              <w:rPr>
                <w:rFonts w:ascii="Gill Sans MT" w:hAnsi="Gill Sans MT"/>
                <w:sz w:val="14"/>
                <w:szCs w:val="18"/>
                <w:vertAlign w:val="superscript"/>
              </w:rPr>
              <w:t>nd</w:t>
            </w:r>
            <w:r w:rsidRPr="00244CF1">
              <w:rPr>
                <w:rFonts w:ascii="Gill Sans MT" w:hAnsi="Gill Sans MT"/>
                <w:sz w:val="14"/>
                <w:szCs w:val="18"/>
              </w:rPr>
              <w:t xml:space="preserve"> </w:t>
            </w:r>
            <w:proofErr w:type="spellStart"/>
            <w:r w:rsidRPr="00244CF1">
              <w:rPr>
                <w:rFonts w:ascii="Gill Sans MT" w:hAnsi="Gill Sans MT"/>
                <w:sz w:val="14"/>
                <w:szCs w:val="18"/>
              </w:rPr>
              <w:t>bOPV</w:t>
            </w:r>
            <w:proofErr w:type="spellEnd"/>
            <w:r w:rsidRPr="00244CF1">
              <w:rPr>
                <w:rFonts w:ascii="Gill Sans MT" w:hAnsi="Gill Sans MT"/>
                <w:sz w:val="14"/>
                <w:szCs w:val="18"/>
              </w:rPr>
              <w:t xml:space="preserve"> dose</w:t>
            </w:r>
          </w:p>
        </w:tc>
        <w:tc>
          <w:tcPr>
            <w:tcW w:w="575" w:type="pct"/>
            <w:shd w:val="clear" w:color="auto" w:fill="auto"/>
          </w:tcPr>
          <w:p w14:paraId="3EB567C6"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3</w:t>
            </w:r>
            <w:r w:rsidRPr="00244CF1">
              <w:rPr>
                <w:rFonts w:ascii="Gill Sans MT" w:hAnsi="Gill Sans MT"/>
                <w:sz w:val="14"/>
                <w:szCs w:val="18"/>
                <w:vertAlign w:val="superscript"/>
              </w:rPr>
              <w:t>rd</w:t>
            </w:r>
            <w:r w:rsidRPr="00244CF1">
              <w:rPr>
                <w:rFonts w:ascii="Gill Sans MT" w:hAnsi="Gill Sans MT"/>
                <w:sz w:val="14"/>
                <w:szCs w:val="18"/>
              </w:rPr>
              <w:t xml:space="preserve"> </w:t>
            </w:r>
            <w:proofErr w:type="spellStart"/>
            <w:r w:rsidRPr="00244CF1">
              <w:rPr>
                <w:rFonts w:ascii="Gill Sans MT" w:hAnsi="Gill Sans MT"/>
                <w:sz w:val="14"/>
                <w:szCs w:val="18"/>
              </w:rPr>
              <w:t>bOPV</w:t>
            </w:r>
            <w:proofErr w:type="spellEnd"/>
            <w:r w:rsidRPr="00244CF1">
              <w:rPr>
                <w:rFonts w:ascii="Gill Sans MT" w:hAnsi="Gill Sans MT"/>
                <w:sz w:val="14"/>
                <w:szCs w:val="18"/>
              </w:rPr>
              <w:t xml:space="preserve"> dose</w:t>
            </w:r>
          </w:p>
          <w:p w14:paraId="505AED19"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 mIPV2HD dose</w:t>
            </w:r>
          </w:p>
        </w:tc>
        <w:tc>
          <w:tcPr>
            <w:tcW w:w="560" w:type="pct"/>
            <w:shd w:val="clear" w:color="auto" w:fill="auto"/>
          </w:tcPr>
          <w:p w14:paraId="4B46AD93"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p>
        </w:tc>
        <w:tc>
          <w:tcPr>
            <w:tcW w:w="575" w:type="pct"/>
            <w:tcBorders>
              <w:right w:val="double" w:sz="4" w:space="0" w:color="auto"/>
            </w:tcBorders>
            <w:shd w:val="clear" w:color="auto" w:fill="auto"/>
          </w:tcPr>
          <w:p w14:paraId="717DC3E8"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mOPV2 challenge</w:t>
            </w:r>
          </w:p>
        </w:tc>
        <w:tc>
          <w:tcPr>
            <w:tcW w:w="557" w:type="pct"/>
            <w:tcBorders>
              <w:left w:val="double" w:sz="4" w:space="0" w:color="auto"/>
            </w:tcBorders>
            <w:shd w:val="clear" w:color="auto" w:fill="auto"/>
          </w:tcPr>
          <w:p w14:paraId="00D17D84"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p>
        </w:tc>
        <w:tc>
          <w:tcPr>
            <w:tcW w:w="532" w:type="pct"/>
            <w:shd w:val="clear" w:color="auto" w:fill="auto"/>
          </w:tcPr>
          <w:p w14:paraId="7FC8E985"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p>
        </w:tc>
        <w:tc>
          <w:tcPr>
            <w:tcW w:w="528" w:type="pct"/>
            <w:shd w:val="clear" w:color="auto" w:fill="auto"/>
          </w:tcPr>
          <w:p w14:paraId="59B398D7" w14:textId="77777777" w:rsidR="00080520" w:rsidRPr="00244CF1"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4"/>
                <w:szCs w:val="18"/>
              </w:rPr>
            </w:pPr>
          </w:p>
        </w:tc>
      </w:tr>
      <w:tr w:rsidR="007124DD" w:rsidRPr="00244CF1" w14:paraId="6201CECA"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shd w:val="clear" w:color="auto" w:fill="auto"/>
          </w:tcPr>
          <w:p w14:paraId="18399BA0" w14:textId="77777777" w:rsidR="00080520" w:rsidRPr="00244CF1" w:rsidRDefault="00080520" w:rsidP="00080520">
            <w:pPr>
              <w:pStyle w:val="NoSpacing"/>
              <w:rPr>
                <w:rFonts w:ascii="Gill Sans MT" w:hAnsi="Gill Sans MT"/>
                <w:sz w:val="14"/>
                <w:szCs w:val="18"/>
              </w:rPr>
            </w:pPr>
            <w:r w:rsidRPr="00244CF1">
              <w:rPr>
                <w:rFonts w:ascii="Gill Sans MT" w:hAnsi="Gill Sans MT"/>
                <w:sz w:val="14"/>
                <w:szCs w:val="18"/>
              </w:rPr>
              <w:t>IPV group</w:t>
            </w:r>
          </w:p>
        </w:tc>
        <w:tc>
          <w:tcPr>
            <w:tcW w:w="552" w:type="pct"/>
            <w:shd w:val="clear" w:color="auto" w:fill="auto"/>
          </w:tcPr>
          <w:p w14:paraId="7513F6C1"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1</w:t>
            </w:r>
            <w:r w:rsidRPr="00244CF1">
              <w:rPr>
                <w:rFonts w:ascii="Gill Sans MT" w:hAnsi="Gill Sans MT"/>
                <w:sz w:val="14"/>
                <w:szCs w:val="18"/>
                <w:vertAlign w:val="superscript"/>
              </w:rPr>
              <w:t>st</w:t>
            </w:r>
            <w:r w:rsidRPr="00244CF1">
              <w:rPr>
                <w:rFonts w:ascii="Gill Sans MT" w:hAnsi="Gill Sans MT"/>
                <w:sz w:val="14"/>
                <w:szCs w:val="18"/>
              </w:rPr>
              <w:t xml:space="preserve"> </w:t>
            </w:r>
            <w:proofErr w:type="spellStart"/>
            <w:r w:rsidRPr="00244CF1">
              <w:rPr>
                <w:rFonts w:ascii="Gill Sans MT" w:hAnsi="Gill Sans MT"/>
                <w:sz w:val="14"/>
                <w:szCs w:val="18"/>
              </w:rPr>
              <w:t>bOPV</w:t>
            </w:r>
            <w:proofErr w:type="spellEnd"/>
            <w:r w:rsidRPr="00244CF1">
              <w:rPr>
                <w:rFonts w:ascii="Gill Sans MT" w:hAnsi="Gill Sans MT"/>
                <w:sz w:val="14"/>
                <w:szCs w:val="18"/>
              </w:rPr>
              <w:t xml:space="preserve"> dose</w:t>
            </w:r>
          </w:p>
        </w:tc>
        <w:tc>
          <w:tcPr>
            <w:tcW w:w="502" w:type="pct"/>
            <w:shd w:val="clear" w:color="auto" w:fill="auto"/>
          </w:tcPr>
          <w:p w14:paraId="19EE3BB5"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2</w:t>
            </w:r>
            <w:r w:rsidRPr="00244CF1">
              <w:rPr>
                <w:rFonts w:ascii="Gill Sans MT" w:hAnsi="Gill Sans MT"/>
                <w:sz w:val="14"/>
                <w:szCs w:val="18"/>
                <w:vertAlign w:val="superscript"/>
              </w:rPr>
              <w:t>nd</w:t>
            </w:r>
            <w:r w:rsidRPr="00244CF1">
              <w:rPr>
                <w:rFonts w:ascii="Gill Sans MT" w:hAnsi="Gill Sans MT"/>
                <w:sz w:val="14"/>
                <w:szCs w:val="18"/>
              </w:rPr>
              <w:t xml:space="preserve"> </w:t>
            </w:r>
            <w:proofErr w:type="spellStart"/>
            <w:r w:rsidRPr="00244CF1">
              <w:rPr>
                <w:rFonts w:ascii="Gill Sans MT" w:hAnsi="Gill Sans MT"/>
                <w:sz w:val="14"/>
                <w:szCs w:val="18"/>
              </w:rPr>
              <w:t>bOPV</w:t>
            </w:r>
            <w:proofErr w:type="spellEnd"/>
            <w:r w:rsidRPr="00244CF1">
              <w:rPr>
                <w:rFonts w:ascii="Gill Sans MT" w:hAnsi="Gill Sans MT"/>
                <w:sz w:val="14"/>
                <w:szCs w:val="18"/>
              </w:rPr>
              <w:t xml:space="preserve"> dose</w:t>
            </w:r>
          </w:p>
        </w:tc>
        <w:tc>
          <w:tcPr>
            <w:tcW w:w="575" w:type="pct"/>
            <w:shd w:val="clear" w:color="auto" w:fill="auto"/>
          </w:tcPr>
          <w:p w14:paraId="63755050"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3</w:t>
            </w:r>
            <w:r w:rsidRPr="00244CF1">
              <w:rPr>
                <w:rFonts w:ascii="Gill Sans MT" w:hAnsi="Gill Sans MT"/>
                <w:sz w:val="14"/>
                <w:szCs w:val="18"/>
                <w:vertAlign w:val="superscript"/>
              </w:rPr>
              <w:t>rd</w:t>
            </w:r>
            <w:r w:rsidRPr="00244CF1">
              <w:rPr>
                <w:rFonts w:ascii="Gill Sans MT" w:hAnsi="Gill Sans MT"/>
                <w:sz w:val="14"/>
                <w:szCs w:val="18"/>
              </w:rPr>
              <w:t xml:space="preserve"> </w:t>
            </w:r>
            <w:proofErr w:type="spellStart"/>
            <w:r w:rsidRPr="00244CF1">
              <w:rPr>
                <w:rFonts w:ascii="Gill Sans MT" w:hAnsi="Gill Sans MT"/>
                <w:sz w:val="14"/>
                <w:szCs w:val="18"/>
              </w:rPr>
              <w:t>bOPV</w:t>
            </w:r>
            <w:proofErr w:type="spellEnd"/>
            <w:r w:rsidRPr="00244CF1">
              <w:rPr>
                <w:rFonts w:ascii="Gill Sans MT" w:hAnsi="Gill Sans MT"/>
                <w:sz w:val="14"/>
                <w:szCs w:val="18"/>
              </w:rPr>
              <w:t xml:space="preserve"> dose</w:t>
            </w:r>
          </w:p>
          <w:p w14:paraId="26970ACB"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 IPV dose</w:t>
            </w:r>
          </w:p>
        </w:tc>
        <w:tc>
          <w:tcPr>
            <w:tcW w:w="560" w:type="pct"/>
            <w:shd w:val="clear" w:color="auto" w:fill="auto"/>
          </w:tcPr>
          <w:p w14:paraId="0B85DFA5"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75" w:type="pct"/>
            <w:tcBorders>
              <w:right w:val="double" w:sz="4" w:space="0" w:color="auto"/>
            </w:tcBorders>
            <w:shd w:val="clear" w:color="auto" w:fill="auto"/>
          </w:tcPr>
          <w:p w14:paraId="29E184E0"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r w:rsidRPr="00244CF1">
              <w:rPr>
                <w:rFonts w:ascii="Gill Sans MT" w:hAnsi="Gill Sans MT"/>
                <w:sz w:val="14"/>
                <w:szCs w:val="18"/>
              </w:rPr>
              <w:t>mOPV2 challenge</w:t>
            </w:r>
          </w:p>
        </w:tc>
        <w:tc>
          <w:tcPr>
            <w:tcW w:w="557" w:type="pct"/>
            <w:tcBorders>
              <w:left w:val="double" w:sz="4" w:space="0" w:color="auto"/>
            </w:tcBorders>
            <w:shd w:val="clear" w:color="auto" w:fill="auto"/>
          </w:tcPr>
          <w:p w14:paraId="4BB3473D"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32" w:type="pct"/>
            <w:shd w:val="clear" w:color="auto" w:fill="auto"/>
          </w:tcPr>
          <w:p w14:paraId="37C0BC0A"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c>
          <w:tcPr>
            <w:tcW w:w="528" w:type="pct"/>
            <w:shd w:val="clear" w:color="auto" w:fill="auto"/>
          </w:tcPr>
          <w:p w14:paraId="77FA8D0B" w14:textId="77777777" w:rsidR="00080520" w:rsidRPr="00244CF1"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4"/>
                <w:szCs w:val="18"/>
              </w:rPr>
            </w:pPr>
          </w:p>
        </w:tc>
      </w:tr>
    </w:tbl>
    <w:p w14:paraId="7A66F585" w14:textId="77777777" w:rsidR="00080520" w:rsidRPr="00FD5E3B" w:rsidRDefault="00080520" w:rsidP="00080520">
      <w:pPr>
        <w:spacing w:after="160"/>
      </w:pPr>
      <w:r w:rsidRPr="00244CF1">
        <w:rPr>
          <w:rFonts w:ascii="Gill Sans MT" w:hAnsi="Gill Sans MT"/>
          <w:sz w:val="20"/>
          <w:szCs w:val="18"/>
          <w:lang w:val="en-GB"/>
        </w:rPr>
        <w:t xml:space="preserve">Abbreviations: </w:t>
      </w:r>
      <w:proofErr w:type="spellStart"/>
      <w:r w:rsidRPr="00244CF1">
        <w:rPr>
          <w:rFonts w:ascii="Gill Sans MT" w:hAnsi="Gill Sans MT"/>
          <w:sz w:val="20"/>
          <w:szCs w:val="24"/>
          <w:lang w:val="en-GB"/>
        </w:rPr>
        <w:t>bOPV</w:t>
      </w:r>
      <w:proofErr w:type="spellEnd"/>
      <w:r w:rsidRPr="00244CF1">
        <w:rPr>
          <w:rFonts w:ascii="Gill Sans MT" w:hAnsi="Gill Sans MT"/>
          <w:sz w:val="20"/>
          <w:szCs w:val="24"/>
          <w:lang w:val="en-GB"/>
        </w:rPr>
        <w:t xml:space="preserve"> = bivalent oral polio vaccine; mIPV2HD = monovalent high dose inactivated polio type 2 vaccine; IPV = trivalent inactivated polio vaccine</w:t>
      </w:r>
      <w:r>
        <w:rPr>
          <w:rFonts w:ascii="Gill Sans MT" w:hAnsi="Gill Sans MT"/>
          <w:sz w:val="20"/>
          <w:szCs w:val="24"/>
          <w:lang w:val="en-GB"/>
        </w:rPr>
        <w:t>.</w:t>
      </w:r>
    </w:p>
    <w:p w14:paraId="5AE5DCDC" w14:textId="77777777" w:rsidR="00080520" w:rsidRDefault="00080520" w:rsidP="00080520">
      <w:pPr>
        <w:spacing w:after="160"/>
        <w:rPr>
          <w:rFonts w:ascii="Gill Sans MT" w:hAnsi="Gill Sans MT"/>
        </w:rPr>
      </w:pPr>
    </w:p>
    <w:p w14:paraId="3F56D357" w14:textId="77777777" w:rsidR="00080520" w:rsidRPr="00244CF1" w:rsidRDefault="00080520" w:rsidP="00080520">
      <w:pPr>
        <w:spacing w:after="160"/>
        <w:outlineLvl w:val="0"/>
        <w:rPr>
          <w:rFonts w:ascii="Gill Sans MT" w:hAnsi="Gill Sans MT"/>
        </w:rPr>
      </w:pPr>
      <w:r w:rsidRPr="00244CF1">
        <w:rPr>
          <w:rFonts w:ascii="Gill Sans MT" w:hAnsi="Gill Sans MT"/>
        </w:rPr>
        <w:t xml:space="preserve">Supplementary Table 2.  Product information for the reagents used in the multiplex bead-based immunoassay. </w:t>
      </w:r>
    </w:p>
    <w:tbl>
      <w:tblPr>
        <w:tblStyle w:val="ListTable2"/>
        <w:tblW w:w="5000" w:type="pct"/>
        <w:tblLook w:val="04A0" w:firstRow="1" w:lastRow="0" w:firstColumn="1" w:lastColumn="0" w:noHBand="0" w:noVBand="1"/>
      </w:tblPr>
      <w:tblGrid>
        <w:gridCol w:w="1054"/>
        <w:gridCol w:w="987"/>
        <w:gridCol w:w="3942"/>
        <w:gridCol w:w="1633"/>
        <w:gridCol w:w="1877"/>
        <w:gridCol w:w="1307"/>
      </w:tblGrid>
      <w:tr w:rsidR="00080520" w:rsidRPr="007124DD" w14:paraId="19018C62" w14:textId="77777777" w:rsidTr="00712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14:paraId="00F68E45" w14:textId="77777777" w:rsidR="00080520" w:rsidRPr="007124DD" w:rsidRDefault="00080520" w:rsidP="00080520">
            <w:pPr>
              <w:pStyle w:val="NoSpacing"/>
              <w:rPr>
                <w:rFonts w:ascii="Gill Sans MT" w:hAnsi="Gill Sans MT"/>
                <w:b w:val="0"/>
                <w:sz w:val="16"/>
                <w:szCs w:val="18"/>
              </w:rPr>
            </w:pPr>
          </w:p>
        </w:tc>
        <w:tc>
          <w:tcPr>
            <w:tcW w:w="457" w:type="pct"/>
          </w:tcPr>
          <w:p w14:paraId="0DBCA27E" w14:textId="77777777" w:rsidR="00080520" w:rsidRPr="007124DD" w:rsidRDefault="00080520" w:rsidP="00080520">
            <w:pPr>
              <w:pStyle w:val="NoSpacing"/>
              <w:cnfStyle w:val="100000000000" w:firstRow="1" w:lastRow="0" w:firstColumn="0" w:lastColumn="0" w:oddVBand="0" w:evenVBand="0" w:oddHBand="0" w:evenHBand="0" w:firstRowFirstColumn="0" w:firstRowLastColumn="0" w:lastRowFirstColumn="0" w:lastRowLastColumn="0"/>
              <w:rPr>
                <w:rFonts w:ascii="Gill Sans MT" w:hAnsi="Gill Sans MT"/>
                <w:b w:val="0"/>
                <w:sz w:val="16"/>
                <w:szCs w:val="18"/>
              </w:rPr>
            </w:pPr>
            <w:r w:rsidRPr="007124DD">
              <w:rPr>
                <w:rFonts w:ascii="Gill Sans MT" w:hAnsi="Gill Sans MT"/>
                <w:sz w:val="16"/>
                <w:szCs w:val="18"/>
              </w:rPr>
              <w:t>Target</w:t>
            </w:r>
          </w:p>
        </w:tc>
        <w:tc>
          <w:tcPr>
            <w:tcW w:w="1825" w:type="pct"/>
          </w:tcPr>
          <w:p w14:paraId="18B282CF" w14:textId="77777777" w:rsidR="00080520" w:rsidRPr="007124DD" w:rsidRDefault="00080520" w:rsidP="00080520">
            <w:pPr>
              <w:pStyle w:val="NoSpacing"/>
              <w:cnfStyle w:val="100000000000" w:firstRow="1" w:lastRow="0" w:firstColumn="0" w:lastColumn="0" w:oddVBand="0" w:evenVBand="0" w:oddHBand="0" w:evenHBand="0" w:firstRowFirstColumn="0" w:firstRowLastColumn="0" w:lastRowFirstColumn="0" w:lastRowLastColumn="0"/>
              <w:rPr>
                <w:rFonts w:ascii="Gill Sans MT" w:hAnsi="Gill Sans MT"/>
                <w:b w:val="0"/>
                <w:sz w:val="16"/>
                <w:szCs w:val="18"/>
              </w:rPr>
            </w:pPr>
            <w:r w:rsidRPr="007124DD">
              <w:rPr>
                <w:rFonts w:ascii="Gill Sans MT" w:hAnsi="Gill Sans MT"/>
                <w:sz w:val="16"/>
                <w:szCs w:val="18"/>
              </w:rPr>
              <w:t>Product Name</w:t>
            </w:r>
          </w:p>
        </w:tc>
        <w:tc>
          <w:tcPr>
            <w:tcW w:w="756" w:type="pct"/>
          </w:tcPr>
          <w:p w14:paraId="135105AC" w14:textId="77777777" w:rsidR="00080520" w:rsidRPr="007124DD" w:rsidRDefault="00080520" w:rsidP="00080520">
            <w:pPr>
              <w:pStyle w:val="NoSpacing"/>
              <w:cnfStyle w:val="100000000000" w:firstRow="1" w:lastRow="0" w:firstColumn="0" w:lastColumn="0" w:oddVBand="0" w:evenVBand="0" w:oddHBand="0" w:evenHBand="0" w:firstRowFirstColumn="0" w:firstRowLastColumn="0" w:lastRowFirstColumn="0" w:lastRowLastColumn="0"/>
              <w:rPr>
                <w:rFonts w:ascii="Gill Sans MT" w:hAnsi="Gill Sans MT"/>
                <w:b w:val="0"/>
                <w:sz w:val="16"/>
                <w:szCs w:val="18"/>
              </w:rPr>
            </w:pPr>
            <w:r w:rsidRPr="007124DD">
              <w:rPr>
                <w:rFonts w:ascii="Gill Sans MT" w:hAnsi="Gill Sans MT"/>
                <w:sz w:val="16"/>
                <w:szCs w:val="18"/>
              </w:rPr>
              <w:t>Supplier</w:t>
            </w:r>
          </w:p>
        </w:tc>
        <w:tc>
          <w:tcPr>
            <w:tcW w:w="869" w:type="pct"/>
          </w:tcPr>
          <w:p w14:paraId="265357BD" w14:textId="77777777" w:rsidR="00080520" w:rsidRPr="007124DD" w:rsidRDefault="00080520" w:rsidP="00080520">
            <w:pPr>
              <w:pStyle w:val="NoSpacing"/>
              <w:cnfStyle w:val="100000000000" w:firstRow="1"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Location</w:t>
            </w:r>
          </w:p>
        </w:tc>
        <w:tc>
          <w:tcPr>
            <w:tcW w:w="605" w:type="pct"/>
          </w:tcPr>
          <w:p w14:paraId="6659AAFD" w14:textId="77777777" w:rsidR="00080520" w:rsidRPr="007124DD" w:rsidRDefault="00080520" w:rsidP="00080520">
            <w:pPr>
              <w:pStyle w:val="NoSpacing"/>
              <w:cnfStyle w:val="100000000000" w:firstRow="1" w:lastRow="0" w:firstColumn="0" w:lastColumn="0" w:oddVBand="0" w:evenVBand="0" w:oddHBand="0" w:evenHBand="0" w:firstRowFirstColumn="0" w:firstRowLastColumn="0" w:lastRowFirstColumn="0" w:lastRowLastColumn="0"/>
              <w:rPr>
                <w:rFonts w:ascii="Gill Sans MT" w:hAnsi="Gill Sans MT"/>
                <w:b w:val="0"/>
                <w:sz w:val="16"/>
                <w:szCs w:val="18"/>
              </w:rPr>
            </w:pPr>
            <w:r w:rsidRPr="007124DD">
              <w:rPr>
                <w:rFonts w:ascii="Gill Sans MT" w:hAnsi="Gill Sans MT"/>
                <w:sz w:val="16"/>
                <w:szCs w:val="18"/>
              </w:rPr>
              <w:t>Type</w:t>
            </w:r>
          </w:p>
        </w:tc>
      </w:tr>
      <w:tr w:rsidR="007124DD" w:rsidRPr="007124DD" w14:paraId="57E4F8EC"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14:paraId="6B734CF0" w14:textId="77777777" w:rsidR="00080520" w:rsidRPr="007124DD" w:rsidRDefault="00080520" w:rsidP="00080520">
            <w:pPr>
              <w:pStyle w:val="NoSpacing"/>
              <w:rPr>
                <w:rFonts w:ascii="Gill Sans MT" w:hAnsi="Gill Sans MT"/>
                <w:sz w:val="16"/>
                <w:szCs w:val="18"/>
              </w:rPr>
            </w:pPr>
            <w:r w:rsidRPr="007124DD">
              <w:rPr>
                <w:rFonts w:ascii="Gill Sans MT" w:hAnsi="Gill Sans MT"/>
                <w:sz w:val="16"/>
                <w:szCs w:val="18"/>
              </w:rPr>
              <w:t>On Bead</w:t>
            </w:r>
          </w:p>
        </w:tc>
        <w:tc>
          <w:tcPr>
            <w:tcW w:w="457" w:type="pct"/>
          </w:tcPr>
          <w:p w14:paraId="415B7C03"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IgA</w:t>
            </w:r>
          </w:p>
        </w:tc>
        <w:tc>
          <w:tcPr>
            <w:tcW w:w="1825" w:type="pct"/>
          </w:tcPr>
          <w:p w14:paraId="6DB15D6C"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 xml:space="preserve">Anti-human IgA </w:t>
            </w:r>
            <w:proofErr w:type="spellStart"/>
            <w:r w:rsidRPr="007124DD">
              <w:rPr>
                <w:rFonts w:ascii="Gill Sans MT" w:hAnsi="Gill Sans MT"/>
                <w:sz w:val="16"/>
                <w:szCs w:val="18"/>
              </w:rPr>
              <w:t>mAb</w:t>
            </w:r>
            <w:proofErr w:type="spellEnd"/>
          </w:p>
        </w:tc>
        <w:tc>
          <w:tcPr>
            <w:tcW w:w="756" w:type="pct"/>
          </w:tcPr>
          <w:p w14:paraId="4859EC60"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Mabtech</w:t>
            </w:r>
            <w:proofErr w:type="spellEnd"/>
            <w:r w:rsidRPr="007124DD">
              <w:rPr>
                <w:rFonts w:ascii="Gill Sans MT" w:hAnsi="Gill Sans MT"/>
                <w:sz w:val="16"/>
                <w:szCs w:val="18"/>
              </w:rPr>
              <w:t>, Inc.</w:t>
            </w:r>
          </w:p>
        </w:tc>
        <w:tc>
          <w:tcPr>
            <w:tcW w:w="869" w:type="pct"/>
          </w:tcPr>
          <w:p w14:paraId="3CCDE755"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Cincinatti</w:t>
            </w:r>
            <w:proofErr w:type="spellEnd"/>
            <w:r w:rsidRPr="007124DD">
              <w:rPr>
                <w:rFonts w:ascii="Gill Sans MT" w:hAnsi="Gill Sans MT"/>
                <w:sz w:val="16"/>
                <w:szCs w:val="18"/>
              </w:rPr>
              <w:t>, OH, USA</w:t>
            </w:r>
          </w:p>
        </w:tc>
        <w:tc>
          <w:tcPr>
            <w:tcW w:w="605" w:type="pct"/>
          </w:tcPr>
          <w:p w14:paraId="42307428"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Clone MT57</w:t>
            </w:r>
          </w:p>
        </w:tc>
      </w:tr>
      <w:tr w:rsidR="00080520" w:rsidRPr="007124DD" w14:paraId="23491FBD" w14:textId="77777777" w:rsidTr="007124DD">
        <w:tc>
          <w:tcPr>
            <w:cnfStyle w:val="001000000000" w:firstRow="0" w:lastRow="0" w:firstColumn="1" w:lastColumn="0" w:oddVBand="0" w:evenVBand="0" w:oddHBand="0" w:evenHBand="0" w:firstRowFirstColumn="0" w:firstRowLastColumn="0" w:lastRowFirstColumn="0" w:lastRowLastColumn="0"/>
            <w:tcW w:w="488" w:type="pct"/>
          </w:tcPr>
          <w:p w14:paraId="062E6023" w14:textId="77777777" w:rsidR="00080520" w:rsidRPr="007124DD" w:rsidRDefault="00080520" w:rsidP="00080520">
            <w:pPr>
              <w:pStyle w:val="NoSpacing"/>
              <w:rPr>
                <w:rFonts w:ascii="Gill Sans MT" w:hAnsi="Gill Sans MT"/>
                <w:b w:val="0"/>
                <w:sz w:val="16"/>
                <w:szCs w:val="18"/>
              </w:rPr>
            </w:pPr>
          </w:p>
        </w:tc>
        <w:tc>
          <w:tcPr>
            <w:tcW w:w="457" w:type="pct"/>
          </w:tcPr>
          <w:p w14:paraId="3C2ACF7E" w14:textId="77777777" w:rsidR="00080520" w:rsidRPr="007124DD"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IgD</w:t>
            </w:r>
            <w:proofErr w:type="spellEnd"/>
          </w:p>
        </w:tc>
        <w:tc>
          <w:tcPr>
            <w:tcW w:w="1825" w:type="pct"/>
          </w:tcPr>
          <w:p w14:paraId="5166F821"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 xml:space="preserve">Goat anti-human </w:t>
            </w:r>
            <w:proofErr w:type="spellStart"/>
            <w:r w:rsidRPr="007124DD">
              <w:rPr>
                <w:rFonts w:ascii="Gill Sans MT" w:hAnsi="Gill Sans MT"/>
                <w:sz w:val="16"/>
                <w:szCs w:val="18"/>
              </w:rPr>
              <w:t>IgD</w:t>
            </w:r>
            <w:proofErr w:type="spellEnd"/>
            <w:r w:rsidRPr="007124DD">
              <w:rPr>
                <w:rFonts w:ascii="Gill Sans MT" w:hAnsi="Gill Sans MT"/>
                <w:sz w:val="16"/>
                <w:szCs w:val="18"/>
              </w:rPr>
              <w:t xml:space="preserve"> antibody</w:t>
            </w:r>
          </w:p>
        </w:tc>
        <w:tc>
          <w:tcPr>
            <w:tcW w:w="756" w:type="pct"/>
          </w:tcPr>
          <w:p w14:paraId="7649DE48"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Bethyl</w:t>
            </w:r>
            <w:proofErr w:type="spellEnd"/>
            <w:r w:rsidRPr="007124DD">
              <w:rPr>
                <w:rFonts w:ascii="Gill Sans MT" w:hAnsi="Gill Sans MT"/>
                <w:sz w:val="16"/>
                <w:szCs w:val="18"/>
              </w:rPr>
              <w:t xml:space="preserve"> Laboratories</w:t>
            </w:r>
          </w:p>
        </w:tc>
        <w:tc>
          <w:tcPr>
            <w:tcW w:w="869" w:type="pct"/>
          </w:tcPr>
          <w:p w14:paraId="0AE15743"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Montgomery, TX, USA</w:t>
            </w:r>
          </w:p>
        </w:tc>
        <w:tc>
          <w:tcPr>
            <w:tcW w:w="605" w:type="pct"/>
          </w:tcPr>
          <w:p w14:paraId="01DD566C"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Polyclonal</w:t>
            </w:r>
          </w:p>
        </w:tc>
      </w:tr>
      <w:tr w:rsidR="007124DD" w:rsidRPr="007124DD" w14:paraId="4224E481"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14:paraId="47535979" w14:textId="77777777" w:rsidR="00080520" w:rsidRPr="007124DD" w:rsidRDefault="00080520" w:rsidP="00080520">
            <w:pPr>
              <w:pStyle w:val="NoSpacing"/>
              <w:rPr>
                <w:rFonts w:ascii="Gill Sans MT" w:hAnsi="Gill Sans MT"/>
                <w:b w:val="0"/>
                <w:sz w:val="16"/>
                <w:szCs w:val="18"/>
              </w:rPr>
            </w:pPr>
          </w:p>
        </w:tc>
        <w:tc>
          <w:tcPr>
            <w:tcW w:w="457" w:type="pct"/>
          </w:tcPr>
          <w:p w14:paraId="639C5032"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IgM</w:t>
            </w:r>
          </w:p>
        </w:tc>
        <w:tc>
          <w:tcPr>
            <w:tcW w:w="1825" w:type="pct"/>
          </w:tcPr>
          <w:p w14:paraId="7EBD74D0"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Anti-human IgM Antibody</w:t>
            </w:r>
          </w:p>
        </w:tc>
        <w:tc>
          <w:tcPr>
            <w:tcW w:w="756" w:type="pct"/>
          </w:tcPr>
          <w:p w14:paraId="453749EC"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AB Biotechnologies</w:t>
            </w:r>
          </w:p>
        </w:tc>
        <w:tc>
          <w:tcPr>
            <w:tcW w:w="869" w:type="pct"/>
          </w:tcPr>
          <w:p w14:paraId="751BAE09"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Bloomington, IN, USA</w:t>
            </w:r>
          </w:p>
        </w:tc>
        <w:tc>
          <w:tcPr>
            <w:tcW w:w="605" w:type="pct"/>
          </w:tcPr>
          <w:p w14:paraId="41F07E2A"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Monoclonal</w:t>
            </w:r>
          </w:p>
        </w:tc>
      </w:tr>
      <w:tr w:rsidR="00080520" w:rsidRPr="007124DD" w14:paraId="2A14989B" w14:textId="77777777" w:rsidTr="007124DD">
        <w:tc>
          <w:tcPr>
            <w:cnfStyle w:val="001000000000" w:firstRow="0" w:lastRow="0" w:firstColumn="1" w:lastColumn="0" w:oddVBand="0" w:evenVBand="0" w:oddHBand="0" w:evenHBand="0" w:firstRowFirstColumn="0" w:firstRowLastColumn="0" w:lastRowFirstColumn="0" w:lastRowLastColumn="0"/>
            <w:tcW w:w="488" w:type="pct"/>
          </w:tcPr>
          <w:p w14:paraId="1C5EFB23" w14:textId="77777777" w:rsidR="00080520" w:rsidRPr="007124DD" w:rsidRDefault="00080520" w:rsidP="00080520">
            <w:pPr>
              <w:pStyle w:val="NoSpacing"/>
              <w:rPr>
                <w:rFonts w:ascii="Gill Sans MT" w:hAnsi="Gill Sans MT"/>
                <w:b w:val="0"/>
                <w:sz w:val="16"/>
                <w:szCs w:val="18"/>
              </w:rPr>
            </w:pPr>
          </w:p>
        </w:tc>
        <w:tc>
          <w:tcPr>
            <w:tcW w:w="457" w:type="pct"/>
          </w:tcPr>
          <w:p w14:paraId="02D53221" w14:textId="77777777" w:rsidR="00080520" w:rsidRPr="007124DD"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IgG</w:t>
            </w:r>
          </w:p>
        </w:tc>
        <w:tc>
          <w:tcPr>
            <w:tcW w:w="1825" w:type="pct"/>
          </w:tcPr>
          <w:p w14:paraId="47F0C93F"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Goat Anti-Human IgG Fc</w:t>
            </w:r>
          </w:p>
        </w:tc>
        <w:tc>
          <w:tcPr>
            <w:tcW w:w="756" w:type="pct"/>
          </w:tcPr>
          <w:p w14:paraId="7B6544A3"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Southern Biotech</w:t>
            </w:r>
          </w:p>
        </w:tc>
        <w:tc>
          <w:tcPr>
            <w:tcW w:w="869" w:type="pct"/>
          </w:tcPr>
          <w:p w14:paraId="77070E62"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Birmingham, AL, USA</w:t>
            </w:r>
          </w:p>
        </w:tc>
        <w:tc>
          <w:tcPr>
            <w:tcW w:w="605" w:type="pct"/>
          </w:tcPr>
          <w:p w14:paraId="64BFB877"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Polyclonal</w:t>
            </w:r>
          </w:p>
        </w:tc>
      </w:tr>
      <w:tr w:rsidR="007124DD" w:rsidRPr="007124DD" w14:paraId="348F0776"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14:paraId="732F30F2" w14:textId="77777777" w:rsidR="00080520" w:rsidRPr="007124DD" w:rsidRDefault="00080520" w:rsidP="00080520">
            <w:pPr>
              <w:pStyle w:val="NoSpacing"/>
              <w:rPr>
                <w:rFonts w:ascii="Gill Sans MT" w:hAnsi="Gill Sans MT"/>
                <w:b w:val="0"/>
                <w:sz w:val="16"/>
                <w:szCs w:val="18"/>
              </w:rPr>
            </w:pPr>
            <w:r w:rsidRPr="007124DD">
              <w:rPr>
                <w:rFonts w:ascii="Gill Sans MT" w:hAnsi="Gill Sans MT"/>
                <w:sz w:val="16"/>
                <w:szCs w:val="18"/>
              </w:rPr>
              <w:t>Detection</w:t>
            </w:r>
          </w:p>
        </w:tc>
        <w:tc>
          <w:tcPr>
            <w:tcW w:w="457" w:type="pct"/>
          </w:tcPr>
          <w:p w14:paraId="7475AE6B"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IgA</w:t>
            </w:r>
          </w:p>
        </w:tc>
        <w:tc>
          <w:tcPr>
            <w:tcW w:w="1825" w:type="pct"/>
          </w:tcPr>
          <w:p w14:paraId="61B13E79"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Goat Anti-Human IgA-PE</w:t>
            </w:r>
          </w:p>
        </w:tc>
        <w:tc>
          <w:tcPr>
            <w:tcW w:w="756" w:type="pct"/>
          </w:tcPr>
          <w:p w14:paraId="67B68EAE"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Southern Biotech</w:t>
            </w:r>
          </w:p>
        </w:tc>
        <w:tc>
          <w:tcPr>
            <w:tcW w:w="869" w:type="pct"/>
          </w:tcPr>
          <w:p w14:paraId="618CAA89"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Birmingham, AL, USA</w:t>
            </w:r>
          </w:p>
        </w:tc>
        <w:tc>
          <w:tcPr>
            <w:tcW w:w="605" w:type="pct"/>
          </w:tcPr>
          <w:p w14:paraId="6C77373D"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Polyclonal</w:t>
            </w:r>
          </w:p>
        </w:tc>
      </w:tr>
      <w:tr w:rsidR="00080520" w:rsidRPr="007124DD" w14:paraId="6C94A74D" w14:textId="77777777" w:rsidTr="007124DD">
        <w:tc>
          <w:tcPr>
            <w:cnfStyle w:val="001000000000" w:firstRow="0" w:lastRow="0" w:firstColumn="1" w:lastColumn="0" w:oddVBand="0" w:evenVBand="0" w:oddHBand="0" w:evenHBand="0" w:firstRowFirstColumn="0" w:firstRowLastColumn="0" w:lastRowFirstColumn="0" w:lastRowLastColumn="0"/>
            <w:tcW w:w="488" w:type="pct"/>
          </w:tcPr>
          <w:p w14:paraId="6E1E0DB6" w14:textId="77777777" w:rsidR="00080520" w:rsidRPr="007124DD" w:rsidRDefault="00080520" w:rsidP="00080520">
            <w:pPr>
              <w:pStyle w:val="NoSpacing"/>
              <w:rPr>
                <w:rFonts w:ascii="Gill Sans MT" w:hAnsi="Gill Sans MT"/>
                <w:sz w:val="16"/>
                <w:szCs w:val="18"/>
              </w:rPr>
            </w:pPr>
          </w:p>
        </w:tc>
        <w:tc>
          <w:tcPr>
            <w:tcW w:w="457" w:type="pct"/>
          </w:tcPr>
          <w:p w14:paraId="1200E2C6"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IgA1</w:t>
            </w:r>
          </w:p>
        </w:tc>
        <w:tc>
          <w:tcPr>
            <w:tcW w:w="1825" w:type="pct"/>
          </w:tcPr>
          <w:p w14:paraId="47088FE2"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Anti-Human IgA1 antibody*</w:t>
            </w:r>
          </w:p>
        </w:tc>
        <w:tc>
          <w:tcPr>
            <w:tcW w:w="756" w:type="pct"/>
          </w:tcPr>
          <w:p w14:paraId="2E84B5A8"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Abcam</w:t>
            </w:r>
            <w:proofErr w:type="spellEnd"/>
          </w:p>
        </w:tc>
        <w:tc>
          <w:tcPr>
            <w:tcW w:w="869" w:type="pct"/>
          </w:tcPr>
          <w:p w14:paraId="3439BEBB" w14:textId="77777777" w:rsidR="00080520" w:rsidRPr="007124DD"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Cambridge, UK</w:t>
            </w:r>
          </w:p>
        </w:tc>
        <w:tc>
          <w:tcPr>
            <w:tcW w:w="605" w:type="pct"/>
          </w:tcPr>
          <w:p w14:paraId="2656D777"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Clone RM124</w:t>
            </w:r>
          </w:p>
        </w:tc>
      </w:tr>
      <w:tr w:rsidR="007124DD" w:rsidRPr="007124DD" w14:paraId="1BE36861"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14:paraId="1DE32238" w14:textId="77777777" w:rsidR="00080520" w:rsidRPr="007124DD" w:rsidRDefault="00080520" w:rsidP="00080520">
            <w:pPr>
              <w:pStyle w:val="NoSpacing"/>
              <w:rPr>
                <w:rFonts w:ascii="Gill Sans MT" w:hAnsi="Gill Sans MT"/>
                <w:sz w:val="16"/>
                <w:szCs w:val="18"/>
              </w:rPr>
            </w:pPr>
          </w:p>
        </w:tc>
        <w:tc>
          <w:tcPr>
            <w:tcW w:w="457" w:type="pct"/>
          </w:tcPr>
          <w:p w14:paraId="2DA491E4"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IgA2</w:t>
            </w:r>
          </w:p>
        </w:tc>
        <w:tc>
          <w:tcPr>
            <w:tcW w:w="1825" w:type="pct"/>
          </w:tcPr>
          <w:p w14:paraId="1D7D9F9D"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Anti-IgA2 antibody *</w:t>
            </w:r>
          </w:p>
        </w:tc>
        <w:tc>
          <w:tcPr>
            <w:tcW w:w="756" w:type="pct"/>
          </w:tcPr>
          <w:p w14:paraId="7760FDF5"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Abcam</w:t>
            </w:r>
            <w:proofErr w:type="spellEnd"/>
          </w:p>
        </w:tc>
        <w:tc>
          <w:tcPr>
            <w:tcW w:w="869" w:type="pct"/>
          </w:tcPr>
          <w:p w14:paraId="5EFB9B7C"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Cambridge, UK</w:t>
            </w:r>
          </w:p>
        </w:tc>
        <w:tc>
          <w:tcPr>
            <w:tcW w:w="605" w:type="pct"/>
          </w:tcPr>
          <w:p w14:paraId="7588CB12"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Clone RM125</w:t>
            </w:r>
          </w:p>
        </w:tc>
      </w:tr>
      <w:tr w:rsidR="00080520" w:rsidRPr="007124DD" w14:paraId="5A02B76E" w14:textId="77777777" w:rsidTr="007124DD">
        <w:tc>
          <w:tcPr>
            <w:cnfStyle w:val="001000000000" w:firstRow="0" w:lastRow="0" w:firstColumn="1" w:lastColumn="0" w:oddVBand="0" w:evenVBand="0" w:oddHBand="0" w:evenHBand="0" w:firstRowFirstColumn="0" w:firstRowLastColumn="0" w:lastRowFirstColumn="0" w:lastRowLastColumn="0"/>
            <w:tcW w:w="488" w:type="pct"/>
          </w:tcPr>
          <w:p w14:paraId="7E280802" w14:textId="77777777" w:rsidR="00080520" w:rsidRPr="007124DD" w:rsidRDefault="00080520" w:rsidP="00080520">
            <w:pPr>
              <w:pStyle w:val="NoSpacing"/>
              <w:rPr>
                <w:rFonts w:ascii="Gill Sans MT" w:hAnsi="Gill Sans MT"/>
                <w:sz w:val="16"/>
                <w:szCs w:val="18"/>
              </w:rPr>
            </w:pPr>
          </w:p>
        </w:tc>
        <w:tc>
          <w:tcPr>
            <w:tcW w:w="457" w:type="pct"/>
          </w:tcPr>
          <w:p w14:paraId="60C82C76"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IgM</w:t>
            </w:r>
          </w:p>
        </w:tc>
        <w:tc>
          <w:tcPr>
            <w:tcW w:w="1825" w:type="pct"/>
          </w:tcPr>
          <w:p w14:paraId="7A5E8EE5"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Mouse Anti-Human IgM-PE</w:t>
            </w:r>
          </w:p>
        </w:tc>
        <w:tc>
          <w:tcPr>
            <w:tcW w:w="756" w:type="pct"/>
          </w:tcPr>
          <w:p w14:paraId="189CD3D7"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Southern Biotech</w:t>
            </w:r>
          </w:p>
        </w:tc>
        <w:tc>
          <w:tcPr>
            <w:tcW w:w="869" w:type="pct"/>
          </w:tcPr>
          <w:p w14:paraId="5377A144" w14:textId="77777777" w:rsidR="00080520" w:rsidRPr="007124DD"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Birmingham, AL, USA</w:t>
            </w:r>
          </w:p>
        </w:tc>
        <w:tc>
          <w:tcPr>
            <w:tcW w:w="605" w:type="pct"/>
          </w:tcPr>
          <w:p w14:paraId="2F729674"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Clone SA-DA4</w:t>
            </w:r>
          </w:p>
        </w:tc>
      </w:tr>
      <w:tr w:rsidR="007124DD" w:rsidRPr="007124DD" w14:paraId="4BF8EC9C"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14:paraId="3543E841" w14:textId="77777777" w:rsidR="00080520" w:rsidRPr="007124DD" w:rsidRDefault="00080520" w:rsidP="00080520">
            <w:pPr>
              <w:pStyle w:val="NoSpacing"/>
              <w:rPr>
                <w:rFonts w:ascii="Gill Sans MT" w:hAnsi="Gill Sans MT"/>
                <w:sz w:val="16"/>
                <w:szCs w:val="18"/>
              </w:rPr>
            </w:pPr>
          </w:p>
        </w:tc>
        <w:tc>
          <w:tcPr>
            <w:tcW w:w="457" w:type="pct"/>
          </w:tcPr>
          <w:p w14:paraId="0931D1AB"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IgD</w:t>
            </w:r>
            <w:proofErr w:type="spellEnd"/>
          </w:p>
        </w:tc>
        <w:tc>
          <w:tcPr>
            <w:tcW w:w="1825" w:type="pct"/>
          </w:tcPr>
          <w:p w14:paraId="57454E9B" w14:textId="77777777" w:rsidR="00080520" w:rsidRPr="007124DD" w:rsidRDefault="007124DD"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Pr>
                <w:rFonts w:ascii="Gill Sans MT" w:hAnsi="Gill Sans MT"/>
                <w:sz w:val="16"/>
                <w:szCs w:val="18"/>
              </w:rPr>
              <w:t xml:space="preserve">Mouse </w:t>
            </w:r>
            <w:r w:rsidR="00080520" w:rsidRPr="007124DD">
              <w:rPr>
                <w:rFonts w:ascii="Gill Sans MT" w:hAnsi="Gill Sans MT"/>
                <w:sz w:val="16"/>
                <w:szCs w:val="18"/>
              </w:rPr>
              <w:t xml:space="preserve">Anti-Human </w:t>
            </w:r>
            <w:proofErr w:type="spellStart"/>
            <w:r w:rsidR="00080520" w:rsidRPr="007124DD">
              <w:rPr>
                <w:rFonts w:ascii="Gill Sans MT" w:hAnsi="Gill Sans MT"/>
                <w:sz w:val="16"/>
                <w:szCs w:val="18"/>
              </w:rPr>
              <w:t>IgD</w:t>
            </w:r>
            <w:proofErr w:type="spellEnd"/>
            <w:r w:rsidR="00080520" w:rsidRPr="007124DD">
              <w:rPr>
                <w:rFonts w:ascii="Gill Sans MT" w:hAnsi="Gill Sans MT"/>
                <w:sz w:val="16"/>
                <w:szCs w:val="18"/>
              </w:rPr>
              <w:t xml:space="preserve"> delta chain (</w:t>
            </w:r>
            <w:proofErr w:type="spellStart"/>
            <w:r w:rsidR="00080520" w:rsidRPr="007124DD">
              <w:rPr>
                <w:rFonts w:ascii="Gill Sans MT" w:hAnsi="Gill Sans MT"/>
                <w:sz w:val="16"/>
                <w:szCs w:val="18"/>
              </w:rPr>
              <w:t>Phycoerythrin</w:t>
            </w:r>
            <w:proofErr w:type="spellEnd"/>
            <w:r w:rsidR="00080520" w:rsidRPr="007124DD">
              <w:rPr>
                <w:rFonts w:ascii="Gill Sans MT" w:hAnsi="Gill Sans MT"/>
                <w:sz w:val="16"/>
                <w:szCs w:val="18"/>
              </w:rPr>
              <w:t>)</w:t>
            </w:r>
          </w:p>
        </w:tc>
        <w:tc>
          <w:tcPr>
            <w:tcW w:w="756" w:type="pct"/>
          </w:tcPr>
          <w:p w14:paraId="18E58713"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proofErr w:type="spellStart"/>
            <w:r w:rsidRPr="007124DD">
              <w:rPr>
                <w:rFonts w:ascii="Gill Sans MT" w:hAnsi="Gill Sans MT"/>
                <w:sz w:val="16"/>
                <w:szCs w:val="18"/>
              </w:rPr>
              <w:t>Abcam</w:t>
            </w:r>
            <w:proofErr w:type="spellEnd"/>
          </w:p>
        </w:tc>
        <w:tc>
          <w:tcPr>
            <w:tcW w:w="869" w:type="pct"/>
          </w:tcPr>
          <w:p w14:paraId="387B938F"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Cambridge, UK</w:t>
            </w:r>
          </w:p>
        </w:tc>
        <w:tc>
          <w:tcPr>
            <w:tcW w:w="605" w:type="pct"/>
          </w:tcPr>
          <w:p w14:paraId="77D89C81"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Clone IADB6</w:t>
            </w:r>
          </w:p>
        </w:tc>
      </w:tr>
      <w:tr w:rsidR="00080520" w:rsidRPr="007124DD" w14:paraId="18A39B41" w14:textId="77777777" w:rsidTr="007124DD">
        <w:tc>
          <w:tcPr>
            <w:cnfStyle w:val="001000000000" w:firstRow="0" w:lastRow="0" w:firstColumn="1" w:lastColumn="0" w:oddVBand="0" w:evenVBand="0" w:oddHBand="0" w:evenHBand="0" w:firstRowFirstColumn="0" w:firstRowLastColumn="0" w:lastRowFirstColumn="0" w:lastRowLastColumn="0"/>
            <w:tcW w:w="488" w:type="pct"/>
          </w:tcPr>
          <w:p w14:paraId="2799FE4E" w14:textId="77777777" w:rsidR="00080520" w:rsidRPr="007124DD" w:rsidRDefault="00080520" w:rsidP="00080520">
            <w:pPr>
              <w:pStyle w:val="NoSpacing"/>
              <w:rPr>
                <w:rFonts w:ascii="Gill Sans MT" w:hAnsi="Gill Sans MT"/>
                <w:sz w:val="16"/>
                <w:szCs w:val="18"/>
              </w:rPr>
            </w:pPr>
          </w:p>
        </w:tc>
        <w:tc>
          <w:tcPr>
            <w:tcW w:w="457" w:type="pct"/>
          </w:tcPr>
          <w:p w14:paraId="59BDC3D0"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IgG</w:t>
            </w:r>
          </w:p>
        </w:tc>
        <w:tc>
          <w:tcPr>
            <w:tcW w:w="1825" w:type="pct"/>
          </w:tcPr>
          <w:p w14:paraId="600DD55B"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Mouse Anti-Human IgG Fc-PE</w:t>
            </w:r>
          </w:p>
        </w:tc>
        <w:tc>
          <w:tcPr>
            <w:tcW w:w="756" w:type="pct"/>
          </w:tcPr>
          <w:p w14:paraId="0DBEF940"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Southern Biotech</w:t>
            </w:r>
          </w:p>
        </w:tc>
        <w:tc>
          <w:tcPr>
            <w:tcW w:w="869" w:type="pct"/>
          </w:tcPr>
          <w:p w14:paraId="726CC305" w14:textId="77777777" w:rsidR="00080520" w:rsidRPr="007124DD" w:rsidRDefault="00080520" w:rsidP="00080520">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Birmingham, AL, USA</w:t>
            </w:r>
          </w:p>
        </w:tc>
        <w:tc>
          <w:tcPr>
            <w:tcW w:w="605" w:type="pct"/>
          </w:tcPr>
          <w:p w14:paraId="51828E8D" w14:textId="77777777" w:rsidR="00080520" w:rsidRPr="007124DD" w:rsidRDefault="00080520" w:rsidP="00080520">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Clone JDC-10</w:t>
            </w:r>
          </w:p>
        </w:tc>
      </w:tr>
      <w:tr w:rsidR="007124DD" w:rsidRPr="007124DD" w14:paraId="5172E142" w14:textId="77777777" w:rsidTr="00712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14:paraId="5787D2E5" w14:textId="77777777" w:rsidR="00080520" w:rsidRPr="007124DD" w:rsidRDefault="00080520" w:rsidP="00080520">
            <w:pPr>
              <w:pStyle w:val="NoSpacing"/>
              <w:rPr>
                <w:rFonts w:ascii="Gill Sans MT" w:hAnsi="Gill Sans MT"/>
                <w:sz w:val="16"/>
                <w:szCs w:val="18"/>
              </w:rPr>
            </w:pPr>
          </w:p>
        </w:tc>
        <w:tc>
          <w:tcPr>
            <w:tcW w:w="457" w:type="pct"/>
          </w:tcPr>
          <w:p w14:paraId="10B28392"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Rabbit IgG</w:t>
            </w:r>
          </w:p>
        </w:tc>
        <w:tc>
          <w:tcPr>
            <w:tcW w:w="1825" w:type="pct"/>
          </w:tcPr>
          <w:p w14:paraId="2B6E2C7E"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Goat anti-rabbit IgG-PE</w:t>
            </w:r>
          </w:p>
        </w:tc>
        <w:tc>
          <w:tcPr>
            <w:tcW w:w="756" w:type="pct"/>
          </w:tcPr>
          <w:p w14:paraId="3CAD96F2"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Southern Biotech</w:t>
            </w:r>
          </w:p>
        </w:tc>
        <w:tc>
          <w:tcPr>
            <w:tcW w:w="869" w:type="pct"/>
          </w:tcPr>
          <w:p w14:paraId="6A848C17" w14:textId="77777777" w:rsidR="00080520" w:rsidRPr="007124DD" w:rsidRDefault="00080520" w:rsidP="00080520">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Birmingham, AL, USA</w:t>
            </w:r>
          </w:p>
        </w:tc>
        <w:tc>
          <w:tcPr>
            <w:tcW w:w="605" w:type="pct"/>
          </w:tcPr>
          <w:p w14:paraId="79FF47D0" w14:textId="77777777" w:rsidR="00080520" w:rsidRPr="007124DD" w:rsidRDefault="00080520" w:rsidP="00080520">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7124DD">
              <w:rPr>
                <w:rFonts w:ascii="Gill Sans MT" w:hAnsi="Gill Sans MT"/>
                <w:sz w:val="16"/>
                <w:szCs w:val="18"/>
              </w:rPr>
              <w:t>Polyclonal</w:t>
            </w:r>
          </w:p>
        </w:tc>
      </w:tr>
    </w:tbl>
    <w:p w14:paraId="3F3893FE" w14:textId="77777777" w:rsidR="00080520" w:rsidRPr="00244CF1" w:rsidRDefault="00080520" w:rsidP="00080520">
      <w:pPr>
        <w:spacing w:after="160"/>
      </w:pPr>
      <w:r w:rsidRPr="00244CF1">
        <w:rPr>
          <w:rFonts w:ascii="Gill Sans MT" w:hAnsi="Gill Sans MT"/>
          <w:sz w:val="20"/>
        </w:rPr>
        <w:t xml:space="preserve">* IgA1 and IgA2 antibodies were not PE labeled and required an additional incubation with anti-rabbit IgG-PE.  </w:t>
      </w:r>
      <w:r w:rsidRPr="00244CF1">
        <w:rPr>
          <w:rFonts w:ascii="Gill Sans MT" w:hAnsi="Gill Sans MT"/>
          <w:sz w:val="20"/>
          <w:szCs w:val="18"/>
          <w:lang w:val="en-GB"/>
        </w:rPr>
        <w:t xml:space="preserve">Abbreviations: Ig = immunoglobulin; </w:t>
      </w:r>
      <w:proofErr w:type="spellStart"/>
      <w:r w:rsidRPr="00244CF1">
        <w:rPr>
          <w:rFonts w:ascii="Gill Sans MT" w:hAnsi="Gill Sans MT"/>
          <w:sz w:val="20"/>
          <w:szCs w:val="18"/>
          <w:lang w:val="en-GB"/>
        </w:rPr>
        <w:t>mAB</w:t>
      </w:r>
      <w:proofErr w:type="spellEnd"/>
      <w:r w:rsidRPr="00244CF1">
        <w:rPr>
          <w:rFonts w:ascii="Gill Sans MT" w:hAnsi="Gill Sans MT"/>
          <w:sz w:val="20"/>
          <w:szCs w:val="18"/>
          <w:lang w:val="en-GB"/>
        </w:rPr>
        <w:t xml:space="preserve"> = monoclonal antibody; FC = fragment </w:t>
      </w:r>
      <w:proofErr w:type="spellStart"/>
      <w:r w:rsidRPr="00244CF1">
        <w:rPr>
          <w:rFonts w:ascii="Gill Sans MT" w:hAnsi="Gill Sans MT"/>
          <w:sz w:val="20"/>
          <w:szCs w:val="18"/>
          <w:lang w:val="en-GB"/>
        </w:rPr>
        <w:t>crystallizable</w:t>
      </w:r>
      <w:proofErr w:type="spellEnd"/>
      <w:r w:rsidRPr="00244CF1">
        <w:rPr>
          <w:rFonts w:ascii="Gill Sans MT" w:hAnsi="Gill Sans MT"/>
          <w:sz w:val="20"/>
          <w:szCs w:val="18"/>
          <w:lang w:val="en-GB"/>
        </w:rPr>
        <w:t xml:space="preserve">; PE = </w:t>
      </w:r>
      <w:proofErr w:type="spellStart"/>
      <w:r w:rsidRPr="00244CF1">
        <w:rPr>
          <w:rFonts w:ascii="Gill Sans MT" w:hAnsi="Gill Sans MT"/>
          <w:sz w:val="20"/>
          <w:szCs w:val="18"/>
          <w:lang w:val="en-GB"/>
        </w:rPr>
        <w:t>Phycoerythrin</w:t>
      </w:r>
      <w:proofErr w:type="spellEnd"/>
      <w:r w:rsidR="007124DD">
        <w:rPr>
          <w:rFonts w:ascii="Gill Sans MT" w:hAnsi="Gill Sans MT"/>
          <w:sz w:val="20"/>
          <w:szCs w:val="18"/>
          <w:lang w:val="en-GB"/>
        </w:rPr>
        <w:t>.</w:t>
      </w:r>
    </w:p>
    <w:p w14:paraId="78924A24" w14:textId="77777777" w:rsidR="00080520" w:rsidRPr="00244CF1" w:rsidRDefault="00080520" w:rsidP="00080520">
      <w:pPr>
        <w:spacing w:after="160"/>
        <w:rPr>
          <w:rFonts w:ascii="Gill Sans MT" w:eastAsia="Times New Roman" w:hAnsi="Gill Sans MT"/>
          <w:b/>
          <w:bCs/>
          <w:szCs w:val="32"/>
        </w:rPr>
      </w:pPr>
    </w:p>
    <w:p w14:paraId="1F33433D" w14:textId="77777777" w:rsidR="00080520" w:rsidRPr="007124DD" w:rsidRDefault="00080520" w:rsidP="00080520">
      <w:pPr>
        <w:spacing w:after="160"/>
        <w:rPr>
          <w:rFonts w:ascii="Gill Sans MT" w:eastAsia="Times New Roman" w:hAnsi="Gill Sans MT"/>
          <w:b/>
          <w:bCs/>
          <w:szCs w:val="32"/>
        </w:rPr>
      </w:pPr>
      <w:r w:rsidRPr="00244CF1">
        <w:rPr>
          <w:rFonts w:ascii="Gill Sans MT" w:hAnsi="Gill Sans MT"/>
          <w:b/>
          <w:szCs w:val="24"/>
          <w:lang w:val="en-GB"/>
        </w:rPr>
        <w:br w:type="page"/>
      </w:r>
    </w:p>
    <w:p w14:paraId="0CA72DE4" w14:textId="77777777" w:rsidR="00080520" w:rsidRDefault="00080520" w:rsidP="00080520">
      <w:pPr>
        <w:jc w:val="both"/>
        <w:rPr>
          <w:rFonts w:ascii="Gill Sans MT" w:eastAsia="Times New Roman" w:hAnsi="Gill Sans MT"/>
          <w:szCs w:val="32"/>
        </w:rPr>
      </w:pPr>
      <w:r w:rsidRPr="00244CF1">
        <w:rPr>
          <w:rFonts w:ascii="Gill Sans MT" w:eastAsia="Times New Roman" w:hAnsi="Gill Sans MT"/>
          <w:b/>
          <w:bCs/>
          <w:szCs w:val="32"/>
        </w:rPr>
        <w:lastRenderedPageBreak/>
        <w:t>Supplementary Figure 1. Schematic overview of the multiplexed assay to characterize immunoglobulins present in stool samples</w:t>
      </w:r>
      <w:r w:rsidRPr="00244CF1">
        <w:rPr>
          <w:rFonts w:ascii="Gill Sans MT" w:eastAsia="Times New Roman" w:hAnsi="Gill Sans MT"/>
          <w:szCs w:val="32"/>
        </w:rPr>
        <w:t>. (</w:t>
      </w:r>
      <w:r w:rsidRPr="00244CF1">
        <w:rPr>
          <w:rFonts w:ascii="Gill Sans MT" w:eastAsia="Times New Roman" w:hAnsi="Gill Sans MT"/>
          <w:bCs/>
          <w:szCs w:val="32"/>
        </w:rPr>
        <w:t>A</w:t>
      </w:r>
      <w:r w:rsidRPr="00244CF1">
        <w:rPr>
          <w:rFonts w:ascii="Gill Sans MT" w:eastAsia="Times New Roman" w:hAnsi="Gill Sans MT"/>
          <w:szCs w:val="32"/>
        </w:rPr>
        <w:t xml:space="preserve">) First, whole </w:t>
      </w:r>
      <w:r>
        <w:rPr>
          <w:rFonts w:ascii="Gill Sans MT" w:eastAsia="Times New Roman" w:hAnsi="Gill Sans MT"/>
          <w:szCs w:val="32"/>
        </w:rPr>
        <w:t xml:space="preserve">inactivated </w:t>
      </w:r>
      <w:r w:rsidRPr="00244CF1">
        <w:rPr>
          <w:rFonts w:ascii="Gill Sans MT" w:eastAsia="Times New Roman" w:hAnsi="Gill Sans MT"/>
          <w:szCs w:val="32"/>
        </w:rPr>
        <w:t>polio</w:t>
      </w:r>
      <w:r>
        <w:rPr>
          <w:rFonts w:ascii="Gill Sans MT" w:eastAsia="Times New Roman" w:hAnsi="Gill Sans MT"/>
          <w:szCs w:val="32"/>
        </w:rPr>
        <w:t>virus</w:t>
      </w:r>
      <w:r w:rsidRPr="00244CF1">
        <w:rPr>
          <w:rFonts w:ascii="Gill Sans MT" w:eastAsia="Times New Roman" w:hAnsi="Gill Sans MT"/>
          <w:szCs w:val="32"/>
        </w:rPr>
        <w:t xml:space="preserve"> particles and </w:t>
      </w:r>
      <w:proofErr w:type="spellStart"/>
      <w:r w:rsidRPr="00244CF1">
        <w:rPr>
          <w:rFonts w:ascii="Gill Sans MT" w:eastAsia="Times New Roman" w:hAnsi="Gill Sans MT"/>
          <w:szCs w:val="32"/>
        </w:rPr>
        <w:t>isotyping</w:t>
      </w:r>
      <w:proofErr w:type="spellEnd"/>
      <w:r w:rsidRPr="00244CF1">
        <w:rPr>
          <w:rFonts w:ascii="Gill Sans MT" w:eastAsia="Times New Roman" w:hAnsi="Gill Sans MT"/>
          <w:szCs w:val="32"/>
        </w:rPr>
        <w:t xml:space="preserve"> reagents were covalently conjugated to fluorescently coded microspheres. (</w:t>
      </w:r>
      <w:r w:rsidRPr="00244CF1">
        <w:rPr>
          <w:rFonts w:ascii="Gill Sans MT" w:eastAsia="Times New Roman" w:hAnsi="Gill Sans MT"/>
          <w:bCs/>
          <w:szCs w:val="32"/>
        </w:rPr>
        <w:t>B</w:t>
      </w:r>
      <w:r w:rsidRPr="00244CF1">
        <w:rPr>
          <w:rFonts w:ascii="Gill Sans MT" w:eastAsia="Times New Roman" w:hAnsi="Gill Sans MT"/>
          <w:szCs w:val="32"/>
        </w:rPr>
        <w:t xml:space="preserve">) Second, to allow antibody isotypes and virus-specific antibodies to be affinity purified from the bulk mixture, conjugated microspheres were mixed with stool samples, and the bead-bound antibodies were detected with fluorescent secondary reagents specific for IgA, IgA1, IgA2, </w:t>
      </w:r>
      <w:proofErr w:type="spellStart"/>
      <w:r w:rsidRPr="00244CF1">
        <w:rPr>
          <w:rFonts w:ascii="Gill Sans MT" w:eastAsia="Times New Roman" w:hAnsi="Gill Sans MT"/>
          <w:szCs w:val="32"/>
        </w:rPr>
        <w:t>IgD</w:t>
      </w:r>
      <w:proofErr w:type="spellEnd"/>
      <w:r w:rsidRPr="00244CF1">
        <w:rPr>
          <w:rFonts w:ascii="Gill Sans MT" w:eastAsia="Times New Roman" w:hAnsi="Gill Sans MT"/>
          <w:szCs w:val="32"/>
        </w:rPr>
        <w:t>, IgM, and IgG. (</w:t>
      </w:r>
      <w:r w:rsidRPr="00244CF1">
        <w:rPr>
          <w:rFonts w:ascii="Gill Sans MT" w:eastAsia="Times New Roman" w:hAnsi="Gill Sans MT"/>
          <w:bCs/>
          <w:szCs w:val="32"/>
        </w:rPr>
        <w:t>C</w:t>
      </w:r>
      <w:r w:rsidRPr="00244CF1">
        <w:rPr>
          <w:rFonts w:ascii="Gill Sans MT" w:eastAsia="Times New Roman" w:hAnsi="Gill Sans MT"/>
          <w:szCs w:val="32"/>
        </w:rPr>
        <w:t xml:space="preserve">) Finally, Mean Fluorescent </w:t>
      </w:r>
      <w:proofErr w:type="gramStart"/>
      <w:r w:rsidRPr="00244CF1">
        <w:rPr>
          <w:rFonts w:ascii="Gill Sans MT" w:eastAsia="Times New Roman" w:hAnsi="Gill Sans MT"/>
          <w:szCs w:val="32"/>
        </w:rPr>
        <w:t>signal</w:t>
      </w:r>
      <w:proofErr w:type="gramEnd"/>
      <w:r w:rsidRPr="00244CF1">
        <w:rPr>
          <w:rFonts w:ascii="Gill Sans MT" w:eastAsia="Times New Roman" w:hAnsi="Gill Sans MT"/>
          <w:szCs w:val="32"/>
        </w:rPr>
        <w:t xml:space="preserve"> Intensities (MFI) of the polio type-specific immunoglobulins were compared to those of an antibody standard to quantify relative concentrations.  Measurements were considered to be detectable if the relative concentration units were greater than three standard deviations above the background level of control samples.   </w:t>
      </w:r>
    </w:p>
    <w:p w14:paraId="0498362F" w14:textId="77777777" w:rsidR="00080520" w:rsidRPr="00244CF1" w:rsidRDefault="00080520" w:rsidP="00080520">
      <w:pPr>
        <w:suppressLineNumbers/>
        <w:spacing w:after="160"/>
        <w:jc w:val="both"/>
        <w:rPr>
          <w:rFonts w:ascii="Gill Sans MT" w:hAnsi="Gill Sans MT"/>
          <w:b/>
          <w:szCs w:val="24"/>
          <w:lang w:val="en-GB"/>
        </w:rPr>
      </w:pPr>
      <w:r>
        <w:rPr>
          <w:rFonts w:ascii="Gill Sans MT" w:hAnsi="Gill Sans MT"/>
          <w:b/>
          <w:noProof/>
          <w:szCs w:val="24"/>
        </w:rPr>
        <w:drawing>
          <wp:inline distT="0" distB="0" distL="0" distR="0" wp14:anchorId="2C9AB335" wp14:editId="45D9BD0A">
            <wp:extent cx="6858000" cy="202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inex-1.png"/>
                    <pic:cNvPicPr/>
                  </pic:nvPicPr>
                  <pic:blipFill>
                    <a:blip r:embed="rId4">
                      <a:extLst>
                        <a:ext uri="{28A0092B-C50C-407E-A947-70E740481C1C}">
                          <a14:useLocalDpi xmlns:a14="http://schemas.microsoft.com/office/drawing/2010/main" val="0"/>
                        </a:ext>
                      </a:extLst>
                    </a:blip>
                    <a:stretch>
                      <a:fillRect/>
                    </a:stretch>
                  </pic:blipFill>
                  <pic:spPr>
                    <a:xfrm>
                      <a:off x="0" y="0"/>
                      <a:ext cx="6858000" cy="2024380"/>
                    </a:xfrm>
                    <a:prstGeom prst="rect">
                      <a:avLst/>
                    </a:prstGeom>
                  </pic:spPr>
                </pic:pic>
              </a:graphicData>
            </a:graphic>
          </wp:inline>
        </w:drawing>
      </w:r>
    </w:p>
    <w:p w14:paraId="5E635EF2" w14:textId="77777777" w:rsidR="00080520" w:rsidRPr="00244CF1" w:rsidRDefault="00080520" w:rsidP="00080520">
      <w:pPr>
        <w:suppressLineNumbers/>
        <w:spacing w:after="160"/>
        <w:jc w:val="both"/>
        <w:rPr>
          <w:rFonts w:ascii="Gill Sans MT" w:hAnsi="Gill Sans MT"/>
          <w:b/>
          <w:szCs w:val="24"/>
          <w:lang w:val="en-GB"/>
        </w:rPr>
      </w:pPr>
    </w:p>
    <w:p w14:paraId="253E5AC2" w14:textId="77777777" w:rsidR="00080520" w:rsidRPr="00244CF1" w:rsidRDefault="00080520" w:rsidP="00080520">
      <w:pPr>
        <w:spacing w:after="160"/>
        <w:rPr>
          <w:rFonts w:ascii="Gill Sans MT" w:hAnsi="Gill Sans MT"/>
          <w:b/>
        </w:rPr>
      </w:pPr>
    </w:p>
    <w:p w14:paraId="642C8D15" w14:textId="77777777" w:rsidR="00080520" w:rsidRPr="00244CF1" w:rsidRDefault="00080520" w:rsidP="00080520">
      <w:pPr>
        <w:pStyle w:val="NoSpacing"/>
        <w:rPr>
          <w:rFonts w:ascii="Gill Sans MT" w:hAnsi="Gill Sans MT"/>
          <w:b/>
        </w:rPr>
        <w:sectPr w:rsidR="00080520" w:rsidRPr="00244CF1" w:rsidSect="003602A7">
          <w:pgSz w:w="12240" w:h="15840"/>
          <w:pgMar w:top="720" w:right="720" w:bottom="720" w:left="720" w:header="720" w:footer="720" w:gutter="0"/>
          <w:cols w:space="720"/>
          <w:docGrid w:linePitch="360"/>
        </w:sectPr>
      </w:pPr>
    </w:p>
    <w:p w14:paraId="1C2D38D8" w14:textId="77777777" w:rsidR="00080520" w:rsidRDefault="00080520" w:rsidP="00080520">
      <w:pPr>
        <w:suppressLineNumbers/>
        <w:spacing w:after="160"/>
        <w:jc w:val="both"/>
        <w:rPr>
          <w:rFonts w:ascii="Gill Sans MT" w:hAnsi="Gill Sans MT"/>
          <w:lang w:val="en-GB"/>
        </w:rPr>
      </w:pPr>
      <w:r w:rsidRPr="00244CF1">
        <w:rPr>
          <w:rFonts w:ascii="Gill Sans MT" w:hAnsi="Gill Sans MT"/>
          <w:b/>
        </w:rPr>
        <w:t>Supplementary Figure 2.  Polio type 2-specific intestinal immune responses to mOPV2 challenge by vaccine group assignment and shedding category</w:t>
      </w:r>
      <w:proofErr w:type="gramStart"/>
      <w:r w:rsidRPr="00244CF1">
        <w:rPr>
          <w:rFonts w:ascii="Gill Sans MT" w:hAnsi="Gill Sans MT"/>
          <w:b/>
        </w:rPr>
        <w:t>:  (</w:t>
      </w:r>
      <w:proofErr w:type="gramEnd"/>
      <w:r w:rsidRPr="00244CF1">
        <w:rPr>
          <w:rFonts w:ascii="Gill Sans MT" w:hAnsi="Gill Sans MT"/>
          <w:b/>
        </w:rPr>
        <w:t>A) neutralization titers</w:t>
      </w:r>
      <w:r w:rsidRPr="00244CF1">
        <w:rPr>
          <w:rFonts w:ascii="Gill Sans MT" w:hAnsi="Gill Sans MT"/>
          <w:b/>
          <w:szCs w:val="24"/>
          <w:lang w:val="en-GB"/>
        </w:rPr>
        <w:t xml:space="preserve">, (B) IgA levels, (C) IgA1 levels, (D) IgA2 levels, (E) </w:t>
      </w:r>
      <w:proofErr w:type="spellStart"/>
      <w:r w:rsidRPr="00244CF1">
        <w:rPr>
          <w:rFonts w:ascii="Gill Sans MT" w:hAnsi="Gill Sans MT"/>
          <w:b/>
          <w:szCs w:val="24"/>
          <w:lang w:val="en-GB"/>
        </w:rPr>
        <w:t>IgD</w:t>
      </w:r>
      <w:proofErr w:type="spellEnd"/>
      <w:r w:rsidRPr="00244CF1">
        <w:rPr>
          <w:rFonts w:ascii="Gill Sans MT" w:hAnsi="Gill Sans MT"/>
          <w:b/>
          <w:szCs w:val="24"/>
          <w:lang w:val="en-GB"/>
        </w:rPr>
        <w:t xml:space="preserve"> levels, and (F) IgM levels, all measured in stool at one to three weeks after mOPV2 challenge (i.e., 19 to 21 weeks of age).</w:t>
      </w:r>
      <w:r w:rsidRPr="00244CF1">
        <w:rPr>
          <w:rFonts w:ascii="Gill Sans MT" w:hAnsi="Gill Sans MT"/>
          <w:szCs w:val="24"/>
          <w:lang w:val="en-GB"/>
        </w:rPr>
        <w:t xml:space="preserve">  S</w:t>
      </w:r>
      <w:proofErr w:type="spellStart"/>
      <w:r w:rsidRPr="00244CF1">
        <w:rPr>
          <w:rFonts w:ascii="Gill Sans MT" w:hAnsi="Gill Sans MT"/>
        </w:rPr>
        <w:t>catter</w:t>
      </w:r>
      <w:proofErr w:type="spellEnd"/>
      <w:r w:rsidRPr="00244CF1">
        <w:rPr>
          <w:rFonts w:ascii="Gill Sans MT" w:hAnsi="Gill Sans MT"/>
        </w:rPr>
        <w:t xml:space="preserve"> plots indicate individual measurements.  LOESS curves (95% CI) were fitted by vaccine group and shedding category.  Abbreviations:  </w:t>
      </w:r>
      <w:r w:rsidRPr="00244CF1">
        <w:rPr>
          <w:rFonts w:ascii="Gill Sans MT" w:hAnsi="Gill Sans MT"/>
          <w:lang w:val="en-GB"/>
        </w:rPr>
        <w:t>IPV = trivalent inactivated polio vaccine; mIPV2HD = monovalent high dose inactivated polio type 2 vaccine.</w:t>
      </w:r>
    </w:p>
    <w:p w14:paraId="0DEA849F" w14:textId="77777777" w:rsidR="00080520" w:rsidRPr="00244CF1" w:rsidRDefault="00080520" w:rsidP="00080520">
      <w:pPr>
        <w:pStyle w:val="NoSpacing"/>
        <w:rPr>
          <w:rFonts w:ascii="Gill Sans MT" w:hAnsi="Gill Sans MT"/>
        </w:rPr>
      </w:pPr>
      <w:r w:rsidRPr="00244CF1">
        <w:rPr>
          <w:rFonts w:ascii="Gill Sans MT" w:hAnsi="Gill Sans MT"/>
        </w:rPr>
        <w:t>A</w:t>
      </w:r>
      <w:r>
        <w:rPr>
          <w:rFonts w:ascii="Gill Sans MT" w:hAnsi="Gill Sans MT"/>
        </w:rPr>
        <w:t>.</w:t>
      </w:r>
      <w:r>
        <w:rPr>
          <w:rFonts w:ascii="Gill Sans MT" w:hAnsi="Gill Sans MT"/>
          <w:noProof/>
        </w:rPr>
        <w:drawing>
          <wp:inline distT="0" distB="0" distL="0" distR="0" wp14:anchorId="4D35F8BB" wp14:editId="2A93FE71">
            <wp:extent cx="3200400" cy="221566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axneut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2215661"/>
                    </a:xfrm>
                    <a:prstGeom prst="rect">
                      <a:avLst/>
                    </a:prstGeom>
                  </pic:spPr>
                </pic:pic>
              </a:graphicData>
            </a:graphic>
          </wp:inline>
        </w:drawing>
      </w:r>
      <w:r w:rsidRPr="00244CF1">
        <w:rPr>
          <w:rFonts w:ascii="Gill Sans MT" w:hAnsi="Gill Sans MT"/>
        </w:rPr>
        <w:t xml:space="preserve">    B</w:t>
      </w:r>
      <w:r>
        <w:rPr>
          <w:rFonts w:ascii="Gill Sans MT" w:hAnsi="Gill Sans MT"/>
        </w:rPr>
        <w:t>.</w:t>
      </w:r>
      <w:r w:rsidRPr="00244CF1">
        <w:rPr>
          <w:rFonts w:ascii="Gill Sans MT" w:hAnsi="Gill Sans MT"/>
          <w:noProof/>
        </w:rPr>
        <w:t xml:space="preserve"> </w:t>
      </w:r>
      <w:r>
        <w:rPr>
          <w:rFonts w:ascii="Gill Sans MT" w:hAnsi="Gill Sans MT"/>
          <w:noProof/>
        </w:rPr>
        <w:drawing>
          <wp:inline distT="0" distB="0" distL="0" distR="0" wp14:anchorId="0A950D18" wp14:editId="1324159B">
            <wp:extent cx="3200400" cy="22156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axig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2215661"/>
                    </a:xfrm>
                    <a:prstGeom prst="rect">
                      <a:avLst/>
                    </a:prstGeom>
                  </pic:spPr>
                </pic:pic>
              </a:graphicData>
            </a:graphic>
          </wp:inline>
        </w:drawing>
      </w:r>
    </w:p>
    <w:p w14:paraId="78EE8C8B" w14:textId="77777777" w:rsidR="00080520" w:rsidRPr="00244CF1" w:rsidRDefault="00080520" w:rsidP="00080520">
      <w:pPr>
        <w:suppressLineNumbers/>
        <w:spacing w:after="160"/>
        <w:rPr>
          <w:rFonts w:ascii="Gill Sans MT" w:hAnsi="Gill Sans MT"/>
        </w:rPr>
      </w:pPr>
      <w:r w:rsidRPr="00244CF1">
        <w:rPr>
          <w:rFonts w:ascii="Gill Sans MT" w:hAnsi="Gill Sans MT"/>
        </w:rPr>
        <w:t>C</w:t>
      </w:r>
      <w:r>
        <w:rPr>
          <w:rFonts w:ascii="Gill Sans MT" w:hAnsi="Gill Sans MT"/>
        </w:rPr>
        <w:t>.</w:t>
      </w:r>
      <w:r>
        <w:rPr>
          <w:rFonts w:ascii="Gill Sans MT" w:hAnsi="Gill Sans MT"/>
          <w:noProof/>
        </w:rPr>
        <w:drawing>
          <wp:inline distT="0" distB="0" distL="0" distR="0" wp14:anchorId="6A5DA483" wp14:editId="257D2130">
            <wp:extent cx="3200400" cy="221566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axig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2215661"/>
                    </a:xfrm>
                    <a:prstGeom prst="rect">
                      <a:avLst/>
                    </a:prstGeom>
                  </pic:spPr>
                </pic:pic>
              </a:graphicData>
            </a:graphic>
          </wp:inline>
        </w:drawing>
      </w:r>
      <w:r>
        <w:rPr>
          <w:rFonts w:ascii="Gill Sans MT" w:hAnsi="Gill Sans MT"/>
        </w:rPr>
        <w:t xml:space="preserve">   </w:t>
      </w:r>
      <w:r w:rsidRPr="00244CF1">
        <w:rPr>
          <w:rFonts w:ascii="Gill Sans MT" w:hAnsi="Gill Sans MT"/>
        </w:rPr>
        <w:t xml:space="preserve"> D</w:t>
      </w:r>
      <w:r>
        <w:rPr>
          <w:rFonts w:ascii="Gill Sans MT" w:hAnsi="Gill Sans MT"/>
        </w:rPr>
        <w:t>.</w:t>
      </w:r>
      <w:r>
        <w:rPr>
          <w:rFonts w:ascii="Gill Sans MT" w:hAnsi="Gill Sans MT"/>
          <w:noProof/>
        </w:rPr>
        <w:drawing>
          <wp:inline distT="0" distB="0" distL="0" distR="0" wp14:anchorId="4C6F01FB" wp14:editId="59ABE854">
            <wp:extent cx="3200400" cy="221566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axig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215661"/>
                    </a:xfrm>
                    <a:prstGeom prst="rect">
                      <a:avLst/>
                    </a:prstGeom>
                  </pic:spPr>
                </pic:pic>
              </a:graphicData>
            </a:graphic>
          </wp:inline>
        </w:drawing>
      </w:r>
      <w:r w:rsidRPr="00244CF1">
        <w:rPr>
          <w:rFonts w:ascii="Gill Sans MT" w:hAnsi="Gill Sans MT"/>
          <w:noProof/>
        </w:rPr>
        <w:t xml:space="preserve"> </w:t>
      </w:r>
    </w:p>
    <w:p w14:paraId="7292A6F4" w14:textId="77777777" w:rsidR="00080520" w:rsidRPr="00244CF1" w:rsidRDefault="00080520" w:rsidP="00080520">
      <w:pPr>
        <w:pStyle w:val="NoSpacing"/>
        <w:rPr>
          <w:rFonts w:ascii="Gill Sans MT" w:hAnsi="Gill Sans MT"/>
        </w:rPr>
      </w:pPr>
    </w:p>
    <w:p w14:paraId="7F1BE595" w14:textId="77777777" w:rsidR="00080520" w:rsidRPr="00244CF1" w:rsidRDefault="00080520" w:rsidP="00080520">
      <w:pPr>
        <w:pStyle w:val="NoSpacing"/>
        <w:rPr>
          <w:rFonts w:ascii="Gill Sans MT" w:hAnsi="Gill Sans MT"/>
          <w:b/>
        </w:rPr>
        <w:sectPr w:rsidR="00080520" w:rsidRPr="00244CF1" w:rsidSect="0051526B">
          <w:pgSz w:w="12240" w:h="15840"/>
          <w:pgMar w:top="720" w:right="720" w:bottom="720" w:left="720" w:header="720" w:footer="720" w:gutter="0"/>
          <w:cols w:space="720"/>
          <w:docGrid w:linePitch="360"/>
        </w:sectPr>
      </w:pPr>
      <w:r w:rsidRPr="00244CF1">
        <w:rPr>
          <w:rFonts w:ascii="Gill Sans MT" w:hAnsi="Gill Sans MT"/>
        </w:rPr>
        <w:t>E</w:t>
      </w:r>
      <w:r>
        <w:rPr>
          <w:rFonts w:ascii="Gill Sans MT" w:hAnsi="Gill Sans MT"/>
        </w:rPr>
        <w:t>.</w:t>
      </w:r>
      <w:r>
        <w:rPr>
          <w:rFonts w:ascii="Gill Sans MT" w:hAnsi="Gill Sans MT"/>
          <w:noProof/>
        </w:rPr>
        <w:drawing>
          <wp:inline distT="0" distB="0" distL="0" distR="0" wp14:anchorId="32FCB8CE" wp14:editId="244A8BF5">
            <wp:extent cx="3200400" cy="221566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axig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215661"/>
                    </a:xfrm>
                    <a:prstGeom prst="rect">
                      <a:avLst/>
                    </a:prstGeom>
                  </pic:spPr>
                </pic:pic>
              </a:graphicData>
            </a:graphic>
          </wp:inline>
        </w:drawing>
      </w:r>
      <w:r>
        <w:rPr>
          <w:rFonts w:ascii="Gill Sans MT" w:hAnsi="Gill Sans MT"/>
        </w:rPr>
        <w:t xml:space="preserve"> </w:t>
      </w:r>
      <w:r w:rsidRPr="00244CF1">
        <w:rPr>
          <w:rFonts w:ascii="Gill Sans MT" w:hAnsi="Gill Sans MT"/>
        </w:rPr>
        <w:t xml:space="preserve">   F</w:t>
      </w:r>
      <w:r>
        <w:rPr>
          <w:rFonts w:ascii="Gill Sans MT" w:hAnsi="Gill Sans MT"/>
        </w:rPr>
        <w:t>.</w:t>
      </w:r>
      <w:r>
        <w:rPr>
          <w:rFonts w:ascii="Gill Sans MT" w:hAnsi="Gill Sans MT"/>
          <w:b/>
          <w:noProof/>
        </w:rPr>
        <w:drawing>
          <wp:inline distT="0" distB="0" distL="0" distR="0" wp14:anchorId="5AE7F6AA" wp14:editId="0FEECE99">
            <wp:extent cx="3200400" cy="22156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axig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2215661"/>
                    </a:xfrm>
                    <a:prstGeom prst="rect">
                      <a:avLst/>
                    </a:prstGeom>
                  </pic:spPr>
                </pic:pic>
              </a:graphicData>
            </a:graphic>
          </wp:inline>
        </w:drawing>
      </w:r>
    </w:p>
    <w:p w14:paraId="6C438A93" w14:textId="77777777" w:rsidR="00080520" w:rsidRPr="00244CF1" w:rsidRDefault="00080520" w:rsidP="007124DD">
      <w:pPr>
        <w:suppressLineNumbers/>
        <w:spacing w:after="160"/>
        <w:jc w:val="both"/>
        <w:rPr>
          <w:rFonts w:ascii="Gill Sans MT" w:hAnsi="Gill Sans MT"/>
          <w:b/>
          <w:noProof/>
        </w:rPr>
      </w:pPr>
      <w:r>
        <w:rPr>
          <w:rFonts w:ascii="Gill Sans MT" w:hAnsi="Gill Sans MT"/>
          <w:b/>
        </w:rPr>
        <w:t xml:space="preserve">Supplementary </w:t>
      </w:r>
      <w:r w:rsidRPr="00244CF1">
        <w:rPr>
          <w:rFonts w:ascii="Gill Sans MT" w:hAnsi="Gill Sans MT"/>
          <w:b/>
        </w:rPr>
        <w:t xml:space="preserve">Figure 3.  Pairwise correlations between polio type 2-specific mucosal antibodies </w:t>
      </w:r>
      <w:proofErr w:type="gramStart"/>
      <w:r w:rsidRPr="00244CF1">
        <w:rPr>
          <w:rFonts w:ascii="Gill Sans MT" w:hAnsi="Gill Sans MT"/>
          <w:b/>
        </w:rPr>
        <w:t>and  neutralization</w:t>
      </w:r>
      <w:proofErr w:type="gramEnd"/>
      <w:r w:rsidRPr="00244CF1">
        <w:rPr>
          <w:rFonts w:ascii="Gill Sans MT" w:hAnsi="Gill Sans MT"/>
          <w:b/>
        </w:rPr>
        <w:t xml:space="preserve"> titers measured in stool collected at (A) one, (B) two, and (C) three weeks after mOPV2 challenge from infants with </w:t>
      </w:r>
      <w:r w:rsidRPr="00244CF1">
        <w:rPr>
          <w:rFonts w:ascii="Gill Sans MT" w:hAnsi="Gill Sans MT"/>
          <w:b/>
          <w:szCs w:val="24"/>
          <w:lang w:val="en-GB"/>
        </w:rPr>
        <w:t>any (N=79) and no (N=21)</w:t>
      </w:r>
      <w:r w:rsidRPr="00244CF1">
        <w:rPr>
          <w:rFonts w:ascii="Gill Sans MT" w:hAnsi="Gill Sans MT"/>
          <w:b/>
        </w:rPr>
        <w:t xml:space="preserve"> viral shedding detectable during post-challenge study visits. </w:t>
      </w:r>
      <w:r w:rsidRPr="00244CF1">
        <w:rPr>
          <w:rFonts w:ascii="Gill Sans MT" w:hAnsi="Gill Sans MT"/>
        </w:rPr>
        <w:t xml:space="preserve">Spearman’s rank correlation coefficients were estimated from the combined responses of both vaccine groups. The narrowness of the ellipse and intensity of the color indicate the strength of a given correlation coefficient.  Diagonal lines indicate perfect correlations.  The corresponding numerical values are defined by the vertical bar on the right.  Abbreviations:  Ig, immunoglobulin; </w:t>
      </w:r>
      <w:proofErr w:type="spellStart"/>
      <w:r w:rsidRPr="00244CF1">
        <w:rPr>
          <w:rFonts w:ascii="Gill Sans MT" w:hAnsi="Gill Sans MT"/>
        </w:rPr>
        <w:t>Neutr</w:t>
      </w:r>
      <w:proofErr w:type="spellEnd"/>
      <w:r w:rsidRPr="00244CF1">
        <w:rPr>
          <w:rFonts w:ascii="Gill Sans MT" w:hAnsi="Gill Sans MT"/>
        </w:rPr>
        <w:t xml:space="preserve">., neutralization. </w:t>
      </w:r>
    </w:p>
    <w:tbl>
      <w:tblPr>
        <w:tblStyle w:val="TableGrid"/>
        <w:tblW w:w="0" w:type="auto"/>
        <w:jc w:val="center"/>
        <w:tblLook w:val="04A0" w:firstRow="1" w:lastRow="0" w:firstColumn="1" w:lastColumn="0" w:noHBand="0" w:noVBand="1"/>
      </w:tblPr>
      <w:tblGrid>
        <w:gridCol w:w="487"/>
        <w:gridCol w:w="487"/>
        <w:gridCol w:w="4248"/>
        <w:gridCol w:w="4248"/>
      </w:tblGrid>
      <w:tr w:rsidR="00080520" w:rsidRPr="00244CF1" w14:paraId="3CC9D9F6" w14:textId="77777777" w:rsidTr="002D79AC">
        <w:trPr>
          <w:jc w:val="center"/>
        </w:trPr>
        <w:tc>
          <w:tcPr>
            <w:tcW w:w="0" w:type="auto"/>
            <w:gridSpan w:val="2"/>
            <w:tcBorders>
              <w:top w:val="nil"/>
              <w:left w:val="nil"/>
            </w:tcBorders>
          </w:tcPr>
          <w:p w14:paraId="76281692" w14:textId="77777777" w:rsidR="00080520" w:rsidRPr="00244CF1" w:rsidRDefault="00080520" w:rsidP="00080520">
            <w:pPr>
              <w:pStyle w:val="NoSpacing"/>
              <w:suppressLineNumbers/>
              <w:rPr>
                <w:rFonts w:ascii="Helvetica" w:hAnsi="Helvetica"/>
              </w:rPr>
            </w:pPr>
          </w:p>
        </w:tc>
        <w:tc>
          <w:tcPr>
            <w:tcW w:w="0" w:type="auto"/>
            <w:shd w:val="clear" w:color="auto" w:fill="767171" w:themeFill="background2" w:themeFillShade="80"/>
          </w:tcPr>
          <w:p w14:paraId="7AF6D1E7" w14:textId="77777777" w:rsidR="00080520" w:rsidRPr="00244CF1" w:rsidRDefault="00080520" w:rsidP="00080520">
            <w:pPr>
              <w:pStyle w:val="NoSpacing"/>
              <w:suppressLineNumbers/>
              <w:jc w:val="center"/>
              <w:rPr>
                <w:rFonts w:ascii="Helvetica" w:hAnsi="Helvetica"/>
                <w:b/>
                <w:color w:val="FFFFFF" w:themeColor="background1"/>
              </w:rPr>
            </w:pPr>
            <w:r w:rsidRPr="00244CF1">
              <w:rPr>
                <w:rFonts w:ascii="Helvetica" w:hAnsi="Helvetica"/>
                <w:b/>
                <w:color w:val="FFFFFF" w:themeColor="background1"/>
              </w:rPr>
              <w:t>Shedding (N=79)</w:t>
            </w:r>
          </w:p>
        </w:tc>
        <w:tc>
          <w:tcPr>
            <w:tcW w:w="0" w:type="auto"/>
            <w:shd w:val="clear" w:color="auto" w:fill="767171" w:themeFill="background2" w:themeFillShade="80"/>
          </w:tcPr>
          <w:p w14:paraId="69DF764A" w14:textId="77777777" w:rsidR="00080520" w:rsidRPr="00244CF1" w:rsidRDefault="00080520" w:rsidP="00080520">
            <w:pPr>
              <w:pStyle w:val="NoSpacing"/>
              <w:suppressLineNumbers/>
              <w:jc w:val="center"/>
              <w:rPr>
                <w:rFonts w:ascii="Helvetica" w:hAnsi="Helvetica"/>
                <w:b/>
                <w:color w:val="FFFFFF" w:themeColor="background1"/>
              </w:rPr>
            </w:pPr>
            <w:r w:rsidRPr="00244CF1">
              <w:rPr>
                <w:rFonts w:ascii="Helvetica" w:hAnsi="Helvetica"/>
                <w:b/>
                <w:color w:val="FFFFFF" w:themeColor="background1"/>
              </w:rPr>
              <w:t>Non-shedding (N=21)</w:t>
            </w:r>
          </w:p>
        </w:tc>
      </w:tr>
      <w:tr w:rsidR="00080520" w:rsidRPr="00244CF1" w14:paraId="3EA9663E" w14:textId="77777777" w:rsidTr="002D79AC">
        <w:trPr>
          <w:cantSplit/>
          <w:trHeight w:val="1134"/>
          <w:jc w:val="center"/>
        </w:trPr>
        <w:tc>
          <w:tcPr>
            <w:tcW w:w="0" w:type="auto"/>
            <w:vMerge w:val="restart"/>
            <w:shd w:val="clear" w:color="auto" w:fill="767171" w:themeFill="background2" w:themeFillShade="80"/>
            <w:textDirection w:val="btLr"/>
          </w:tcPr>
          <w:p w14:paraId="26BB8D7B" w14:textId="77777777" w:rsidR="00080520" w:rsidRPr="00244CF1" w:rsidRDefault="00080520" w:rsidP="00080520">
            <w:pPr>
              <w:pStyle w:val="NoSpacing"/>
              <w:suppressLineNumbers/>
              <w:jc w:val="center"/>
              <w:rPr>
                <w:rFonts w:ascii="Helvetica" w:hAnsi="Helvetica"/>
                <w:b/>
                <w:color w:val="FFFFFF" w:themeColor="background1"/>
              </w:rPr>
            </w:pPr>
            <w:r w:rsidRPr="00244CF1">
              <w:rPr>
                <w:rFonts w:ascii="Helvetica" w:hAnsi="Helvetica"/>
                <w:b/>
                <w:color w:val="FFFFFF" w:themeColor="background1"/>
              </w:rPr>
              <w:t>Time after mOPV2 Challenge</w:t>
            </w:r>
          </w:p>
        </w:tc>
        <w:tc>
          <w:tcPr>
            <w:tcW w:w="0" w:type="auto"/>
            <w:shd w:val="clear" w:color="auto" w:fill="767171" w:themeFill="background2" w:themeFillShade="80"/>
            <w:textDirection w:val="btLr"/>
          </w:tcPr>
          <w:p w14:paraId="042F7CBB" w14:textId="77777777" w:rsidR="00080520" w:rsidRPr="00244CF1" w:rsidRDefault="00080520" w:rsidP="00080520">
            <w:pPr>
              <w:pStyle w:val="NoSpacing"/>
              <w:suppressLineNumbers/>
              <w:ind w:left="113" w:right="113"/>
              <w:jc w:val="center"/>
              <w:rPr>
                <w:rFonts w:ascii="Helvetica" w:hAnsi="Helvetica"/>
                <w:b/>
                <w:color w:val="FFFFFF" w:themeColor="background1"/>
              </w:rPr>
            </w:pPr>
            <w:r w:rsidRPr="00244CF1">
              <w:rPr>
                <w:rFonts w:ascii="Helvetica" w:hAnsi="Helvetica"/>
                <w:b/>
                <w:color w:val="FFFFFF" w:themeColor="background1"/>
              </w:rPr>
              <w:t>A. One Week</w:t>
            </w:r>
          </w:p>
        </w:tc>
        <w:tc>
          <w:tcPr>
            <w:tcW w:w="0" w:type="auto"/>
          </w:tcPr>
          <w:p w14:paraId="2CD0CBA1" w14:textId="77777777" w:rsidR="00080520" w:rsidRPr="00244CF1" w:rsidRDefault="00080520" w:rsidP="00080520">
            <w:pPr>
              <w:pStyle w:val="NoSpacing"/>
              <w:suppressLineNumbers/>
              <w:rPr>
                <w:rFonts w:ascii="Helvetica" w:hAnsi="Helvetica"/>
              </w:rPr>
            </w:pPr>
            <w:r w:rsidRPr="006C541B">
              <w:rPr>
                <w:rFonts w:ascii="Helvetica" w:hAnsi="Helvetica"/>
                <w:noProof/>
              </w:rPr>
              <w:drawing>
                <wp:inline distT="0" distB="0" distL="0" distR="0" wp14:anchorId="59598866" wp14:editId="5AD28C8A">
                  <wp:extent cx="256032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k19sh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tc>
        <w:tc>
          <w:tcPr>
            <w:tcW w:w="0" w:type="auto"/>
          </w:tcPr>
          <w:p w14:paraId="6120B415" w14:textId="77777777" w:rsidR="00080520" w:rsidRPr="00244CF1" w:rsidRDefault="00080520" w:rsidP="00080520">
            <w:pPr>
              <w:pStyle w:val="NoSpacing"/>
              <w:suppressLineNumbers/>
              <w:rPr>
                <w:rFonts w:ascii="Helvetica" w:hAnsi="Helvetica"/>
              </w:rPr>
            </w:pPr>
            <w:r w:rsidRPr="006C541B">
              <w:rPr>
                <w:rFonts w:ascii="Helvetica" w:hAnsi="Helvetica"/>
                <w:noProof/>
              </w:rPr>
              <w:drawing>
                <wp:inline distT="0" distB="0" distL="0" distR="0" wp14:anchorId="5A668204" wp14:editId="2996C545">
                  <wp:extent cx="2560320" cy="2560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k19nosh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tc>
      </w:tr>
      <w:tr w:rsidR="00080520" w:rsidRPr="00244CF1" w14:paraId="4F90D6A3" w14:textId="77777777" w:rsidTr="002D79AC">
        <w:trPr>
          <w:cantSplit/>
          <w:trHeight w:val="1134"/>
          <w:jc w:val="center"/>
        </w:trPr>
        <w:tc>
          <w:tcPr>
            <w:tcW w:w="0" w:type="auto"/>
            <w:vMerge/>
            <w:shd w:val="clear" w:color="auto" w:fill="767171" w:themeFill="background2" w:themeFillShade="80"/>
          </w:tcPr>
          <w:p w14:paraId="03C41F7C" w14:textId="77777777" w:rsidR="00080520" w:rsidRPr="00244CF1" w:rsidRDefault="00080520" w:rsidP="00080520">
            <w:pPr>
              <w:pStyle w:val="NoSpacing"/>
              <w:suppressLineNumbers/>
              <w:jc w:val="center"/>
              <w:rPr>
                <w:rFonts w:ascii="Helvetica" w:hAnsi="Helvetica"/>
                <w:b/>
                <w:color w:val="FFFFFF" w:themeColor="background1"/>
              </w:rPr>
            </w:pPr>
          </w:p>
        </w:tc>
        <w:tc>
          <w:tcPr>
            <w:tcW w:w="0" w:type="auto"/>
            <w:shd w:val="clear" w:color="auto" w:fill="767171" w:themeFill="background2" w:themeFillShade="80"/>
            <w:textDirection w:val="btLr"/>
          </w:tcPr>
          <w:p w14:paraId="15F88C0D" w14:textId="77777777" w:rsidR="00080520" w:rsidRPr="00244CF1" w:rsidRDefault="00080520" w:rsidP="00080520">
            <w:pPr>
              <w:pStyle w:val="NoSpacing"/>
              <w:suppressLineNumbers/>
              <w:ind w:left="113" w:right="113"/>
              <w:jc w:val="center"/>
              <w:rPr>
                <w:rFonts w:ascii="Helvetica" w:hAnsi="Helvetica"/>
                <w:b/>
                <w:color w:val="FFFFFF" w:themeColor="background1"/>
              </w:rPr>
            </w:pPr>
            <w:r w:rsidRPr="00244CF1">
              <w:rPr>
                <w:rFonts w:ascii="Helvetica" w:hAnsi="Helvetica"/>
                <w:b/>
                <w:color w:val="FFFFFF" w:themeColor="background1"/>
              </w:rPr>
              <w:t>B. Two Weeks</w:t>
            </w:r>
          </w:p>
        </w:tc>
        <w:tc>
          <w:tcPr>
            <w:tcW w:w="0" w:type="auto"/>
            <w:tcBorders>
              <w:bottom w:val="single" w:sz="4" w:space="0" w:color="auto"/>
            </w:tcBorders>
          </w:tcPr>
          <w:p w14:paraId="7B218471" w14:textId="77777777" w:rsidR="00080520" w:rsidRPr="00244CF1" w:rsidRDefault="00080520" w:rsidP="00080520">
            <w:pPr>
              <w:pStyle w:val="NoSpacing"/>
              <w:suppressLineNumbers/>
              <w:rPr>
                <w:rFonts w:ascii="Helvetica" w:hAnsi="Helvetica"/>
              </w:rPr>
            </w:pPr>
            <w:r w:rsidRPr="006C541B">
              <w:rPr>
                <w:rFonts w:ascii="Helvetica" w:hAnsi="Helvetica"/>
                <w:noProof/>
              </w:rPr>
              <w:drawing>
                <wp:inline distT="0" distB="0" distL="0" distR="0" wp14:anchorId="181ABE89" wp14:editId="550C58C6">
                  <wp:extent cx="2560320" cy="2560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k20sh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tc>
        <w:tc>
          <w:tcPr>
            <w:tcW w:w="0" w:type="auto"/>
          </w:tcPr>
          <w:p w14:paraId="4FE2EC52" w14:textId="77777777" w:rsidR="00080520" w:rsidRPr="00244CF1" w:rsidRDefault="00080520" w:rsidP="00080520">
            <w:pPr>
              <w:pStyle w:val="NoSpacing"/>
              <w:suppressLineNumbers/>
              <w:rPr>
                <w:rFonts w:ascii="Helvetica" w:hAnsi="Helvetica"/>
              </w:rPr>
            </w:pPr>
            <w:r w:rsidRPr="006C541B">
              <w:rPr>
                <w:rFonts w:ascii="Helvetica" w:hAnsi="Helvetica"/>
                <w:noProof/>
              </w:rPr>
              <w:drawing>
                <wp:inline distT="0" distB="0" distL="0" distR="0" wp14:anchorId="55B676F3" wp14:editId="53FE2C02">
                  <wp:extent cx="2560320" cy="2560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k20nosh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tc>
      </w:tr>
      <w:tr w:rsidR="00080520" w:rsidRPr="00244CF1" w14:paraId="5EA65494" w14:textId="77777777" w:rsidTr="002D79AC">
        <w:trPr>
          <w:cantSplit/>
          <w:trHeight w:val="1134"/>
          <w:jc w:val="center"/>
        </w:trPr>
        <w:tc>
          <w:tcPr>
            <w:tcW w:w="0" w:type="auto"/>
            <w:vMerge/>
            <w:shd w:val="clear" w:color="auto" w:fill="767171" w:themeFill="background2" w:themeFillShade="80"/>
          </w:tcPr>
          <w:p w14:paraId="028704AF" w14:textId="77777777" w:rsidR="00080520" w:rsidRPr="00244CF1" w:rsidRDefault="00080520" w:rsidP="00080520">
            <w:pPr>
              <w:pStyle w:val="NoSpacing"/>
              <w:suppressLineNumbers/>
              <w:jc w:val="center"/>
              <w:rPr>
                <w:rFonts w:ascii="Helvetica" w:hAnsi="Helvetica"/>
                <w:b/>
                <w:color w:val="FFFFFF" w:themeColor="background1"/>
              </w:rPr>
            </w:pPr>
          </w:p>
        </w:tc>
        <w:tc>
          <w:tcPr>
            <w:tcW w:w="0" w:type="auto"/>
            <w:shd w:val="clear" w:color="auto" w:fill="767171" w:themeFill="background2" w:themeFillShade="80"/>
            <w:textDirection w:val="btLr"/>
          </w:tcPr>
          <w:p w14:paraId="10CB5C68" w14:textId="77777777" w:rsidR="00080520" w:rsidRPr="00244CF1" w:rsidRDefault="00080520" w:rsidP="00080520">
            <w:pPr>
              <w:pStyle w:val="NoSpacing"/>
              <w:suppressLineNumbers/>
              <w:ind w:left="113" w:right="113"/>
              <w:jc w:val="center"/>
              <w:rPr>
                <w:rFonts w:ascii="Helvetica" w:hAnsi="Helvetica"/>
                <w:b/>
                <w:color w:val="FFFFFF" w:themeColor="background1"/>
              </w:rPr>
            </w:pPr>
            <w:r w:rsidRPr="00244CF1">
              <w:rPr>
                <w:rFonts w:ascii="Helvetica" w:hAnsi="Helvetica"/>
                <w:b/>
                <w:color w:val="FFFFFF" w:themeColor="background1"/>
              </w:rPr>
              <w:t>C. Three Weeks</w:t>
            </w:r>
          </w:p>
        </w:tc>
        <w:tc>
          <w:tcPr>
            <w:tcW w:w="0" w:type="auto"/>
            <w:tcBorders>
              <w:bottom w:val="single" w:sz="4" w:space="0" w:color="auto"/>
            </w:tcBorders>
          </w:tcPr>
          <w:p w14:paraId="64A4C96A" w14:textId="77777777" w:rsidR="00080520" w:rsidRPr="00244CF1" w:rsidRDefault="00080520" w:rsidP="00080520">
            <w:pPr>
              <w:pStyle w:val="NoSpacing"/>
              <w:suppressLineNumbers/>
              <w:rPr>
                <w:rFonts w:ascii="Helvetica" w:hAnsi="Helvetica"/>
              </w:rPr>
            </w:pPr>
            <w:r w:rsidRPr="006C541B">
              <w:rPr>
                <w:rFonts w:ascii="Helvetica" w:hAnsi="Helvetica"/>
                <w:noProof/>
              </w:rPr>
              <w:drawing>
                <wp:inline distT="0" distB="0" distL="0" distR="0" wp14:anchorId="58EB1980" wp14:editId="4E3E15FF">
                  <wp:extent cx="2560320" cy="2560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k21sh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tc>
        <w:tc>
          <w:tcPr>
            <w:tcW w:w="0" w:type="auto"/>
          </w:tcPr>
          <w:p w14:paraId="20CFCADD" w14:textId="77777777" w:rsidR="00080520" w:rsidRPr="00244CF1" w:rsidRDefault="00080520" w:rsidP="00080520">
            <w:pPr>
              <w:pStyle w:val="NoSpacing"/>
              <w:suppressLineNumbers/>
              <w:rPr>
                <w:rFonts w:ascii="Helvetica" w:hAnsi="Helvetica"/>
              </w:rPr>
            </w:pPr>
            <w:r w:rsidRPr="006C541B">
              <w:rPr>
                <w:rFonts w:ascii="Helvetica" w:hAnsi="Helvetica"/>
                <w:noProof/>
              </w:rPr>
              <w:drawing>
                <wp:inline distT="0" distB="0" distL="0" distR="0" wp14:anchorId="3EDEB0F4" wp14:editId="003747E7">
                  <wp:extent cx="2560320" cy="2560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k21nosh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tc>
      </w:tr>
    </w:tbl>
    <w:p w14:paraId="2E0798DE" w14:textId="77777777" w:rsidR="007124DD" w:rsidRPr="00244CF1" w:rsidRDefault="007124DD" w:rsidP="007124DD">
      <w:pPr>
        <w:suppressLineNumbers/>
        <w:spacing w:after="160"/>
        <w:jc w:val="both"/>
        <w:rPr>
          <w:rFonts w:ascii="Gill Sans MT" w:hAnsi="Gill Sans MT"/>
          <w:szCs w:val="24"/>
          <w:lang w:val="en-GB"/>
        </w:rPr>
      </w:pPr>
      <w:r w:rsidRPr="00244CF1">
        <w:rPr>
          <w:rFonts w:ascii="Gill Sans MT" w:hAnsi="Gill Sans MT"/>
          <w:b/>
        </w:rPr>
        <w:t xml:space="preserve">Supplementary Figure </w:t>
      </w:r>
      <w:r>
        <w:rPr>
          <w:rFonts w:ascii="Gill Sans MT" w:hAnsi="Gill Sans MT"/>
          <w:b/>
        </w:rPr>
        <w:t>4</w:t>
      </w:r>
      <w:r w:rsidRPr="00244CF1">
        <w:rPr>
          <w:rFonts w:ascii="Gill Sans MT" w:hAnsi="Gill Sans MT"/>
          <w:b/>
        </w:rPr>
        <w:t xml:space="preserve">.  </w:t>
      </w:r>
      <w:r w:rsidRPr="00244CF1">
        <w:rPr>
          <w:rFonts w:ascii="Gill Sans MT" w:hAnsi="Gill Sans MT"/>
          <w:b/>
          <w:szCs w:val="24"/>
          <w:lang w:val="en-GB"/>
        </w:rPr>
        <w:t>Correlation between viral shedding (CCID</w:t>
      </w:r>
      <w:r w:rsidRPr="00244CF1">
        <w:rPr>
          <w:rFonts w:ascii="Gill Sans MT" w:hAnsi="Gill Sans MT"/>
          <w:b/>
          <w:szCs w:val="24"/>
          <w:vertAlign w:val="subscript"/>
          <w:lang w:val="en-GB"/>
        </w:rPr>
        <w:t>50</w:t>
      </w:r>
      <w:r w:rsidRPr="00244CF1">
        <w:rPr>
          <w:rFonts w:ascii="Gill Sans MT" w:hAnsi="Gill Sans MT"/>
          <w:b/>
          <w:szCs w:val="24"/>
          <w:lang w:val="en-GB"/>
        </w:rPr>
        <w:t>) and polio type 2-specific</w:t>
      </w:r>
      <w:r w:rsidRPr="00244CF1">
        <w:rPr>
          <w:rFonts w:ascii="Gill Sans MT" w:hAnsi="Gill Sans MT"/>
          <w:b/>
        </w:rPr>
        <w:t xml:space="preserve"> neutralization titer measured in serum 1 week after challenge in infants with </w:t>
      </w:r>
      <w:r w:rsidRPr="00244CF1">
        <w:rPr>
          <w:rFonts w:ascii="Gill Sans MT" w:hAnsi="Gill Sans MT"/>
          <w:b/>
          <w:szCs w:val="24"/>
          <w:lang w:val="en-GB"/>
        </w:rPr>
        <w:t xml:space="preserve">any </w:t>
      </w:r>
      <w:r w:rsidRPr="00244CF1">
        <w:rPr>
          <w:rFonts w:ascii="Gill Sans MT" w:hAnsi="Gill Sans MT"/>
          <w:b/>
        </w:rPr>
        <w:t>viral shedding detectable during post-challenge study visits (N=79)</w:t>
      </w:r>
      <w:r w:rsidRPr="00244CF1">
        <w:rPr>
          <w:rFonts w:ascii="Gill Sans MT" w:hAnsi="Gill Sans MT"/>
          <w:b/>
          <w:szCs w:val="24"/>
          <w:lang w:val="en-GB"/>
        </w:rPr>
        <w:t xml:space="preserve">. </w:t>
      </w:r>
      <w:r w:rsidRPr="00244CF1">
        <w:rPr>
          <w:rFonts w:ascii="Gill Sans MT" w:hAnsi="Gill Sans MT"/>
          <w:szCs w:val="24"/>
          <w:lang w:val="en-GB"/>
        </w:rPr>
        <w:t xml:space="preserve"> Black squares and bars indicate the median and interquartile ranges of the variables on the y-axes within each quintile of serum neutralization plotted against the mean serum neutralization within each quintile.  Red markers indicate infants in the </w:t>
      </w:r>
      <w:proofErr w:type="spellStart"/>
      <w:r w:rsidRPr="00244CF1">
        <w:rPr>
          <w:rFonts w:ascii="Gill Sans MT" w:hAnsi="Gill Sans MT"/>
          <w:szCs w:val="24"/>
          <w:lang w:val="en-GB"/>
        </w:rPr>
        <w:t>bOPV-bOPV-bOPV+IPV</w:t>
      </w:r>
      <w:proofErr w:type="spellEnd"/>
      <w:r w:rsidRPr="00244CF1">
        <w:rPr>
          <w:rFonts w:ascii="Gill Sans MT" w:hAnsi="Gill Sans MT"/>
          <w:szCs w:val="24"/>
          <w:lang w:val="en-GB"/>
        </w:rPr>
        <w:t xml:space="preserve"> group (N=37); </w:t>
      </w:r>
      <w:r w:rsidRPr="007124DD">
        <w:rPr>
          <w:rFonts w:ascii="Gill Sans MT" w:hAnsi="Gill Sans MT"/>
          <w:szCs w:val="24"/>
        </w:rPr>
        <w:t>gray</w:t>
      </w:r>
      <w:r w:rsidRPr="00244CF1">
        <w:rPr>
          <w:rFonts w:ascii="Gill Sans MT" w:hAnsi="Gill Sans MT"/>
          <w:szCs w:val="24"/>
          <w:lang w:val="en-GB"/>
        </w:rPr>
        <w:t xml:space="preserve"> markers indicate infants in the bOPV-bOPV-bOPV+mIPV2HD group (N=42).  Abbreviations:  </w:t>
      </w:r>
      <w:r w:rsidRPr="00244CF1">
        <w:rPr>
          <w:rFonts w:ascii="Gill Sans MT" w:hAnsi="Gill Sans MT"/>
          <w:lang w:val="en-GB"/>
        </w:rPr>
        <w:t xml:space="preserve">IPV = trivalent inactivated polio vaccine; mIPV2HD = monovalent high dose inactivated polio type 2 vaccine; </w:t>
      </w:r>
      <w:r w:rsidRPr="00244CF1">
        <w:rPr>
          <w:rFonts w:ascii="Gill Sans MT" w:hAnsi="Gill Sans MT"/>
          <w:szCs w:val="24"/>
          <w:lang w:val="en-GB"/>
        </w:rPr>
        <w:t>CCID</w:t>
      </w:r>
      <w:r w:rsidRPr="00244CF1">
        <w:rPr>
          <w:rFonts w:ascii="Gill Sans MT" w:hAnsi="Gill Sans MT"/>
          <w:szCs w:val="24"/>
          <w:vertAlign w:val="subscript"/>
          <w:lang w:val="en-GB"/>
        </w:rPr>
        <w:t>50</w:t>
      </w:r>
      <w:r w:rsidRPr="00244CF1">
        <w:rPr>
          <w:rFonts w:ascii="Gill Sans MT" w:hAnsi="Gill Sans MT"/>
          <w:szCs w:val="24"/>
          <w:lang w:val="en-GB"/>
        </w:rPr>
        <w:t xml:space="preserve"> = 50% cell-culture infectious dose; mOPV2 = monovalent oral polio vaccine type 2.</w:t>
      </w:r>
      <w:bookmarkStart w:id="0" w:name="_GoBack"/>
      <w:bookmarkEnd w:id="0"/>
    </w:p>
    <w:p w14:paraId="74805416" w14:textId="77777777" w:rsidR="00080520" w:rsidRPr="00244CF1" w:rsidRDefault="00080520" w:rsidP="00080520">
      <w:pPr>
        <w:pStyle w:val="NoSpacing"/>
        <w:rPr>
          <w:rFonts w:ascii="Gill Sans MT" w:hAnsi="Gill Sans MT"/>
          <w:b/>
        </w:rPr>
      </w:pPr>
    </w:p>
    <w:p w14:paraId="7A26CF38" w14:textId="77777777" w:rsidR="00C64E35" w:rsidRDefault="00080520" w:rsidP="007124DD">
      <w:pPr>
        <w:jc w:val="center"/>
      </w:pPr>
      <w:r w:rsidRPr="007545B5">
        <w:rPr>
          <w:rFonts w:ascii="Gill Sans MT" w:hAnsi="Gill Sans MT"/>
          <w:b/>
          <w:noProof/>
        </w:rPr>
        <w:drawing>
          <wp:inline distT="0" distB="0" distL="0" distR="0" wp14:anchorId="542B3915" wp14:editId="1939CC26">
            <wp:extent cx="5029200" cy="365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9200" cy="3657600"/>
                    </a:xfrm>
                    <a:prstGeom prst="rect">
                      <a:avLst/>
                    </a:prstGeom>
                  </pic:spPr>
                </pic:pic>
              </a:graphicData>
            </a:graphic>
          </wp:inline>
        </w:drawing>
      </w:r>
    </w:p>
    <w:sectPr w:rsidR="00C64E35" w:rsidSect="00712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20"/>
    <w:rsid w:val="00080520"/>
    <w:rsid w:val="007124DD"/>
    <w:rsid w:val="00826F80"/>
    <w:rsid w:val="00C6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3ED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520"/>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80520"/>
    <w:rPr>
      <w:rFonts w:ascii="Garamond" w:eastAsia="Garamond" w:hAnsi="Garamond" w:cs="Times New Roman"/>
      <w:sz w:val="22"/>
      <w:szCs w:val="22"/>
    </w:rPr>
  </w:style>
  <w:style w:type="character" w:customStyle="1" w:styleId="NoSpacingChar">
    <w:name w:val="No Spacing Char"/>
    <w:link w:val="NoSpacing"/>
    <w:uiPriority w:val="99"/>
    <w:rsid w:val="00080520"/>
    <w:rPr>
      <w:rFonts w:ascii="Garamond" w:eastAsia="Garamond" w:hAnsi="Garamond" w:cs="Times New Roman"/>
      <w:sz w:val="22"/>
      <w:szCs w:val="22"/>
    </w:rPr>
  </w:style>
  <w:style w:type="table" w:styleId="TableGrid">
    <w:name w:val="Table Grid"/>
    <w:basedOn w:val="TableNormal"/>
    <w:uiPriority w:val="39"/>
    <w:rsid w:val="0008052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2">
    <w:name w:val="List Table 2"/>
    <w:basedOn w:val="TableNormal"/>
    <w:uiPriority w:val="47"/>
    <w:rsid w:val="00080520"/>
    <w:rPr>
      <w:sz w:val="22"/>
      <w:szCs w:val="22"/>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80520"/>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813</Words>
  <Characters>4635</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Supplementary Information</vt:lpstr>
      <vt:lpstr>Supplementary Table 2.  Product information for the reagents used in the multipl</vt:lpstr>
      <vt:lpstr/>
    </vt:vector>
  </TitlesOfParts>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 Brickley</dc:creator>
  <cp:keywords/>
  <dc:description/>
  <cp:lastModifiedBy>Elizabeth B. Brickley</cp:lastModifiedBy>
  <cp:revision>1</cp:revision>
  <dcterms:created xsi:type="dcterms:W3CDTF">2017-08-23T13:43:00Z</dcterms:created>
  <dcterms:modified xsi:type="dcterms:W3CDTF">2017-08-23T13:53:00Z</dcterms:modified>
</cp:coreProperties>
</file>