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65" w:rsidRDefault="00662C5A" w:rsidP="006E7665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662C5A">
        <w:rPr>
          <w:sz w:val="28"/>
          <w:szCs w:val="28"/>
        </w:rPr>
        <w:t>Risk Assessment for M</w:t>
      </w:r>
      <w:r w:rsidR="00E53F06">
        <w:rPr>
          <w:sz w:val="28"/>
          <w:szCs w:val="28"/>
        </w:rPr>
        <w:t xml:space="preserve">etalworking </w:t>
      </w:r>
      <w:r w:rsidRPr="00662C5A">
        <w:rPr>
          <w:sz w:val="28"/>
          <w:szCs w:val="28"/>
        </w:rPr>
        <w:t>F</w:t>
      </w:r>
      <w:r w:rsidR="00E53F06">
        <w:rPr>
          <w:sz w:val="28"/>
          <w:szCs w:val="28"/>
        </w:rPr>
        <w:t>luids</w:t>
      </w:r>
    </w:p>
    <w:p w:rsidR="00E924C2" w:rsidRDefault="00E924C2" w:rsidP="006E7665">
      <w:pPr>
        <w:spacing w:after="0"/>
        <w:jc w:val="center"/>
        <w:rPr>
          <w:sz w:val="28"/>
          <w:szCs w:val="28"/>
        </w:rPr>
      </w:pPr>
    </w:p>
    <w:p w:rsidR="008B0DDB" w:rsidRDefault="00600184" w:rsidP="006E76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17AD" w:rsidRDefault="007F300E" w:rsidP="006E7665">
      <w:pPr>
        <w:spacing w:after="0"/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>Supplemental Materials</w:t>
      </w:r>
    </w:p>
    <w:p w:rsidR="006E7665" w:rsidRDefault="006E7665" w:rsidP="006E7665">
      <w:pPr>
        <w:spacing w:after="0"/>
        <w:rPr>
          <w:sz w:val="24"/>
          <w:szCs w:val="24"/>
          <w:u w:val="single"/>
        </w:rPr>
      </w:pPr>
    </w:p>
    <w:p w:rsidR="003517AD" w:rsidRDefault="003517AD" w:rsidP="006E7665">
      <w:pPr>
        <w:spacing w:after="0"/>
        <w:rPr>
          <w:sz w:val="24"/>
          <w:szCs w:val="24"/>
          <w:u w:val="single"/>
        </w:rPr>
      </w:pPr>
    </w:p>
    <w:p w:rsidR="00C15C77" w:rsidRPr="008B0DDB" w:rsidRDefault="003E42D3" w:rsidP="008B0DDB">
      <w:pPr>
        <w:pStyle w:val="ListParagraph"/>
        <w:numPr>
          <w:ilvl w:val="0"/>
          <w:numId w:val="21"/>
        </w:numPr>
        <w:rPr>
          <w:sz w:val="24"/>
          <w:szCs w:val="24"/>
          <w:u w:val="single"/>
        </w:rPr>
      </w:pPr>
      <w:r w:rsidRPr="008B0DDB">
        <w:rPr>
          <w:sz w:val="24"/>
          <w:szCs w:val="24"/>
          <w:u w:val="single"/>
        </w:rPr>
        <w:t xml:space="preserve">Cancer </w:t>
      </w:r>
      <w:r w:rsidR="00C15C77" w:rsidRPr="008B0DDB">
        <w:rPr>
          <w:sz w:val="24"/>
          <w:szCs w:val="24"/>
          <w:u w:val="single"/>
        </w:rPr>
        <w:t>Mortality</w:t>
      </w:r>
      <w:r w:rsidR="008B0DDB" w:rsidRPr="008B0DDB">
        <w:rPr>
          <w:sz w:val="24"/>
          <w:szCs w:val="24"/>
          <w:u w:val="single"/>
        </w:rPr>
        <w:t>: P</w:t>
      </w:r>
      <w:r w:rsidR="00C15C77" w:rsidRPr="008B0DDB">
        <w:rPr>
          <w:sz w:val="24"/>
          <w:szCs w:val="24"/>
          <w:u w:val="single"/>
        </w:rPr>
        <w:t>ublished Studies</w:t>
      </w:r>
    </w:p>
    <w:p w:rsidR="00826705" w:rsidRDefault="00BA30A9">
      <w:pPr>
        <w:rPr>
          <w:sz w:val="24"/>
          <w:szCs w:val="24"/>
        </w:rPr>
      </w:pPr>
      <w:r w:rsidRPr="00BA30A9">
        <w:rPr>
          <w:sz w:val="24"/>
          <w:szCs w:val="24"/>
        </w:rPr>
        <w:t>From analyses of mortality at three auto manufacturing plants,</w:t>
      </w:r>
      <w:r>
        <w:rPr>
          <w:sz w:val="24"/>
          <w:szCs w:val="24"/>
        </w:rPr>
        <w:t xml:space="preserve"> using different study designs and analytical me</w:t>
      </w:r>
      <w:r w:rsidR="002F52F3">
        <w:rPr>
          <w:sz w:val="24"/>
          <w:szCs w:val="24"/>
        </w:rPr>
        <w:t>t</w:t>
      </w:r>
      <w:r>
        <w:rPr>
          <w:sz w:val="24"/>
          <w:szCs w:val="24"/>
        </w:rPr>
        <w:t>hods, relative risk estimates are available (</w:t>
      </w:r>
      <w:r w:rsidR="00390262">
        <w:rPr>
          <w:sz w:val="24"/>
          <w:szCs w:val="24"/>
        </w:rPr>
        <w:t>Table S</w:t>
      </w:r>
      <w:r w:rsidR="00675C45">
        <w:rPr>
          <w:sz w:val="24"/>
          <w:szCs w:val="24"/>
        </w:rPr>
        <w:t>1</w:t>
      </w:r>
      <w:r>
        <w:rPr>
          <w:sz w:val="24"/>
          <w:szCs w:val="24"/>
        </w:rPr>
        <w:t xml:space="preserve">). Some of these results duplicated other analyses and were excluded from further consideration. </w:t>
      </w:r>
    </w:p>
    <w:p w:rsidR="006A04C0" w:rsidRPr="00D132BB" w:rsidRDefault="006A04C0">
      <w:r w:rsidRPr="00D132BB">
        <w:rPr>
          <w:sz w:val="24"/>
          <w:szCs w:val="24"/>
        </w:rPr>
        <w:t xml:space="preserve">Table </w:t>
      </w:r>
      <w:r w:rsidR="007F300E">
        <w:rPr>
          <w:sz w:val="24"/>
          <w:szCs w:val="24"/>
        </w:rPr>
        <w:t>S</w:t>
      </w:r>
      <w:r w:rsidR="00675C45">
        <w:rPr>
          <w:sz w:val="24"/>
          <w:szCs w:val="24"/>
        </w:rPr>
        <w:t>1</w:t>
      </w:r>
      <w:r w:rsidRPr="00D132BB">
        <w:rPr>
          <w:sz w:val="24"/>
          <w:szCs w:val="24"/>
        </w:rPr>
        <w:tab/>
      </w:r>
      <w:r w:rsidRPr="00D132BB">
        <w:t xml:space="preserve">  Estimates of cancer associations from studies at three plants in the auto industry</w:t>
      </w:r>
    </w:p>
    <w:tbl>
      <w:tblPr>
        <w:tblW w:w="92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643"/>
        <w:gridCol w:w="1498"/>
        <w:gridCol w:w="830"/>
        <w:gridCol w:w="718"/>
        <w:gridCol w:w="830"/>
        <w:gridCol w:w="711"/>
        <w:gridCol w:w="830"/>
        <w:gridCol w:w="941"/>
        <w:gridCol w:w="638"/>
        <w:gridCol w:w="471"/>
      </w:tblGrid>
      <w:tr w:rsidR="00BA30A9" w:rsidRPr="00B74FFC" w:rsidTr="005C645D">
        <w:trPr>
          <w:cantSplit/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BA30A9" w:rsidRPr="00237BCE" w:rsidRDefault="00BA30A9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BA30A9" w:rsidRPr="00237BCE" w:rsidRDefault="003E2657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Paper </w:t>
            </w:r>
            <w:r w:rsidR="00BA30A9"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30A9" w:rsidRPr="00237BCE" w:rsidRDefault="00BA30A9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A30A9" w:rsidRPr="00237BCE" w:rsidRDefault="00853475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β,</w:t>
            </w:r>
            <w:r w:rsidR="00BA30A9"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BA30A9" w:rsidRPr="00237BCE" w:rsidRDefault="00853475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β,</w:t>
            </w:r>
            <w:r w:rsidR="00BA30A9"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LCL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A30A9" w:rsidRPr="00237BCE" w:rsidRDefault="00853475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β,</w:t>
            </w:r>
            <w:r w:rsidR="00BA30A9"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UCL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30A9" w:rsidRDefault="00BA30A9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MWF</w:t>
            </w:r>
          </w:p>
          <w:p w:rsidR="00BA30A9" w:rsidRPr="00237BCE" w:rsidRDefault="00BA30A9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E030D" w:rsidRDefault="00BE030D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</w:t>
            </w:r>
          </w:p>
          <w:p w:rsidR="00BA30A9" w:rsidRPr="00237BCE" w:rsidRDefault="00BA30A9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cumX 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E030D" w:rsidRDefault="00BE030D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Spec.</w:t>
            </w:r>
          </w:p>
          <w:p w:rsidR="00BA30A9" w:rsidRPr="00237BCE" w:rsidRDefault="00BE030D" w:rsidP="002F5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cumX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A30A9" w:rsidRPr="00237BCE" w:rsidRDefault="00BA30A9" w:rsidP="002E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scen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BA30A9" w:rsidRPr="00B74FFC" w:rsidRDefault="00BA30A9" w:rsidP="002F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use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Agalliu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prostate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2.3800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4.330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Agalliu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prostate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1.0600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A2CE3" w:rsidRPr="009A2CE3" w:rsidTr="009A2CE3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Agalliu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prostate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1.1200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1.040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1.200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strl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A2CE3" w:rsidRPr="00B74FFC" w:rsidTr="009A2CE3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Agalliu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prostate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1.1000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0.840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1.430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A2CE3" w:rsidRPr="009A2CE3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A2CE3" w:rsidRPr="00B74FFC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2C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Agalliu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prostate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1.2900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1.460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Agalliu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prostate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1.4100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100.000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Agalliu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prostate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3.4100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11.100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270.000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Bardin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pancreas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C17AEE" w:rsidP="00C17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52A89" w:rsidRPr="00B74FFC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Bardin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pancreas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C17AEE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AEE">
              <w:rPr>
                <w:rFonts w:ascii="Calibri" w:eastAsia="Times New Roman" w:hAnsi="Calibri" w:cs="Times New Roman"/>
                <w:color w:val="000000"/>
              </w:rPr>
              <w:t>29.56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A2CE3" w:rsidRPr="00D01D2A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Bardin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pancreas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1.0500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0.970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1.140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0.290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9A2CE3" w:rsidRPr="00D01D2A" w:rsidRDefault="009A2CE3" w:rsidP="009A2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Bardin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pancreas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C17AEE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0.290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Bardin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pancreas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19.100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Bardin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bil.trct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3.8800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19.960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chl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2.200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Bardin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bil.trct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1.0900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4.400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Betenia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cervical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2.9600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1.530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Costello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melano</w:t>
            </w:r>
            <w:r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1.0700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0.410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Costello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melano</w:t>
            </w:r>
            <w:r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1.1400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1.910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Costello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melano</w:t>
            </w:r>
            <w:r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1.3900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2.590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Costello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melano</w:t>
            </w:r>
            <w:r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1.1700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2.610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6.320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0.490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1.590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0.340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1.7600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3.490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4.900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1.5800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3.380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0.430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2.270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lastRenderedPageBreak/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1.680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1.690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4.900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0.340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1.0300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lymphopoietic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lymphopoietic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lymphopoietic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1.2300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lymphopoietic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lymphopoietic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1.0600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1.660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4.900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lymphopoietic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0.9600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1.550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lymphopoietic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lymphopoietic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1.900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2.390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1.7700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3.520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2.390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4.900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1.3600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0.190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0.360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1.1700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1.770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4.900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sol,G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1.900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0.5600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0.280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larynx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1.5400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0.220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larynx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0.520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3.460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larynx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0.460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1.550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gnd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1.220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1.4000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0.820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2.380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0.075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1.2200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0.710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2.090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0.280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1.1300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0.670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6.690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0.980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1.5100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0.880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2.610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4.090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2.0700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1.190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3.620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1.2000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0.690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2.080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1.0800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0.610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1.890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1.720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0.9000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0.520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1.570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4.360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0.8900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10.700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1.0200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0.560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1.880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20.000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lastRenderedPageBreak/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1.1400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0.560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2.310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0.035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1.0800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0.520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2.230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0.120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1.1800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0.570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2.420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0.290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0569C2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0.6100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0.290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0.960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Friesen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/>
              <w:rPr>
                <w:rFonts w:ascii="Calibri" w:hAnsi="Calibri"/>
                <w:color w:val="000000"/>
              </w:rPr>
            </w:pPr>
            <w:r w:rsidRPr="000569C2">
              <w:rPr>
                <w:rFonts w:ascii="Calibri" w:hAnsi="Calibri"/>
                <w:color w:val="000000"/>
              </w:rPr>
              <w:t>bladder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0.7800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0.380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1.161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0569C2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9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1.4000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27.500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1.8000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5.700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1.840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[1]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1.5000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[1]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2.5000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[1]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25.000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2A89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3.2000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[1]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52A89" w:rsidRPr="00B74FFC" w:rsidRDefault="00952A89" w:rsidP="0095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D01D2A" w:rsidTr="0018546A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1.5000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2.800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4.410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D01D2A" w:rsidTr="0018546A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1.9000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4.600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10.060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D01D2A" w:rsidTr="0018546A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1.3000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0.400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0.835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18546A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 xml:space="preserve">Malloy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rectum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1.6000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0.900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3.200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1.146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D01D2A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Mehta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lung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Schroeder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lung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2.2500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4.440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Schroeder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lung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2.8500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1.430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5.680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01D2A" w:rsidRPr="00D01D2A" w:rsidTr="00D01D2A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esoph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D01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1.4000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D01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0.319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01D2A" w:rsidRPr="00B74FFC" w:rsidTr="00D01D2A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esoph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1.3000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3.600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str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1.284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D01D2A" w:rsidRPr="00D01D2A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D01D2A" w:rsidRPr="00B74FFC" w:rsidRDefault="00D01D2A" w:rsidP="00277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D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esoph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3.9000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1.100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14.300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syn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2.700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esoph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3.7000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11.100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nta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esoph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2.1000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0.600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7.800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6.300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esoph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3.5000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0.900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13.100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16.400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breast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1.3300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1.670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B74FFC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1.6300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0.770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3.430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0.400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1.5500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0.840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2.880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1.280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8546A" w:rsidRPr="00B74FFC" w:rsidTr="005C645D">
        <w:trPr>
          <w:trHeight w:val="20"/>
        </w:trPr>
        <w:tc>
          <w:tcPr>
            <w:tcW w:w="1164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1.9900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1.090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3.620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sol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3.330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18546A" w:rsidRPr="00B74FFC" w:rsidRDefault="0018546A" w:rsidP="0018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3B2629" w:rsidRDefault="003B2629" w:rsidP="00BA30A9">
      <w:pPr>
        <w:spacing w:after="0"/>
      </w:pPr>
      <w:r>
        <w:t>where,</w:t>
      </w:r>
    </w:p>
    <w:p w:rsidR="00BE030D" w:rsidRDefault="003B2629" w:rsidP="00BA30A9">
      <w:pPr>
        <w:spacing w:after="0"/>
      </w:pPr>
      <w:r>
        <w:t xml:space="preserve"> </w:t>
      </w:r>
      <w:r>
        <w:tab/>
      </w:r>
      <w:r w:rsidR="00BE030D">
        <w:t>Mean cumX – average cumulative exposure in stratum analyzed</w:t>
      </w:r>
    </w:p>
    <w:p w:rsidR="00BE030D" w:rsidRDefault="00BE030D" w:rsidP="003B2629">
      <w:pPr>
        <w:spacing w:after="0"/>
        <w:ind w:firstLine="720"/>
      </w:pPr>
      <w:r>
        <w:t>Spec.  cumX – specified cumulative exposure in evaluation of spline prediction</w:t>
      </w:r>
    </w:p>
    <w:p w:rsidR="00636827" w:rsidRDefault="00636827" w:rsidP="003B2629">
      <w:pPr>
        <w:spacing w:after="0"/>
        <w:ind w:firstLine="720"/>
      </w:pPr>
      <w:r>
        <w:t>scen – type of analytical model design</w:t>
      </w:r>
      <w:r w:rsidR="002E6BEE">
        <w:t xml:space="preserve"> scenario</w:t>
      </w:r>
      <w:r w:rsidR="00C909A6">
        <w:t>:</w:t>
      </w:r>
    </w:p>
    <w:p w:rsidR="00C909A6" w:rsidRDefault="00C909A6" w:rsidP="003B2629">
      <w:pPr>
        <w:spacing w:after="0"/>
        <w:ind w:firstLine="720"/>
      </w:pPr>
    </w:p>
    <w:tbl>
      <w:tblPr>
        <w:tblStyle w:val="TableGrid"/>
        <w:tblW w:w="0" w:type="auto"/>
        <w:tblInd w:w="2680" w:type="dxa"/>
        <w:tblLook w:val="04A0" w:firstRow="1" w:lastRow="0" w:firstColumn="1" w:lastColumn="0" w:noHBand="0" w:noVBand="1"/>
      </w:tblPr>
      <w:tblGrid>
        <w:gridCol w:w="621"/>
        <w:gridCol w:w="4524"/>
      </w:tblGrid>
      <w:tr w:rsidR="00C909A6" w:rsidTr="007E00FC">
        <w:tc>
          <w:tcPr>
            <w:tcW w:w="621" w:type="dxa"/>
          </w:tcPr>
          <w:p w:rsidR="00C909A6" w:rsidRDefault="00C909A6" w:rsidP="00E91258">
            <w:pPr>
              <w:spacing w:line="276" w:lineRule="auto"/>
              <w:jc w:val="center"/>
            </w:pPr>
            <w:r>
              <w:t>scen</w:t>
            </w:r>
          </w:p>
        </w:tc>
        <w:tc>
          <w:tcPr>
            <w:tcW w:w="4524" w:type="dxa"/>
          </w:tcPr>
          <w:p w:rsidR="00C909A6" w:rsidRDefault="00C909A6" w:rsidP="00E91258">
            <w:pPr>
              <w:spacing w:line="276" w:lineRule="auto"/>
              <w:jc w:val="center"/>
            </w:pPr>
            <w:r>
              <w:t>Original model form</w:t>
            </w:r>
          </w:p>
          <w:p w:rsidR="00C909A6" w:rsidRDefault="00C909A6" w:rsidP="00E91258">
            <w:pPr>
              <w:spacing w:line="276" w:lineRule="auto"/>
              <w:jc w:val="center"/>
            </w:pPr>
            <w:r>
              <w:t>in published study</w:t>
            </w:r>
          </w:p>
        </w:tc>
      </w:tr>
      <w:tr w:rsidR="00C909A6" w:rsidTr="007E00FC">
        <w:tc>
          <w:tcPr>
            <w:tcW w:w="621" w:type="dxa"/>
          </w:tcPr>
          <w:p w:rsidR="00C909A6" w:rsidRDefault="00C909A6" w:rsidP="00E912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24" w:type="dxa"/>
          </w:tcPr>
          <w:p w:rsidR="00C909A6" w:rsidRDefault="00C909A6" w:rsidP="00E91258">
            <w:pPr>
              <w:spacing w:line="276" w:lineRule="auto"/>
            </w:pPr>
            <w:r>
              <w:t>Logistic regression, loglinear, on continuous cumulative exposure</w:t>
            </w:r>
          </w:p>
        </w:tc>
      </w:tr>
      <w:tr w:rsidR="00C909A6" w:rsidTr="007E00FC">
        <w:tc>
          <w:tcPr>
            <w:tcW w:w="621" w:type="dxa"/>
          </w:tcPr>
          <w:p w:rsidR="00C909A6" w:rsidRDefault="00C909A6" w:rsidP="00E912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24" w:type="dxa"/>
          </w:tcPr>
          <w:p w:rsidR="00C909A6" w:rsidRDefault="00C909A6" w:rsidP="00E91258">
            <w:pPr>
              <w:spacing w:line="276" w:lineRule="auto"/>
            </w:pPr>
            <w:r>
              <w:t>Proportional hazard regression, spline, on continuous cumulative exposure</w:t>
            </w:r>
          </w:p>
        </w:tc>
      </w:tr>
      <w:tr w:rsidR="00C909A6" w:rsidTr="007E00FC">
        <w:tc>
          <w:tcPr>
            <w:tcW w:w="621" w:type="dxa"/>
          </w:tcPr>
          <w:p w:rsidR="00C909A6" w:rsidRDefault="00C909A6" w:rsidP="00E912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24" w:type="dxa"/>
          </w:tcPr>
          <w:p w:rsidR="00C909A6" w:rsidRDefault="00C909A6" w:rsidP="00E91258">
            <w:pPr>
              <w:spacing w:line="276" w:lineRule="auto"/>
            </w:pPr>
            <w:r>
              <w:t>Logistic regression, loglinear, on categorical strata of cumulative exposure</w:t>
            </w:r>
          </w:p>
        </w:tc>
      </w:tr>
    </w:tbl>
    <w:p w:rsidR="00C909A6" w:rsidRDefault="00C909A6" w:rsidP="003B2629">
      <w:pPr>
        <w:spacing w:after="0"/>
        <w:ind w:firstLine="720"/>
      </w:pPr>
    </w:p>
    <w:p w:rsidR="00BE030D" w:rsidRDefault="00636827" w:rsidP="002E6BEE">
      <w:pPr>
        <w:spacing w:after="0"/>
        <w:ind w:left="1080" w:hanging="360"/>
      </w:pPr>
      <w:r>
        <w:lastRenderedPageBreak/>
        <w:t>u</w:t>
      </w:r>
      <w:r w:rsidR="00BE030D">
        <w:t xml:space="preserve">se=0 </w:t>
      </w:r>
      <w:r w:rsidR="006E63EB">
        <w:t xml:space="preserve"> </w:t>
      </w:r>
      <w:r w:rsidR="00BE030D">
        <w:t>– excluded</w:t>
      </w:r>
      <w:r w:rsidR="006E63EB">
        <w:t xml:space="preserve">: non MWF exposure or insufficient evidence of causation </w:t>
      </w:r>
      <w:r w:rsidR="002E6BEE">
        <w:t>or duplicated studies</w:t>
      </w:r>
    </w:p>
    <w:p w:rsidR="00591981" w:rsidRDefault="00591981" w:rsidP="003B2629">
      <w:pPr>
        <w:spacing w:after="0"/>
        <w:ind w:firstLine="720"/>
      </w:pPr>
      <w:r>
        <w:t>Al – aluminum machining</w:t>
      </w:r>
    </w:p>
    <w:p w:rsidR="00591981" w:rsidRDefault="00591981" w:rsidP="003B2629">
      <w:pPr>
        <w:spacing w:after="0"/>
        <w:ind w:firstLine="720"/>
      </w:pPr>
      <w:r>
        <w:t>nta – nitrosamines</w:t>
      </w:r>
    </w:p>
    <w:p w:rsidR="00591981" w:rsidRDefault="00591981" w:rsidP="003B2629">
      <w:pPr>
        <w:spacing w:after="0"/>
        <w:ind w:firstLine="720"/>
      </w:pPr>
      <w:r>
        <w:t>chl – chlorinated compounds</w:t>
      </w:r>
    </w:p>
    <w:p w:rsidR="00BA30A9" w:rsidRDefault="003B2629" w:rsidP="008B0DDB">
      <w:pPr>
        <w:pStyle w:val="ListParagraph"/>
        <w:numPr>
          <w:ilvl w:val="0"/>
          <w:numId w:val="22"/>
        </w:numPr>
        <w:spacing w:after="0"/>
      </w:pPr>
      <w:r>
        <w:t xml:space="preserve"> </w:t>
      </w:r>
      <w:r w:rsidR="00BA30A9">
        <w:t>p-value =0.025</w:t>
      </w:r>
      <w:r w:rsidR="00636827">
        <w:t xml:space="preserve"> estimated from reported p&lt;0.05</w:t>
      </w:r>
    </w:p>
    <w:p w:rsidR="008B0DDB" w:rsidRDefault="008B0DDB" w:rsidP="008B0DDB">
      <w:pPr>
        <w:pStyle w:val="ListParagraph"/>
        <w:spacing w:after="0"/>
      </w:pPr>
    </w:p>
    <w:p w:rsidR="00853475" w:rsidRDefault="00853475" w:rsidP="006E7665">
      <w:pPr>
        <w:spacing w:after="0"/>
        <w:rPr>
          <w:sz w:val="24"/>
          <w:szCs w:val="24"/>
        </w:rPr>
      </w:pPr>
    </w:p>
    <w:p w:rsidR="008B0DDB" w:rsidRDefault="008B0D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B9562A" w:rsidRPr="008B0DDB" w:rsidRDefault="00826705" w:rsidP="008B0DDB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u w:val="single"/>
        </w:rPr>
      </w:pPr>
      <w:r w:rsidRPr="008B0DDB">
        <w:rPr>
          <w:sz w:val="24"/>
          <w:szCs w:val="24"/>
          <w:u w:val="single"/>
        </w:rPr>
        <w:lastRenderedPageBreak/>
        <w:t>Calculation of excess lifetime risk for a</w:t>
      </w:r>
      <w:r w:rsidR="00C15C77" w:rsidRPr="008B0DDB">
        <w:rPr>
          <w:sz w:val="24"/>
          <w:szCs w:val="24"/>
          <w:u w:val="single"/>
        </w:rPr>
        <w:t xml:space="preserve">ggregate </w:t>
      </w:r>
      <w:r w:rsidRPr="008B0DDB">
        <w:rPr>
          <w:sz w:val="24"/>
          <w:szCs w:val="24"/>
          <w:u w:val="single"/>
        </w:rPr>
        <w:t>c</w:t>
      </w:r>
      <w:r w:rsidR="00C15C77" w:rsidRPr="008B0DDB">
        <w:rPr>
          <w:sz w:val="24"/>
          <w:szCs w:val="24"/>
          <w:u w:val="single"/>
        </w:rPr>
        <w:t>ancer m</w:t>
      </w:r>
      <w:r w:rsidR="00B9562A" w:rsidRPr="008B0DDB">
        <w:rPr>
          <w:sz w:val="24"/>
          <w:szCs w:val="24"/>
          <w:u w:val="single"/>
        </w:rPr>
        <w:t>ort</w:t>
      </w:r>
      <w:r w:rsidR="00C15C77" w:rsidRPr="008B0DDB">
        <w:rPr>
          <w:sz w:val="24"/>
          <w:szCs w:val="24"/>
          <w:u w:val="single"/>
        </w:rPr>
        <w:t>ality</w:t>
      </w:r>
    </w:p>
    <w:p w:rsidR="00113B0C" w:rsidRDefault="00113B0C" w:rsidP="00113B0C">
      <w:pPr>
        <w:spacing w:after="0"/>
        <w:rPr>
          <w:sz w:val="24"/>
          <w:szCs w:val="24"/>
        </w:rPr>
      </w:pPr>
    </w:p>
    <w:p w:rsidR="00290D80" w:rsidRDefault="00F371EB" w:rsidP="007966EF">
      <w:pPr>
        <w:spacing w:line="360" w:lineRule="auto"/>
      </w:pPr>
      <w:r w:rsidRPr="00ED57D8">
        <w:rPr>
          <w:color w:val="000000" w:themeColor="text1"/>
        </w:rPr>
        <w:t xml:space="preserve">A national life-table constructed from Social Security data </w:t>
      </w:r>
      <w:r w:rsidRPr="00ED57D8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EN.CITE &lt;EndNote&gt;&lt;Cite&gt;&lt;Author&gt;SSA&lt;/Author&gt;&lt;Year&gt;2005&lt;/Year&gt;&lt;RecNum&gt;1457&lt;/RecNum&gt;&lt;DisplayText&gt;[SSA 2005]&lt;/DisplayText&gt;&lt;record&gt;&lt;rec-number&gt;1457&lt;/rec-number&gt;&lt;foreign-keys&gt;&lt;key app="EN" db-id="ffwt0aeec5x25wewdv65a0td2exwtft2a00z"&gt;1457&lt;/key&gt;&lt;/foreign-keys&gt;&lt;ref-type name="Web Page"&gt;12&lt;/ref-type&gt;&lt;contributors&gt;&lt;authors&gt;&lt;author&gt;SSA&lt;/author&gt;&lt;/authors&gt;&lt;/contributors&gt;&lt;titles&gt;&lt;title&gt;Life table for the United States Social Security Area 1900-2100: actuarial study #120.  Table 6.&lt;/title&gt;&lt;/titles&gt;&lt;number&gt;May 2010&lt;/number&gt;&lt;dates&gt;&lt;year&gt;2005&lt;/year&gt;&lt;/dates&gt;&lt;publisher&gt;U.S. Social Security Administration&lt;/publisher&gt;&lt;label&gt;Social Security Administration&lt;/label&gt;&lt;urls&gt;&lt;related-urls&gt;&lt;url&gt;http://www.ssa.gov/OACT/NOTES/as120/LifeTables_Tbl_6_2000.html&lt;/url&gt;&lt;/related-urls&gt;&lt;/urls&gt;&lt;/record&gt;&lt;/Cite&gt;&lt;/EndNote&gt;</w:instrText>
      </w:r>
      <w:r w:rsidRPr="00ED57D8">
        <w:rPr>
          <w:color w:val="000000" w:themeColor="text1"/>
        </w:rPr>
        <w:fldChar w:fldCharType="separate"/>
      </w:r>
      <w:r w:rsidRPr="00ED57D8">
        <w:rPr>
          <w:noProof/>
          <w:color w:val="000000" w:themeColor="text1"/>
        </w:rPr>
        <w:t>[</w:t>
      </w:r>
      <w:hyperlink w:anchor="_ENREF_50" w:tooltip="SSA, 2005 #1457" w:history="1">
        <w:r w:rsidRPr="00ED57D8">
          <w:rPr>
            <w:noProof/>
            <w:color w:val="000000" w:themeColor="text1"/>
          </w:rPr>
          <w:t>SSA 2005</w:t>
        </w:r>
      </w:hyperlink>
      <w:r w:rsidRPr="00ED57D8">
        <w:rPr>
          <w:noProof/>
          <w:color w:val="000000" w:themeColor="text1"/>
        </w:rPr>
        <w:t>]</w:t>
      </w:r>
      <w:r w:rsidRPr="00ED57D8">
        <w:rPr>
          <w:color w:val="000000" w:themeColor="text1"/>
        </w:rPr>
        <w:fldChar w:fldCharType="end"/>
      </w:r>
      <w:r w:rsidRPr="00ED57D8">
        <w:rPr>
          <w:color w:val="000000" w:themeColor="text1"/>
        </w:rPr>
        <w:t xml:space="preserve"> was used</w:t>
      </w:r>
      <w:r w:rsidR="007966EF">
        <w:rPr>
          <w:color w:val="000000" w:themeColor="text1"/>
        </w:rPr>
        <w:t xml:space="preserve"> combining both sexes and</w:t>
      </w:r>
      <w:r w:rsidR="00290D80">
        <w:rPr>
          <w:color w:val="000000" w:themeColor="text1"/>
        </w:rPr>
        <w:t xml:space="preserve"> assuming the national distribution with respect to race</w:t>
      </w:r>
      <w:r w:rsidRPr="00ED57D8">
        <w:rPr>
          <w:color w:val="000000" w:themeColor="text1"/>
        </w:rPr>
        <w:t>. The surviving population was calculated start</w:t>
      </w:r>
      <w:r w:rsidR="006D6569">
        <w:rPr>
          <w:color w:val="000000" w:themeColor="text1"/>
        </w:rPr>
        <w:t>ing</w:t>
      </w:r>
      <w:r w:rsidRPr="00ED57D8">
        <w:rPr>
          <w:color w:val="000000" w:themeColor="text1"/>
        </w:rPr>
        <w:t xml:space="preserve"> at age 20 </w:t>
      </w:r>
      <w:r w:rsidRPr="00216B70">
        <w:t>for a 45 yr exposure</w:t>
      </w:r>
      <w:r w:rsidR="007966EF">
        <w:t>, and lifetime risk was calculated through age 85.</w:t>
      </w:r>
      <w:r w:rsidR="00290D80">
        <w:t xml:space="preserve"> </w:t>
      </w:r>
      <w:r w:rsidR="000014AA">
        <w:t xml:space="preserve">The number of MWF-associated deaths in each year </w:t>
      </w:r>
      <w:r w:rsidR="000D6E56">
        <w:t xml:space="preserve">of age </w:t>
      </w:r>
      <w:r w:rsidR="000014AA">
        <w:t xml:space="preserve">was calculated by applying to the surviving population </w:t>
      </w:r>
      <w:r w:rsidR="00A2141F">
        <w:t xml:space="preserve">and the corresponding hypothetical cumulative exposure at the achieved age, </w:t>
      </w:r>
      <w:r w:rsidR="000014AA">
        <w:t xml:space="preserve">the </w:t>
      </w:r>
      <w:r w:rsidR="006D6569">
        <w:t xml:space="preserve">excess </w:t>
      </w:r>
      <w:r w:rsidR="004103C3">
        <w:t xml:space="preserve">relative </w:t>
      </w:r>
      <w:r w:rsidR="006D6569">
        <w:t>rate</w:t>
      </w:r>
      <w:r w:rsidR="00315152">
        <w:t xml:space="preserve">s </w:t>
      </w:r>
      <w:r w:rsidR="00E97D27">
        <w:t>of</w:t>
      </w:r>
      <w:r w:rsidR="00315152">
        <w:t xml:space="preserve"> </w:t>
      </w:r>
      <w:r w:rsidR="00E97D27">
        <w:t xml:space="preserve">mortality for </w:t>
      </w:r>
      <w:r w:rsidR="00315152">
        <w:t xml:space="preserve">the attributable outcomes (Table </w:t>
      </w:r>
      <w:r w:rsidR="00390262">
        <w:t>S</w:t>
      </w:r>
      <w:r w:rsidR="00315152">
        <w:t>2)</w:t>
      </w:r>
      <w:r w:rsidR="00E97D27">
        <w:t xml:space="preserve">, as derived from the data in </w:t>
      </w:r>
      <w:r w:rsidR="00390262">
        <w:t>Table S</w:t>
      </w:r>
      <w:r w:rsidR="00E97D27">
        <w:t>1,</w:t>
      </w:r>
      <w:r w:rsidR="00A2141F">
        <w:t xml:space="preserve"> and the baseline rates</w:t>
      </w:r>
      <w:r w:rsidR="004103C3">
        <w:t xml:space="preserve">, using </w:t>
      </w:r>
      <w:r w:rsidR="000014AA">
        <w:t xml:space="preserve">age- </w:t>
      </w:r>
      <w:r w:rsidR="00724D9E">
        <w:t xml:space="preserve"> and site-specific </w:t>
      </w:r>
      <w:r w:rsidR="004103C3">
        <w:t xml:space="preserve"> national </w:t>
      </w:r>
      <w:r w:rsidR="000014AA">
        <w:t>death rates</w:t>
      </w:r>
      <w:r w:rsidR="000D6E56">
        <w:t xml:space="preserve"> (NIOSH LTAS 1992)</w:t>
      </w:r>
      <w:r w:rsidR="000014AA">
        <w:t>.</w:t>
      </w:r>
      <w:r w:rsidR="000D6E56">
        <w:t xml:space="preserve"> </w:t>
      </w:r>
      <w:r w:rsidR="00675C45">
        <w:t xml:space="preserve">Table </w:t>
      </w:r>
      <w:r w:rsidR="00390262">
        <w:t>S</w:t>
      </w:r>
      <w:r w:rsidR="00315152">
        <w:t>3</w:t>
      </w:r>
      <w:r w:rsidR="00675C45">
        <w:t xml:space="preserve"> displays a lifetable calculation for a specific exposure level (0.05 mg/m</w:t>
      </w:r>
      <w:r w:rsidR="00675C45">
        <w:rPr>
          <w:vertAlign w:val="superscript"/>
        </w:rPr>
        <w:t>3</w:t>
      </w:r>
      <w:r w:rsidR="00675C45">
        <w:t xml:space="preserve"> and a 20 yr lag for all MWF results).  Excess deaths begin to appear only after age 40 an</w:t>
      </w:r>
      <w:r w:rsidR="00393B77">
        <w:t>d</w:t>
      </w:r>
      <w:r w:rsidR="00675C45">
        <w:t xml:space="preserve"> continue</w:t>
      </w:r>
      <w:r w:rsidR="00393B77">
        <w:t xml:space="preserve"> to accrue</w:t>
      </w:r>
      <w:r w:rsidR="00675C45">
        <w:t xml:space="preserve"> until age 85 due to the 20 yr lag</w:t>
      </w:r>
      <w:r w:rsidR="000569C2">
        <w:t xml:space="preserve"> except for the breast cancer cases where the exposure metric was calculated from a time window in the 10 years prior to observation</w:t>
      </w:r>
      <w:r w:rsidR="00675C45">
        <w:t>.</w:t>
      </w:r>
    </w:p>
    <w:p w:rsidR="003041F5" w:rsidRDefault="00675C45" w:rsidP="003041F5">
      <w:pPr>
        <w:spacing w:line="360" w:lineRule="auto"/>
      </w:pPr>
      <w:r>
        <w:t xml:space="preserve">Table </w:t>
      </w:r>
      <w:r w:rsidR="007F300E">
        <w:t>S</w:t>
      </w:r>
      <w:r w:rsidR="00A64191">
        <w:t>2</w:t>
      </w:r>
      <w:r>
        <w:tab/>
      </w:r>
      <w:r w:rsidR="00826705">
        <w:t xml:space="preserve">Example of lifetime </w:t>
      </w:r>
      <w:r w:rsidR="003041F5">
        <w:t>risk calculation for X=0.05, lag=20, MWF=all</w:t>
      </w:r>
    </w:p>
    <w:tbl>
      <w:tblPr>
        <w:tblW w:w="8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053"/>
        <w:gridCol w:w="1053"/>
        <w:gridCol w:w="718"/>
        <w:gridCol w:w="1053"/>
        <w:gridCol w:w="1053"/>
        <w:gridCol w:w="1053"/>
        <w:gridCol w:w="1080"/>
        <w:gridCol w:w="1219"/>
      </w:tblGrid>
      <w:tr w:rsidR="0043613C" w:rsidTr="00C174F3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SrvPop</w:t>
            </w:r>
          </w:p>
        </w:tc>
        <w:tc>
          <w:tcPr>
            <w:tcW w:w="1053" w:type="dxa"/>
            <w:vAlign w:val="bottom"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sdths</w:t>
            </w:r>
          </w:p>
        </w:tc>
        <w:tc>
          <w:tcPr>
            <w:tcW w:w="718" w:type="dxa"/>
            <w:vAlign w:val="bottom"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cumx</w:t>
            </w:r>
          </w:p>
        </w:tc>
        <w:tc>
          <w:tcPr>
            <w:tcW w:w="1053" w:type="dxa"/>
            <w:vAlign w:val="bottom"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ncasex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tcasex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sdthx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SrvPox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43613C" w:rsidRDefault="0043613C" w:rsidP="001D549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xltr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98591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0.0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98591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0.0000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98502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0.0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98502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0.0000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98409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0.0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98409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0.0000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98316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0.0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98316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0.0000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98225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92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0.0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98224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0.0000</w:t>
            </w:r>
          </w:p>
        </w:tc>
      </w:tr>
      <w:tr w:rsidR="007E00FC" w:rsidTr="00C174F3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8282" w:type="dxa"/>
            <w:gridSpan w:val="8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E00FC" w:rsidRPr="00CC503F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96648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166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1.8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96637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0.0001</w:t>
            </w:r>
          </w:p>
        </w:tc>
      </w:tr>
      <w:tr w:rsidR="007E00FC" w:rsidRPr="00CC503F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96469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1.8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96456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0.0001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96274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0.03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3.2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96258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0.0002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96064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0.08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3.5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96044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0.0002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95836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227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0.13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3.7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95813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0.0002</w:t>
            </w:r>
          </w:p>
        </w:tc>
      </w:tr>
      <w:tr w:rsidR="007E00FC" w:rsidTr="00C174F3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8282" w:type="dxa"/>
            <w:gridSpan w:val="8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82477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1228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1.23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31.6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360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1223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82142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0.0037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81153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1324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1.28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38.5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399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1319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80785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0.0040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79725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1427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1.33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39.4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438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1421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79325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0.0044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78191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1534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1.38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40.1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478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1527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77758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0.0048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76547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1643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1.43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40.8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519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1634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76082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0.0053</w:t>
            </w:r>
          </w:p>
        </w:tc>
      </w:tr>
      <w:tr w:rsidR="007E00FC" w:rsidTr="00C174F3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</w:tcPr>
          <w:p w:rsidR="007E00FC" w:rsidRPr="00846BC7" w:rsidRDefault="00396199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8282" w:type="dxa"/>
            <w:gridSpan w:val="8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44163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3209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2.08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47.9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1161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3158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43415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0.0118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40861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3302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2.13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45.7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1207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3246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40123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0.0122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37487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3374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2.18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43.2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1250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3313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36767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0.0127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34069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3418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2.23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40.5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1290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3352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33374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0.0131</w:t>
            </w:r>
          </w:p>
        </w:tc>
      </w:tr>
      <w:tr w:rsidR="007E00FC" w:rsidTr="00347C6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30640</w:t>
            </w:r>
          </w:p>
        </w:tc>
        <w:tc>
          <w:tcPr>
            <w:tcW w:w="1053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3429</w:t>
            </w:r>
          </w:p>
        </w:tc>
        <w:tc>
          <w:tcPr>
            <w:tcW w:w="718" w:type="dxa"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2.28</w:t>
            </w:r>
          </w:p>
        </w:tc>
        <w:tc>
          <w:tcPr>
            <w:tcW w:w="1053" w:type="dxa"/>
            <w:vAlign w:val="bottom"/>
          </w:tcPr>
          <w:p w:rsidR="007E00FC" w:rsidRPr="00261B88" w:rsidRDefault="007E00FC" w:rsidP="007E00FC">
            <w:pPr>
              <w:spacing w:after="0" w:line="240" w:lineRule="auto"/>
              <w:jc w:val="right"/>
              <w:rPr>
                <w:color w:val="000000"/>
              </w:rPr>
            </w:pPr>
            <w:r w:rsidRPr="00261B88">
              <w:rPr>
                <w:color w:val="000000"/>
              </w:rPr>
              <w:t>40.5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1331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3359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29974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7E00FC" w:rsidRPr="00846BC7" w:rsidRDefault="007E00FC" w:rsidP="007E0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46BC7">
              <w:rPr>
                <w:rFonts w:eastAsia="Times New Roman" w:cs="Times New Roman"/>
                <w:color w:val="000000"/>
              </w:rPr>
              <w:t>0.0135</w:t>
            </w:r>
          </w:p>
        </w:tc>
      </w:tr>
    </w:tbl>
    <w:p w:rsidR="00826705" w:rsidRDefault="003041F5" w:rsidP="009D39DC">
      <w:pPr>
        <w:spacing w:after="0"/>
      </w:pPr>
      <w:r>
        <w:t>where,</w:t>
      </w:r>
    </w:p>
    <w:p w:rsidR="003041F5" w:rsidRDefault="003041F5" w:rsidP="009D39DC">
      <w:pPr>
        <w:spacing w:after="0"/>
        <w:ind w:left="720"/>
      </w:pPr>
      <w:r w:rsidRPr="003041F5">
        <w:lastRenderedPageBreak/>
        <w:t>SrvPop</w:t>
      </w:r>
      <w:r w:rsidRPr="003041F5">
        <w:tab/>
      </w:r>
      <w:r>
        <w:t>=</w:t>
      </w:r>
      <w:r w:rsidR="009D39DC">
        <w:t xml:space="preserve"> surviving population of 100,000 without exposure effects</w:t>
      </w:r>
    </w:p>
    <w:p w:rsidR="0043613C" w:rsidRDefault="003041F5" w:rsidP="009D39DC">
      <w:pPr>
        <w:spacing w:after="0"/>
        <w:ind w:left="720"/>
      </w:pPr>
      <w:r w:rsidRPr="003041F5">
        <w:t>sdths</w:t>
      </w:r>
      <w:r w:rsidRPr="003041F5">
        <w:tab/>
      </w:r>
      <w:r w:rsidR="009D39DC">
        <w:t>= deaths expected without exposure effects</w:t>
      </w:r>
      <w:r w:rsidR="009D39DC" w:rsidRPr="003041F5">
        <w:t xml:space="preserve"> </w:t>
      </w:r>
      <w:r w:rsidR="0043613C" w:rsidRPr="003041F5">
        <w:tab/>
      </w:r>
    </w:p>
    <w:p w:rsidR="009D39DC" w:rsidRDefault="009D39DC" w:rsidP="009D39DC">
      <w:pPr>
        <w:spacing w:after="0"/>
        <w:ind w:left="720"/>
      </w:pPr>
      <w:r>
        <w:t xml:space="preserve">cumX    = cumulative exposure </w:t>
      </w:r>
      <w:r w:rsidR="00EA496A">
        <w:t xml:space="preserve">(lagged) </w:t>
      </w:r>
      <w:r>
        <w:t>with age at constant exposure X</w:t>
      </w:r>
    </w:p>
    <w:p w:rsidR="0043613C" w:rsidRDefault="0043613C" w:rsidP="009D39DC">
      <w:pPr>
        <w:spacing w:after="0"/>
        <w:ind w:left="720"/>
      </w:pPr>
      <w:r w:rsidRPr="003041F5">
        <w:t>ncasex</w:t>
      </w:r>
      <w:r w:rsidRPr="003041F5">
        <w:tab/>
      </w:r>
      <w:r w:rsidR="009D39DC">
        <w:t>= excess deaths predicted with exposure</w:t>
      </w:r>
      <w:r w:rsidR="00EA496A">
        <w:t xml:space="preserve"> (includes deaths from breast cancer based on non-lagged 10 yr window model specification; Thompson et al., 2005)</w:t>
      </w:r>
    </w:p>
    <w:p w:rsidR="003041F5" w:rsidRDefault="003041F5" w:rsidP="009D39DC">
      <w:pPr>
        <w:spacing w:after="0"/>
        <w:ind w:left="720"/>
      </w:pPr>
      <w:r w:rsidRPr="003041F5">
        <w:t>tcasex</w:t>
      </w:r>
      <w:r w:rsidRPr="003041F5">
        <w:tab/>
      </w:r>
      <w:r w:rsidR="009D39DC">
        <w:t>= cumulative excess deaths with age</w:t>
      </w:r>
    </w:p>
    <w:p w:rsidR="003041F5" w:rsidRDefault="003041F5" w:rsidP="009D39DC">
      <w:pPr>
        <w:spacing w:after="0"/>
        <w:ind w:left="720"/>
      </w:pPr>
      <w:r w:rsidRPr="003041F5">
        <w:t>sdthx</w:t>
      </w:r>
      <w:r w:rsidRPr="003041F5">
        <w:tab/>
      </w:r>
      <w:r w:rsidR="009D39DC">
        <w:t>= non-attributable deaths expected in population with exposure effects</w:t>
      </w:r>
    </w:p>
    <w:p w:rsidR="003041F5" w:rsidRDefault="003041F5" w:rsidP="009D39DC">
      <w:pPr>
        <w:spacing w:after="0"/>
        <w:ind w:left="720"/>
      </w:pPr>
      <w:r w:rsidRPr="003041F5">
        <w:t>SrvPox</w:t>
      </w:r>
      <w:r w:rsidRPr="003041F5">
        <w:tab/>
      </w:r>
      <w:r w:rsidR="009D39DC">
        <w:t>= surviving population of 100,000 with exposure effects</w:t>
      </w:r>
    </w:p>
    <w:p w:rsidR="003041F5" w:rsidRPr="00FD5B32" w:rsidRDefault="009D39DC" w:rsidP="009D39DC">
      <w:pPr>
        <w:spacing w:after="0"/>
        <w:ind w:left="720"/>
      </w:pPr>
      <w:r w:rsidRPr="003041F5">
        <w:t>X</w:t>
      </w:r>
      <w:r w:rsidR="003041F5" w:rsidRPr="003041F5">
        <w:t>ltr</w:t>
      </w:r>
      <w:r>
        <w:tab/>
        <w:t xml:space="preserve">= excess lifetime risk (final: </w:t>
      </w:r>
      <w:r w:rsidR="00C17AEE">
        <w:t>133</w:t>
      </w:r>
      <w:r>
        <w:t>1/</w:t>
      </w:r>
      <w:r>
        <w:rPr>
          <w:rFonts w:ascii="Calibri" w:hAnsi="Calibri"/>
          <w:color w:val="000000"/>
        </w:rPr>
        <w:t>98591 = 0.0</w:t>
      </w:r>
      <w:r w:rsidR="002C7820">
        <w:rPr>
          <w:rFonts w:ascii="Calibri" w:hAnsi="Calibri"/>
          <w:color w:val="000000"/>
        </w:rPr>
        <w:t>1</w:t>
      </w:r>
      <w:r w:rsidR="00C17AEE">
        <w:rPr>
          <w:rFonts w:ascii="Calibri" w:hAnsi="Calibri"/>
          <w:color w:val="000000"/>
        </w:rPr>
        <w:t>35 = 14/1000</w:t>
      </w:r>
      <w:r>
        <w:rPr>
          <w:rFonts w:ascii="Calibri" w:hAnsi="Calibri"/>
          <w:color w:val="000000"/>
        </w:rPr>
        <w:t>)</w:t>
      </w:r>
    </w:p>
    <w:p w:rsidR="00313058" w:rsidRPr="00313058" w:rsidRDefault="00313058" w:rsidP="00313058">
      <w:pPr>
        <w:spacing w:after="0"/>
        <w:ind w:left="360"/>
        <w:rPr>
          <w:rFonts w:cs="Courier New"/>
          <w:sz w:val="24"/>
          <w:szCs w:val="24"/>
        </w:rPr>
      </w:pPr>
    </w:p>
    <w:p w:rsidR="007966EF" w:rsidRDefault="007966EF" w:rsidP="007966EF">
      <w:pPr>
        <w:spacing w:after="0"/>
        <w:rPr>
          <w:sz w:val="24"/>
          <w:szCs w:val="24"/>
        </w:rPr>
      </w:pPr>
    </w:p>
    <w:p w:rsidR="00B9562A" w:rsidRDefault="00B9562A" w:rsidP="006E7665">
      <w:pPr>
        <w:spacing w:after="0"/>
        <w:rPr>
          <w:sz w:val="24"/>
          <w:szCs w:val="24"/>
        </w:rPr>
      </w:pPr>
    </w:p>
    <w:p w:rsidR="00661C62" w:rsidRDefault="00661C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BD178C" w:rsidRDefault="00BD178C" w:rsidP="00B9562A">
      <w:pPr>
        <w:spacing w:after="0"/>
        <w:rPr>
          <w:sz w:val="24"/>
          <w:szCs w:val="24"/>
        </w:rPr>
      </w:pPr>
    </w:p>
    <w:p w:rsidR="00BD178C" w:rsidRPr="008B0DDB" w:rsidRDefault="008604A3" w:rsidP="008B0DDB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u w:val="single"/>
        </w:rPr>
      </w:pPr>
      <w:r w:rsidRPr="008B0DDB">
        <w:rPr>
          <w:u w:val="single"/>
        </w:rPr>
        <w:t>Published</w:t>
      </w:r>
      <w:r w:rsidRPr="008B0DDB">
        <w:rPr>
          <w:sz w:val="24"/>
          <w:szCs w:val="24"/>
          <w:u w:val="single"/>
        </w:rPr>
        <w:t xml:space="preserve"> </w:t>
      </w:r>
      <w:r w:rsidR="000E2308" w:rsidRPr="008B0DDB">
        <w:rPr>
          <w:sz w:val="24"/>
          <w:szCs w:val="24"/>
          <w:u w:val="single"/>
        </w:rPr>
        <w:t>Paper IDs</w:t>
      </w:r>
    </w:p>
    <w:p w:rsidR="00B46B51" w:rsidRDefault="00B46B51" w:rsidP="008604A3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7"/>
        <w:gridCol w:w="7893"/>
      </w:tblGrid>
      <w:tr w:rsidR="00B46B51" w:rsidRPr="00015A9E" w:rsidTr="00952A89">
        <w:trPr>
          <w:trHeight w:val="440"/>
        </w:trPr>
        <w:tc>
          <w:tcPr>
            <w:tcW w:w="737" w:type="dxa"/>
            <w:vAlign w:val="bottom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Paper ID</w:t>
            </w:r>
          </w:p>
        </w:tc>
        <w:tc>
          <w:tcPr>
            <w:tcW w:w="7893" w:type="dxa"/>
            <w:vAlign w:val="bottom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Paper</w:t>
            </w:r>
          </w:p>
        </w:tc>
      </w:tr>
      <w:tr w:rsidR="00952A89" w:rsidRPr="00015A9E" w:rsidTr="009A6E6C">
        <w:tc>
          <w:tcPr>
            <w:tcW w:w="737" w:type="dxa"/>
          </w:tcPr>
          <w:p w:rsidR="00952A89" w:rsidRDefault="00952A89" w:rsidP="009A6E6C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</w:t>
            </w:r>
          </w:p>
        </w:tc>
        <w:tc>
          <w:tcPr>
            <w:tcW w:w="7893" w:type="dxa"/>
            <w:vAlign w:val="bottom"/>
          </w:tcPr>
          <w:p w:rsidR="00952A89" w:rsidRDefault="00E11C95" w:rsidP="00E11C95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Agalliu, I., Eisen, E. A., Kriebel, D., Quinn, M. M., Wegman, D. H. (</w:t>
            </w:r>
            <w:r w:rsidRPr="00E11C95">
              <w:rPr>
                <w:rFonts w:ascii="Calibri" w:hAnsi="Calibri"/>
                <w:noProof/>
              </w:rPr>
              <w:t>2005</w:t>
            </w:r>
            <w:r>
              <w:rPr>
                <w:rFonts w:ascii="Calibri" w:hAnsi="Calibri"/>
                <w:noProof/>
              </w:rPr>
              <w:t>).</w:t>
            </w:r>
            <w:r w:rsidRPr="00E11C95">
              <w:rPr>
                <w:rFonts w:ascii="Calibri" w:hAnsi="Calibri"/>
                <w:noProof/>
              </w:rPr>
              <w:t xml:space="preserve"> A biological approach to characterizing exposure to metalworking fluids and risk of prostate cancer (United States)</w:t>
            </w:r>
            <w:r>
              <w:rPr>
                <w:rFonts w:ascii="Calibri" w:hAnsi="Calibri"/>
                <w:noProof/>
              </w:rPr>
              <w:t xml:space="preserve">. </w:t>
            </w:r>
            <w:r w:rsidRPr="00E11C95">
              <w:rPr>
                <w:rFonts w:ascii="Calibri" w:hAnsi="Calibri"/>
                <w:i/>
                <w:noProof/>
              </w:rPr>
              <w:t>Cancer Causes &amp; Control</w:t>
            </w:r>
            <w:r w:rsidRPr="00E11C95">
              <w:rPr>
                <w:rFonts w:ascii="Calibri" w:hAnsi="Calibri"/>
                <w:noProof/>
              </w:rPr>
              <w:t xml:space="preserve"> 16</w:t>
            </w:r>
            <w:r>
              <w:rPr>
                <w:rFonts w:ascii="Calibri" w:hAnsi="Calibri"/>
                <w:noProof/>
              </w:rPr>
              <w:t>:</w:t>
            </w:r>
            <w:r w:rsidRPr="00E11C95">
              <w:rPr>
                <w:rFonts w:ascii="Calibri" w:hAnsi="Calibri"/>
                <w:noProof/>
              </w:rPr>
              <w:t>323 -331</w:t>
            </w:r>
            <w:r>
              <w:rPr>
                <w:rFonts w:ascii="Calibri" w:hAnsi="Calibri"/>
                <w:noProof/>
              </w:rPr>
              <w:t>.</w:t>
            </w:r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1" w:name="_ENREF_1"/>
            <w:r w:rsidRPr="00015A9E">
              <w:rPr>
                <w:rFonts w:ascii="Calibri" w:hAnsi="Calibri"/>
                <w:noProof/>
              </w:rPr>
              <w:t xml:space="preserve">Agalliu, I., Kriebel, D., Quinn, M. M., Wegman, D. H., &amp; Eisen, E. A. (2005). Prostate cancer incidence in relation to time windows of exposure to metalworking fluids in the auto industry. </w:t>
            </w:r>
            <w:r w:rsidRPr="00015A9E">
              <w:rPr>
                <w:rFonts w:ascii="Calibri" w:hAnsi="Calibri"/>
                <w:i/>
                <w:noProof/>
              </w:rPr>
              <w:t>Epidemiology, 16</w:t>
            </w:r>
            <w:r w:rsidRPr="00015A9E">
              <w:rPr>
                <w:rFonts w:ascii="Calibri" w:hAnsi="Calibri"/>
                <w:noProof/>
              </w:rPr>
              <w:t xml:space="preserve">(5), 664-671. </w:t>
            </w:r>
            <w:bookmarkEnd w:id="1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12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2" w:name="_ENREF_4"/>
            <w:r w:rsidRPr="00015A9E">
              <w:rPr>
                <w:rFonts w:ascii="Calibri" w:hAnsi="Calibri"/>
                <w:noProof/>
              </w:rPr>
              <w:t xml:space="preserve">Bardin, J. A., Eisen, E. A., Tolbert, P. E., Hallock, M. F., Hammond, S. K., Woskie, S. R., . . . Monson, R. R. (1997). Mortality studies of machining fluid exposure in the automobile industry. V: A case-control study of pancreatic cancer. </w:t>
            </w:r>
            <w:r w:rsidRPr="00015A9E">
              <w:rPr>
                <w:rFonts w:ascii="Calibri" w:hAnsi="Calibri"/>
                <w:i/>
                <w:noProof/>
              </w:rPr>
              <w:t>Am.J.Ind.Med, 32</w:t>
            </w:r>
            <w:r w:rsidRPr="00015A9E">
              <w:rPr>
                <w:rFonts w:ascii="Calibri" w:hAnsi="Calibri"/>
                <w:noProof/>
              </w:rPr>
              <w:t xml:space="preserve">(3), 240-247. </w:t>
            </w:r>
            <w:bookmarkEnd w:id="2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13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3" w:name="_ENREF_5"/>
            <w:r w:rsidRPr="00015A9E">
              <w:rPr>
                <w:rFonts w:ascii="Calibri" w:hAnsi="Calibri"/>
                <w:noProof/>
              </w:rPr>
              <w:t xml:space="preserve">Bardin, J. A., Gore, R. J., Wegman, D. H., Kriebel, D., Woskie, S. R., &amp; Eisen, E. A. (2005). Registry-based case-control studies of liver cancer and cancers of the biliary tract nested in a cohort of autoworkers exposed to metalworking fluids. </w:t>
            </w:r>
            <w:r w:rsidRPr="00015A9E">
              <w:rPr>
                <w:rFonts w:ascii="Calibri" w:hAnsi="Calibri"/>
                <w:i/>
                <w:noProof/>
              </w:rPr>
              <w:t>Scand.J.Work Environ.Health, 31</w:t>
            </w:r>
            <w:r w:rsidRPr="00015A9E">
              <w:rPr>
                <w:rFonts w:ascii="Calibri" w:hAnsi="Calibri"/>
                <w:noProof/>
              </w:rPr>
              <w:t xml:space="preserve">(3), 205-211. </w:t>
            </w:r>
            <w:bookmarkEnd w:id="3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18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4" w:name="_ENREF_7"/>
            <w:r w:rsidRPr="00015A9E">
              <w:rPr>
                <w:rFonts w:ascii="Calibri" w:hAnsi="Calibri"/>
                <w:noProof/>
              </w:rPr>
              <w:t xml:space="preserve">Betenia, N., Costello, S., &amp; Eisen, E. A. (2012). Risk of cervical cancer among female autoworkers exposed to metalworking fluids. </w:t>
            </w:r>
            <w:r w:rsidRPr="00015A9E">
              <w:rPr>
                <w:rFonts w:ascii="Calibri" w:hAnsi="Calibri"/>
                <w:i/>
                <w:noProof/>
              </w:rPr>
              <w:t>Scand J Work Environ Health, 38</w:t>
            </w:r>
            <w:r w:rsidRPr="00015A9E">
              <w:rPr>
                <w:rFonts w:ascii="Calibri" w:hAnsi="Calibri"/>
                <w:noProof/>
              </w:rPr>
              <w:t>(1), 78-83. doi: 10.5271/sjweh.3193</w:t>
            </w:r>
            <w:bookmarkEnd w:id="4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33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5" w:name="_ENREF_9"/>
            <w:r w:rsidRPr="00015A9E">
              <w:rPr>
                <w:rFonts w:ascii="Calibri" w:hAnsi="Calibri"/>
                <w:noProof/>
              </w:rPr>
              <w:t xml:space="preserve">Costello, S., Friesen, M. C., Christiani, D. C., &amp; Eisen, E. A. (2011). Metalworking fluids and malignant melanoma in autoworkers. </w:t>
            </w:r>
            <w:r w:rsidRPr="00015A9E">
              <w:rPr>
                <w:rFonts w:ascii="Calibri" w:hAnsi="Calibri"/>
                <w:i/>
                <w:noProof/>
              </w:rPr>
              <w:t>Epidemiology, 22</w:t>
            </w:r>
            <w:r w:rsidRPr="00015A9E">
              <w:rPr>
                <w:rFonts w:ascii="Calibri" w:hAnsi="Calibri"/>
                <w:noProof/>
              </w:rPr>
              <w:t xml:space="preserve">(1), 90-97. </w:t>
            </w:r>
            <w:bookmarkEnd w:id="5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42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6" w:name="_ENREF_13"/>
            <w:r w:rsidRPr="00015A9E">
              <w:rPr>
                <w:rFonts w:ascii="Calibri" w:hAnsi="Calibri"/>
                <w:noProof/>
              </w:rPr>
              <w:t xml:space="preserve">Eisen, E. A., Bardin, J., Gore, R., Woskie, S. R., Hallock, M. F., &amp; Monson, R. R. (2001). Exposure-response models based on extended follow-up of a cohort mortality study in the automobile industry. </w:t>
            </w:r>
            <w:r w:rsidRPr="00015A9E">
              <w:rPr>
                <w:rFonts w:ascii="Calibri" w:hAnsi="Calibri"/>
                <w:i/>
                <w:noProof/>
              </w:rPr>
              <w:t>Scand.J.Work Environ.Health, 27</w:t>
            </w:r>
            <w:r w:rsidRPr="00015A9E">
              <w:rPr>
                <w:rFonts w:ascii="Calibri" w:hAnsi="Calibri"/>
                <w:noProof/>
              </w:rPr>
              <w:t xml:space="preserve">(4), 240-249. </w:t>
            </w:r>
            <w:bookmarkEnd w:id="6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44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7" w:name="_ENREF_14"/>
            <w:r w:rsidRPr="00015A9E">
              <w:rPr>
                <w:rFonts w:ascii="Calibri" w:hAnsi="Calibri"/>
                <w:noProof/>
              </w:rPr>
              <w:t>Eisen, E. A., Tolbert, P. E., Hallock, M. F., Monson, R. R., Smith, T. J., &amp; Woskie, S. R. (1994). Mortality Studies of Machining Fluid Exposure in the Automobile Industry III: A Case-Control Study of Larynx Cancer</w:t>
            </w:r>
            <w:r w:rsidR="00E11C95" w:rsidRPr="00015A9E">
              <w:rPr>
                <w:rFonts w:ascii="Calibri" w:hAnsi="Calibri"/>
                <w:i/>
                <w:noProof/>
              </w:rPr>
              <w:t xml:space="preserve"> Am.J.Ind.Med</w:t>
            </w:r>
            <w:r w:rsidRPr="00015A9E">
              <w:rPr>
                <w:rFonts w:ascii="Calibri" w:hAnsi="Calibri"/>
                <w:i/>
                <w:noProof/>
              </w:rPr>
              <w:t>, 26</w:t>
            </w:r>
            <w:r w:rsidRPr="00015A9E">
              <w:rPr>
                <w:rFonts w:ascii="Calibri" w:hAnsi="Calibri"/>
                <w:noProof/>
              </w:rPr>
              <w:t xml:space="preserve">(2), 185-202. </w:t>
            </w:r>
            <w:bookmarkEnd w:id="7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F575EA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</w:t>
            </w:r>
            <w:r w:rsidR="00F575EA">
              <w:rPr>
                <w:rFonts w:ascii="Calibri" w:hAnsi="Calibri"/>
                <w:noProof/>
              </w:rPr>
              <w:t>0</w:t>
            </w:r>
          </w:p>
        </w:tc>
        <w:tc>
          <w:tcPr>
            <w:tcW w:w="7893" w:type="dxa"/>
          </w:tcPr>
          <w:p w:rsidR="00B46B51" w:rsidRPr="00015A9E" w:rsidRDefault="00B46B51" w:rsidP="00952A89">
            <w:pPr>
              <w:rPr>
                <w:rFonts w:ascii="Calibri" w:hAnsi="Calibri"/>
                <w:noProof/>
              </w:rPr>
            </w:pPr>
            <w:r w:rsidRPr="001F6C7A">
              <w:rPr>
                <w:rFonts w:ascii="Calibri" w:hAnsi="Calibri"/>
                <w:noProof/>
              </w:rPr>
              <w:t>Friesen, M. C., et al. (20</w:t>
            </w:r>
            <w:r w:rsidR="00952A89">
              <w:rPr>
                <w:rFonts w:ascii="Calibri" w:hAnsi="Calibri"/>
                <w:noProof/>
              </w:rPr>
              <w:t>09</w:t>
            </w:r>
            <w:r w:rsidRPr="001F6C7A">
              <w:rPr>
                <w:rFonts w:ascii="Calibri" w:hAnsi="Calibri"/>
                <w:noProof/>
              </w:rPr>
              <w:t xml:space="preserve">). </w:t>
            </w:r>
            <w:r w:rsidR="00952A89">
              <w:rPr>
                <w:rFonts w:ascii="Calibri" w:hAnsi="Calibri"/>
                <w:noProof/>
              </w:rPr>
              <w:t>Q</w:t>
            </w:r>
            <w:r w:rsidR="00952A89" w:rsidRPr="00952A89">
              <w:rPr>
                <w:rFonts w:ascii="Calibri" w:hAnsi="Calibri"/>
                <w:noProof/>
              </w:rPr>
              <w:t>uantitative exposure to metalworking fluids and bladder cancer incidence in a cohort of autoworkers</w:t>
            </w:r>
            <w:r w:rsidR="00952A89">
              <w:rPr>
                <w:rFonts w:ascii="Calibri" w:hAnsi="Calibri"/>
                <w:noProof/>
              </w:rPr>
              <w:t>.</w:t>
            </w:r>
            <w:r w:rsidR="00952A89" w:rsidRPr="001F6C7A">
              <w:rPr>
                <w:rFonts w:ascii="Calibri" w:hAnsi="Calibri"/>
                <w:noProof/>
              </w:rPr>
              <w:t xml:space="preserve"> </w:t>
            </w:r>
            <w:r w:rsidRPr="00952A89">
              <w:rPr>
                <w:rFonts w:ascii="Calibri" w:hAnsi="Calibri"/>
                <w:i/>
                <w:noProof/>
              </w:rPr>
              <w:t xml:space="preserve">American Journal of </w:t>
            </w:r>
            <w:r w:rsidR="00952A89" w:rsidRPr="00952A89">
              <w:rPr>
                <w:rFonts w:ascii="Calibri" w:hAnsi="Calibri"/>
                <w:i/>
                <w:noProof/>
              </w:rPr>
              <w:t>Epidemiology</w:t>
            </w:r>
            <w:r w:rsidRPr="001F6C7A">
              <w:rPr>
                <w:rFonts w:ascii="Calibri" w:hAnsi="Calibri"/>
                <w:noProof/>
              </w:rPr>
              <w:t xml:space="preserve"> </w:t>
            </w:r>
            <w:r w:rsidR="00952A89">
              <w:rPr>
                <w:rFonts w:ascii="Calibri" w:hAnsi="Calibri"/>
                <w:noProof/>
              </w:rPr>
              <w:t>169</w:t>
            </w:r>
            <w:r w:rsidRPr="001F6C7A">
              <w:rPr>
                <w:rFonts w:ascii="Calibri" w:hAnsi="Calibri"/>
                <w:noProof/>
              </w:rPr>
              <w:t xml:space="preserve">: </w:t>
            </w:r>
            <w:r w:rsidR="00952A89">
              <w:rPr>
                <w:rFonts w:ascii="Calibri" w:hAnsi="Calibri"/>
                <w:noProof/>
              </w:rPr>
              <w:t>1</w:t>
            </w:r>
            <w:r w:rsidRPr="001F6C7A">
              <w:rPr>
                <w:rFonts w:ascii="Calibri" w:hAnsi="Calibri"/>
                <w:noProof/>
              </w:rPr>
              <w:t>4</w:t>
            </w:r>
            <w:r w:rsidR="00952A89">
              <w:rPr>
                <w:rFonts w:ascii="Calibri" w:hAnsi="Calibri"/>
                <w:noProof/>
              </w:rPr>
              <w:t>71</w:t>
            </w:r>
            <w:r w:rsidRPr="001F6C7A">
              <w:rPr>
                <w:rFonts w:ascii="Calibri" w:hAnsi="Calibri"/>
                <w:noProof/>
              </w:rPr>
              <w:t>-</w:t>
            </w:r>
            <w:r w:rsidR="00952A89">
              <w:rPr>
                <w:rFonts w:ascii="Calibri" w:hAnsi="Calibri"/>
                <w:noProof/>
              </w:rPr>
              <w:t>1</w:t>
            </w:r>
            <w:r w:rsidRPr="001F6C7A">
              <w:rPr>
                <w:rFonts w:ascii="Calibri" w:hAnsi="Calibri"/>
                <w:noProof/>
              </w:rPr>
              <w:t>4</w:t>
            </w:r>
            <w:r w:rsidR="00952A89">
              <w:rPr>
                <w:rFonts w:ascii="Calibri" w:hAnsi="Calibri"/>
                <w:noProof/>
              </w:rPr>
              <w:t>78</w:t>
            </w:r>
            <w:r w:rsidRPr="001F6C7A">
              <w:rPr>
                <w:rFonts w:ascii="Calibri" w:hAnsi="Calibri"/>
                <w:noProof/>
              </w:rPr>
              <w:t>.</w:t>
            </w:r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92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8" w:name="_ENREF_29"/>
            <w:r w:rsidRPr="00015A9E">
              <w:rPr>
                <w:rFonts w:ascii="Calibri" w:hAnsi="Calibri"/>
                <w:noProof/>
              </w:rPr>
              <w:t xml:space="preserve">Malloy, E. J., Miller, K. L., &amp; Eisen, E. A. (2007). Rectal cancer and exposure to metalworking fluids in the automobile manufacturing industry. </w:t>
            </w:r>
            <w:r w:rsidRPr="00015A9E">
              <w:rPr>
                <w:rFonts w:ascii="Calibri" w:hAnsi="Calibri"/>
                <w:i/>
                <w:noProof/>
              </w:rPr>
              <w:t>Occup.Environ.Med, 64</w:t>
            </w:r>
            <w:r w:rsidRPr="00015A9E">
              <w:rPr>
                <w:rFonts w:ascii="Calibri" w:hAnsi="Calibri"/>
                <w:noProof/>
              </w:rPr>
              <w:t xml:space="preserve">(4), 244-249. </w:t>
            </w:r>
            <w:bookmarkEnd w:id="8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94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9" w:name="_ENREF_31"/>
            <w:r w:rsidRPr="00015A9E">
              <w:rPr>
                <w:rFonts w:ascii="Calibri" w:hAnsi="Calibri"/>
                <w:noProof/>
              </w:rPr>
              <w:t xml:space="preserve">Mehta, A. J., Malloy, E. J., Applebaum, K. M., Schwartz, J., Christiani, D. C., &amp; Eisen, E. A. (2010). Reduced lung cancer mortality and exposure to synthetic fluids and biocide in the auto manufacturing industry. </w:t>
            </w:r>
            <w:r w:rsidRPr="00015A9E">
              <w:rPr>
                <w:rFonts w:ascii="Calibri" w:hAnsi="Calibri"/>
                <w:i/>
                <w:noProof/>
              </w:rPr>
              <w:t>Scand.J.Work Environ.Health, 36</w:t>
            </w:r>
            <w:r w:rsidRPr="00015A9E">
              <w:rPr>
                <w:rFonts w:ascii="Calibri" w:hAnsi="Calibri"/>
                <w:noProof/>
              </w:rPr>
              <w:t xml:space="preserve">(6), 499-508. </w:t>
            </w:r>
            <w:bookmarkEnd w:id="9"/>
          </w:p>
        </w:tc>
      </w:tr>
      <w:tr w:rsidR="00B46B51" w:rsidRPr="00015A9E" w:rsidTr="00F575EA">
        <w:tc>
          <w:tcPr>
            <w:tcW w:w="737" w:type="dxa"/>
          </w:tcPr>
          <w:p w:rsidR="00B46B51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126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r w:rsidRPr="007520CA">
              <w:rPr>
                <w:rFonts w:ascii="Calibri" w:hAnsi="Calibri"/>
                <w:noProof/>
              </w:rPr>
              <w:t>Schroeder, J. C., et al. (1997). "Mortality studies of machining fluid exposure in the automobile industry. IV: A case-control study of lung cancer." Am.J.Ind.Med 31(5): 525-533.</w:t>
            </w:r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137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10" w:name="_ENREF_45"/>
            <w:r w:rsidRPr="00015A9E">
              <w:rPr>
                <w:rFonts w:ascii="Calibri" w:hAnsi="Calibri"/>
                <w:noProof/>
              </w:rPr>
              <w:t xml:space="preserve">Sullivan, P. A., Eisen, E. A., Woskie, S. R., Kriebel, D., Wegman, D. H., Hallock, M. F., . . . Monson, R. R. (1998). Mortality studies of metalworking fluid exposure in the automobile industry: VI. A case-control study of esophageal cancer. </w:t>
            </w:r>
            <w:r w:rsidRPr="00015A9E">
              <w:rPr>
                <w:rFonts w:ascii="Calibri" w:hAnsi="Calibri"/>
                <w:i/>
                <w:noProof/>
              </w:rPr>
              <w:t>Am.J.Ind.Med, 34</w:t>
            </w:r>
            <w:r w:rsidRPr="00015A9E">
              <w:rPr>
                <w:rFonts w:ascii="Calibri" w:hAnsi="Calibri"/>
                <w:noProof/>
              </w:rPr>
              <w:t xml:space="preserve">(1), 36-48. </w:t>
            </w:r>
            <w:bookmarkEnd w:id="10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lastRenderedPageBreak/>
              <w:t>145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11" w:name="_ENREF_48"/>
            <w:r w:rsidRPr="00015A9E">
              <w:rPr>
                <w:rFonts w:ascii="Calibri" w:hAnsi="Calibri"/>
                <w:noProof/>
              </w:rPr>
              <w:t xml:space="preserve">Thompson, D., Kriebel, D., Quinn, M. M., Wegman, D. H., &amp; Eisen, E. A. (2005). Occupational exposure to metalworking fluids and risk of breast cancer among female autoworkers. </w:t>
            </w:r>
            <w:r w:rsidRPr="00015A9E">
              <w:rPr>
                <w:rFonts w:ascii="Calibri" w:hAnsi="Calibri"/>
                <w:i/>
                <w:noProof/>
              </w:rPr>
              <w:t>Am.J.Ind.Med, 47</w:t>
            </w:r>
            <w:r w:rsidRPr="00015A9E">
              <w:rPr>
                <w:rFonts w:ascii="Calibri" w:hAnsi="Calibri"/>
                <w:noProof/>
              </w:rPr>
              <w:t xml:space="preserve">(2), 153-160. </w:t>
            </w:r>
            <w:bookmarkEnd w:id="11"/>
          </w:p>
        </w:tc>
      </w:tr>
      <w:tr w:rsidR="00B46B51" w:rsidRPr="00015A9E" w:rsidTr="00F575EA">
        <w:tc>
          <w:tcPr>
            <w:tcW w:w="737" w:type="dxa"/>
          </w:tcPr>
          <w:p w:rsidR="00B46B51" w:rsidRPr="00015A9E" w:rsidRDefault="00B46B51" w:rsidP="007107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146</w:t>
            </w:r>
          </w:p>
        </w:tc>
        <w:tc>
          <w:tcPr>
            <w:tcW w:w="7893" w:type="dxa"/>
          </w:tcPr>
          <w:p w:rsidR="00B46B51" w:rsidRPr="00015A9E" w:rsidRDefault="00B46B51" w:rsidP="007107C0">
            <w:pPr>
              <w:rPr>
                <w:rFonts w:ascii="Calibri" w:hAnsi="Calibri"/>
                <w:noProof/>
              </w:rPr>
            </w:pPr>
            <w:bookmarkStart w:id="12" w:name="_ENREF_49"/>
            <w:r w:rsidRPr="00015A9E">
              <w:rPr>
                <w:rFonts w:ascii="Calibri" w:hAnsi="Calibri"/>
                <w:noProof/>
              </w:rPr>
              <w:t xml:space="preserve">Thurston, S. W., Eisen, E. A., &amp; Schwartz, J. (2002). Smoothing in survival models: an application to workers exposed to metalworking fluids. </w:t>
            </w:r>
            <w:r w:rsidRPr="00015A9E">
              <w:rPr>
                <w:rFonts w:ascii="Calibri" w:hAnsi="Calibri"/>
                <w:i/>
                <w:noProof/>
              </w:rPr>
              <w:t>Epidemiology, 13</w:t>
            </w:r>
            <w:r w:rsidRPr="00015A9E">
              <w:rPr>
                <w:rFonts w:ascii="Calibri" w:hAnsi="Calibri"/>
                <w:noProof/>
              </w:rPr>
              <w:t xml:space="preserve">(6), 685-692. </w:t>
            </w:r>
            <w:bookmarkEnd w:id="12"/>
          </w:p>
        </w:tc>
      </w:tr>
    </w:tbl>
    <w:p w:rsidR="00B46B51" w:rsidRDefault="00B46B51" w:rsidP="00B46B51"/>
    <w:sectPr w:rsidR="00B46B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E0" w:rsidRDefault="00F938E0" w:rsidP="00454426">
      <w:pPr>
        <w:spacing w:after="0" w:line="240" w:lineRule="auto"/>
      </w:pPr>
      <w:r>
        <w:separator/>
      </w:r>
    </w:p>
  </w:endnote>
  <w:endnote w:type="continuationSeparator" w:id="0">
    <w:p w:rsidR="00F938E0" w:rsidRDefault="00F938E0" w:rsidP="0045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85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CE3" w:rsidRDefault="009A2C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5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2CE3" w:rsidRDefault="009A2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E0" w:rsidRDefault="00F938E0" w:rsidP="00454426">
      <w:pPr>
        <w:spacing w:after="0" w:line="240" w:lineRule="auto"/>
      </w:pPr>
      <w:r>
        <w:separator/>
      </w:r>
    </w:p>
  </w:footnote>
  <w:footnote w:type="continuationSeparator" w:id="0">
    <w:p w:rsidR="00F938E0" w:rsidRDefault="00F938E0" w:rsidP="0045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4F2"/>
    <w:multiLevelType w:val="hybridMultilevel"/>
    <w:tmpl w:val="EAAA1AC2"/>
    <w:lvl w:ilvl="0" w:tplc="0CE03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8AB"/>
    <w:multiLevelType w:val="hybridMultilevel"/>
    <w:tmpl w:val="9F7A8964"/>
    <w:lvl w:ilvl="0" w:tplc="7A825E64">
      <w:start w:val="1"/>
      <w:numFmt w:val="decimal"/>
      <w:lvlText w:val="%1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FFC735F"/>
    <w:multiLevelType w:val="hybridMultilevel"/>
    <w:tmpl w:val="7272D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C59"/>
    <w:multiLevelType w:val="hybridMultilevel"/>
    <w:tmpl w:val="048E20A8"/>
    <w:lvl w:ilvl="0" w:tplc="0006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15146"/>
    <w:multiLevelType w:val="hybridMultilevel"/>
    <w:tmpl w:val="2556B98E"/>
    <w:lvl w:ilvl="0" w:tplc="2162E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E2C"/>
    <w:multiLevelType w:val="hybridMultilevel"/>
    <w:tmpl w:val="DF682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D4FEA"/>
    <w:multiLevelType w:val="hybridMultilevel"/>
    <w:tmpl w:val="E116A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5457"/>
    <w:multiLevelType w:val="hybridMultilevel"/>
    <w:tmpl w:val="3B6CE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3A3B"/>
    <w:multiLevelType w:val="hybridMultilevel"/>
    <w:tmpl w:val="B040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28D4"/>
    <w:multiLevelType w:val="hybridMultilevel"/>
    <w:tmpl w:val="B040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23AE"/>
    <w:multiLevelType w:val="hybridMultilevel"/>
    <w:tmpl w:val="B040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0B3F"/>
    <w:multiLevelType w:val="hybridMultilevel"/>
    <w:tmpl w:val="B040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F3F83"/>
    <w:multiLevelType w:val="hybridMultilevel"/>
    <w:tmpl w:val="B040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B35D2"/>
    <w:multiLevelType w:val="hybridMultilevel"/>
    <w:tmpl w:val="185E26C2"/>
    <w:lvl w:ilvl="0" w:tplc="A0901B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6267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92912"/>
    <w:multiLevelType w:val="hybridMultilevel"/>
    <w:tmpl w:val="81146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7D6A"/>
    <w:multiLevelType w:val="hybridMultilevel"/>
    <w:tmpl w:val="2CD8B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E44E4"/>
    <w:multiLevelType w:val="hybridMultilevel"/>
    <w:tmpl w:val="B040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E6232"/>
    <w:multiLevelType w:val="hybridMultilevel"/>
    <w:tmpl w:val="D67A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D3711"/>
    <w:multiLevelType w:val="hybridMultilevel"/>
    <w:tmpl w:val="E7ECD158"/>
    <w:lvl w:ilvl="0" w:tplc="31D8AB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6267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16BD2"/>
    <w:multiLevelType w:val="hybridMultilevel"/>
    <w:tmpl w:val="ABCAE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55EF7"/>
    <w:multiLevelType w:val="hybridMultilevel"/>
    <w:tmpl w:val="EAAA1AC2"/>
    <w:lvl w:ilvl="0" w:tplc="0CE03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A4A"/>
    <w:multiLevelType w:val="hybridMultilevel"/>
    <w:tmpl w:val="B04011F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12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  <w:num w:numId="16">
    <w:abstractNumId w:val="17"/>
  </w:num>
  <w:num w:numId="17">
    <w:abstractNumId w:val="2"/>
  </w:num>
  <w:num w:numId="18">
    <w:abstractNumId w:val="19"/>
  </w:num>
  <w:num w:numId="19">
    <w:abstractNumId w:val="15"/>
  </w:num>
  <w:num w:numId="20">
    <w:abstractNumId w:val="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5A"/>
    <w:rsid w:val="000014AA"/>
    <w:rsid w:val="000136E2"/>
    <w:rsid w:val="00016A9B"/>
    <w:rsid w:val="00024CEE"/>
    <w:rsid w:val="0003469F"/>
    <w:rsid w:val="000569C2"/>
    <w:rsid w:val="00065B14"/>
    <w:rsid w:val="0007775D"/>
    <w:rsid w:val="000812B8"/>
    <w:rsid w:val="000841F3"/>
    <w:rsid w:val="0008518A"/>
    <w:rsid w:val="00085E98"/>
    <w:rsid w:val="000A0EDC"/>
    <w:rsid w:val="000A199A"/>
    <w:rsid w:val="000A24E6"/>
    <w:rsid w:val="000B21AC"/>
    <w:rsid w:val="000B36AF"/>
    <w:rsid w:val="000B4BAC"/>
    <w:rsid w:val="000C41A4"/>
    <w:rsid w:val="000C4EE4"/>
    <w:rsid w:val="000C7B17"/>
    <w:rsid w:val="000D4B97"/>
    <w:rsid w:val="000D6E56"/>
    <w:rsid w:val="000E2308"/>
    <w:rsid w:val="00100361"/>
    <w:rsid w:val="00104440"/>
    <w:rsid w:val="00113B0C"/>
    <w:rsid w:val="00132EFC"/>
    <w:rsid w:val="00135F4F"/>
    <w:rsid w:val="00141CF3"/>
    <w:rsid w:val="00150141"/>
    <w:rsid w:val="001530CE"/>
    <w:rsid w:val="001573EB"/>
    <w:rsid w:val="001631AA"/>
    <w:rsid w:val="0018546A"/>
    <w:rsid w:val="00186625"/>
    <w:rsid w:val="00187EE6"/>
    <w:rsid w:val="00191142"/>
    <w:rsid w:val="001A48CC"/>
    <w:rsid w:val="001C00FA"/>
    <w:rsid w:val="001C2D98"/>
    <w:rsid w:val="001C4656"/>
    <w:rsid w:val="001C780A"/>
    <w:rsid w:val="001D37C9"/>
    <w:rsid w:val="001D3B0B"/>
    <w:rsid w:val="001D5492"/>
    <w:rsid w:val="001E3A9A"/>
    <w:rsid w:val="001E4083"/>
    <w:rsid w:val="001E55D3"/>
    <w:rsid w:val="001E7BF9"/>
    <w:rsid w:val="001F641E"/>
    <w:rsid w:val="001F6F6E"/>
    <w:rsid w:val="002034CD"/>
    <w:rsid w:val="002063AC"/>
    <w:rsid w:val="00207E2E"/>
    <w:rsid w:val="002124AA"/>
    <w:rsid w:val="00213E83"/>
    <w:rsid w:val="00217D79"/>
    <w:rsid w:val="00232111"/>
    <w:rsid w:val="00232471"/>
    <w:rsid w:val="00234E09"/>
    <w:rsid w:val="00246D75"/>
    <w:rsid w:val="00250BE8"/>
    <w:rsid w:val="00250F8B"/>
    <w:rsid w:val="00255C4C"/>
    <w:rsid w:val="00255D55"/>
    <w:rsid w:val="00260A77"/>
    <w:rsid w:val="00266263"/>
    <w:rsid w:val="00287223"/>
    <w:rsid w:val="00290D80"/>
    <w:rsid w:val="002A24E1"/>
    <w:rsid w:val="002B4F93"/>
    <w:rsid w:val="002B6802"/>
    <w:rsid w:val="002B7356"/>
    <w:rsid w:val="002C5CE3"/>
    <w:rsid w:val="002C757A"/>
    <w:rsid w:val="002C7820"/>
    <w:rsid w:val="002E2636"/>
    <w:rsid w:val="002E6BEE"/>
    <w:rsid w:val="002F1153"/>
    <w:rsid w:val="002F52F3"/>
    <w:rsid w:val="003041F5"/>
    <w:rsid w:val="00313058"/>
    <w:rsid w:val="00315152"/>
    <w:rsid w:val="0031588A"/>
    <w:rsid w:val="00317A09"/>
    <w:rsid w:val="0032191A"/>
    <w:rsid w:val="003223DB"/>
    <w:rsid w:val="00337C84"/>
    <w:rsid w:val="00337EBC"/>
    <w:rsid w:val="003406B1"/>
    <w:rsid w:val="00347C66"/>
    <w:rsid w:val="003517AD"/>
    <w:rsid w:val="003542FE"/>
    <w:rsid w:val="003571AC"/>
    <w:rsid w:val="00363330"/>
    <w:rsid w:val="00367321"/>
    <w:rsid w:val="003703A5"/>
    <w:rsid w:val="00377C89"/>
    <w:rsid w:val="003810CA"/>
    <w:rsid w:val="00390262"/>
    <w:rsid w:val="003908DF"/>
    <w:rsid w:val="003913FB"/>
    <w:rsid w:val="0039202D"/>
    <w:rsid w:val="00393B77"/>
    <w:rsid w:val="00396199"/>
    <w:rsid w:val="003961B6"/>
    <w:rsid w:val="003A338B"/>
    <w:rsid w:val="003B2629"/>
    <w:rsid w:val="003B30EC"/>
    <w:rsid w:val="003B3EDC"/>
    <w:rsid w:val="003B6EAD"/>
    <w:rsid w:val="003C301A"/>
    <w:rsid w:val="003D2895"/>
    <w:rsid w:val="003D737D"/>
    <w:rsid w:val="003E1594"/>
    <w:rsid w:val="003E2657"/>
    <w:rsid w:val="003E42D3"/>
    <w:rsid w:val="004019FF"/>
    <w:rsid w:val="0040759E"/>
    <w:rsid w:val="004103C3"/>
    <w:rsid w:val="00410FF1"/>
    <w:rsid w:val="00411326"/>
    <w:rsid w:val="00411A0F"/>
    <w:rsid w:val="004127A2"/>
    <w:rsid w:val="0043613C"/>
    <w:rsid w:val="00454426"/>
    <w:rsid w:val="00473459"/>
    <w:rsid w:val="0047369D"/>
    <w:rsid w:val="00481AD7"/>
    <w:rsid w:val="00483A2D"/>
    <w:rsid w:val="00485D34"/>
    <w:rsid w:val="00493274"/>
    <w:rsid w:val="004A0229"/>
    <w:rsid w:val="004A072B"/>
    <w:rsid w:val="004A17AD"/>
    <w:rsid w:val="004B11F1"/>
    <w:rsid w:val="004C20D6"/>
    <w:rsid w:val="004C52CF"/>
    <w:rsid w:val="004D3888"/>
    <w:rsid w:val="004D5927"/>
    <w:rsid w:val="004E16FA"/>
    <w:rsid w:val="004E246C"/>
    <w:rsid w:val="004F4CA4"/>
    <w:rsid w:val="00501300"/>
    <w:rsid w:val="00514826"/>
    <w:rsid w:val="00517582"/>
    <w:rsid w:val="0053373A"/>
    <w:rsid w:val="00552D28"/>
    <w:rsid w:val="00562D21"/>
    <w:rsid w:val="0057153D"/>
    <w:rsid w:val="00571F46"/>
    <w:rsid w:val="00591981"/>
    <w:rsid w:val="00593E3F"/>
    <w:rsid w:val="005A1161"/>
    <w:rsid w:val="005A2AAA"/>
    <w:rsid w:val="005C42A8"/>
    <w:rsid w:val="005C645D"/>
    <w:rsid w:val="005D76E6"/>
    <w:rsid w:val="005E7789"/>
    <w:rsid w:val="005F139E"/>
    <w:rsid w:val="00600184"/>
    <w:rsid w:val="00602243"/>
    <w:rsid w:val="006032DA"/>
    <w:rsid w:val="00620D9F"/>
    <w:rsid w:val="00636827"/>
    <w:rsid w:val="0066152D"/>
    <w:rsid w:val="00661C62"/>
    <w:rsid w:val="00662C5A"/>
    <w:rsid w:val="0066471F"/>
    <w:rsid w:val="006656F6"/>
    <w:rsid w:val="00670913"/>
    <w:rsid w:val="00674AEF"/>
    <w:rsid w:val="00675C45"/>
    <w:rsid w:val="00676626"/>
    <w:rsid w:val="006838B9"/>
    <w:rsid w:val="00683CDC"/>
    <w:rsid w:val="00693BCC"/>
    <w:rsid w:val="00694132"/>
    <w:rsid w:val="006A04C0"/>
    <w:rsid w:val="006A15D5"/>
    <w:rsid w:val="006B7A4E"/>
    <w:rsid w:val="006C4871"/>
    <w:rsid w:val="006C4F15"/>
    <w:rsid w:val="006D2AA3"/>
    <w:rsid w:val="006D2B3B"/>
    <w:rsid w:val="006D33A1"/>
    <w:rsid w:val="006D5F8E"/>
    <w:rsid w:val="006D6569"/>
    <w:rsid w:val="006E4EE8"/>
    <w:rsid w:val="006E5F0F"/>
    <w:rsid w:val="006E63EB"/>
    <w:rsid w:val="006E7665"/>
    <w:rsid w:val="006E7764"/>
    <w:rsid w:val="00701D5A"/>
    <w:rsid w:val="00703E06"/>
    <w:rsid w:val="00707011"/>
    <w:rsid w:val="007107C0"/>
    <w:rsid w:val="00711E77"/>
    <w:rsid w:val="00716858"/>
    <w:rsid w:val="00717026"/>
    <w:rsid w:val="00724D9E"/>
    <w:rsid w:val="00744401"/>
    <w:rsid w:val="007501B6"/>
    <w:rsid w:val="00766670"/>
    <w:rsid w:val="00774E51"/>
    <w:rsid w:val="007911AA"/>
    <w:rsid w:val="0079282F"/>
    <w:rsid w:val="007960FA"/>
    <w:rsid w:val="007966EF"/>
    <w:rsid w:val="007A5B3A"/>
    <w:rsid w:val="007C1B8F"/>
    <w:rsid w:val="007D3EDF"/>
    <w:rsid w:val="007D6130"/>
    <w:rsid w:val="007D7AB9"/>
    <w:rsid w:val="007E00FC"/>
    <w:rsid w:val="007E1E96"/>
    <w:rsid w:val="007F300E"/>
    <w:rsid w:val="007F3E9F"/>
    <w:rsid w:val="00805090"/>
    <w:rsid w:val="00817B14"/>
    <w:rsid w:val="00822DBA"/>
    <w:rsid w:val="00824157"/>
    <w:rsid w:val="00826705"/>
    <w:rsid w:val="00834188"/>
    <w:rsid w:val="0083553B"/>
    <w:rsid w:val="00847255"/>
    <w:rsid w:val="00853475"/>
    <w:rsid w:val="008604A3"/>
    <w:rsid w:val="0088574E"/>
    <w:rsid w:val="0089045C"/>
    <w:rsid w:val="00891FDE"/>
    <w:rsid w:val="00893977"/>
    <w:rsid w:val="008B0DDB"/>
    <w:rsid w:val="008B1520"/>
    <w:rsid w:val="008C18B0"/>
    <w:rsid w:val="008C7774"/>
    <w:rsid w:val="008E1280"/>
    <w:rsid w:val="008E4C91"/>
    <w:rsid w:val="008F1813"/>
    <w:rsid w:val="008F6B82"/>
    <w:rsid w:val="00900F5B"/>
    <w:rsid w:val="00903111"/>
    <w:rsid w:val="00910E8F"/>
    <w:rsid w:val="0091160F"/>
    <w:rsid w:val="009124BF"/>
    <w:rsid w:val="00927577"/>
    <w:rsid w:val="009337C6"/>
    <w:rsid w:val="009427C7"/>
    <w:rsid w:val="00947D92"/>
    <w:rsid w:val="0095005F"/>
    <w:rsid w:val="00952A89"/>
    <w:rsid w:val="00954C01"/>
    <w:rsid w:val="009704E4"/>
    <w:rsid w:val="00974147"/>
    <w:rsid w:val="00975763"/>
    <w:rsid w:val="009774F2"/>
    <w:rsid w:val="00987974"/>
    <w:rsid w:val="009A0161"/>
    <w:rsid w:val="009A0D13"/>
    <w:rsid w:val="009A250E"/>
    <w:rsid w:val="009A2CE3"/>
    <w:rsid w:val="009A6E6C"/>
    <w:rsid w:val="009B79FF"/>
    <w:rsid w:val="009B7F36"/>
    <w:rsid w:val="009C313C"/>
    <w:rsid w:val="009D39DC"/>
    <w:rsid w:val="009D5832"/>
    <w:rsid w:val="009E0D3E"/>
    <w:rsid w:val="00A146AD"/>
    <w:rsid w:val="00A2141F"/>
    <w:rsid w:val="00A224C8"/>
    <w:rsid w:val="00A227B5"/>
    <w:rsid w:val="00A34C72"/>
    <w:rsid w:val="00A41F07"/>
    <w:rsid w:val="00A45145"/>
    <w:rsid w:val="00A63DAB"/>
    <w:rsid w:val="00A64191"/>
    <w:rsid w:val="00A74C81"/>
    <w:rsid w:val="00A80F19"/>
    <w:rsid w:val="00A91DAB"/>
    <w:rsid w:val="00A94519"/>
    <w:rsid w:val="00AA6BF2"/>
    <w:rsid w:val="00AB0E15"/>
    <w:rsid w:val="00AB0F53"/>
    <w:rsid w:val="00AB5B8F"/>
    <w:rsid w:val="00AD4411"/>
    <w:rsid w:val="00AE041E"/>
    <w:rsid w:val="00AF3953"/>
    <w:rsid w:val="00AF4986"/>
    <w:rsid w:val="00AF52B6"/>
    <w:rsid w:val="00B07A6C"/>
    <w:rsid w:val="00B07D0F"/>
    <w:rsid w:val="00B11410"/>
    <w:rsid w:val="00B3032B"/>
    <w:rsid w:val="00B4299A"/>
    <w:rsid w:val="00B46B51"/>
    <w:rsid w:val="00B4729B"/>
    <w:rsid w:val="00B476EF"/>
    <w:rsid w:val="00B575FE"/>
    <w:rsid w:val="00B75EE0"/>
    <w:rsid w:val="00B92771"/>
    <w:rsid w:val="00B9562A"/>
    <w:rsid w:val="00BA30A9"/>
    <w:rsid w:val="00BB0C0F"/>
    <w:rsid w:val="00BB22D8"/>
    <w:rsid w:val="00BC6597"/>
    <w:rsid w:val="00BD178C"/>
    <w:rsid w:val="00BD714B"/>
    <w:rsid w:val="00BE030D"/>
    <w:rsid w:val="00BE6CAA"/>
    <w:rsid w:val="00BF40E1"/>
    <w:rsid w:val="00C06BE5"/>
    <w:rsid w:val="00C15C77"/>
    <w:rsid w:val="00C174F3"/>
    <w:rsid w:val="00C17AEE"/>
    <w:rsid w:val="00C31108"/>
    <w:rsid w:val="00C33423"/>
    <w:rsid w:val="00C367BD"/>
    <w:rsid w:val="00C401A8"/>
    <w:rsid w:val="00C4310B"/>
    <w:rsid w:val="00C448C4"/>
    <w:rsid w:val="00C531D2"/>
    <w:rsid w:val="00C55C3E"/>
    <w:rsid w:val="00C872D1"/>
    <w:rsid w:val="00C87B28"/>
    <w:rsid w:val="00C909A6"/>
    <w:rsid w:val="00C920F8"/>
    <w:rsid w:val="00C930D7"/>
    <w:rsid w:val="00CA29B4"/>
    <w:rsid w:val="00CB05B8"/>
    <w:rsid w:val="00CB4A17"/>
    <w:rsid w:val="00CB7F78"/>
    <w:rsid w:val="00CC31FC"/>
    <w:rsid w:val="00CD0CB8"/>
    <w:rsid w:val="00CD2AEC"/>
    <w:rsid w:val="00CD53F3"/>
    <w:rsid w:val="00CE5623"/>
    <w:rsid w:val="00CF2F15"/>
    <w:rsid w:val="00CF3DFC"/>
    <w:rsid w:val="00D01D2A"/>
    <w:rsid w:val="00D119C0"/>
    <w:rsid w:val="00D132BB"/>
    <w:rsid w:val="00D13CF9"/>
    <w:rsid w:val="00D35ABD"/>
    <w:rsid w:val="00D46D3A"/>
    <w:rsid w:val="00D50E9B"/>
    <w:rsid w:val="00D54342"/>
    <w:rsid w:val="00D55EEB"/>
    <w:rsid w:val="00D57890"/>
    <w:rsid w:val="00D61911"/>
    <w:rsid w:val="00D62A7D"/>
    <w:rsid w:val="00D64CC7"/>
    <w:rsid w:val="00D66540"/>
    <w:rsid w:val="00D6752C"/>
    <w:rsid w:val="00D67F1D"/>
    <w:rsid w:val="00D71C12"/>
    <w:rsid w:val="00D7645E"/>
    <w:rsid w:val="00D81523"/>
    <w:rsid w:val="00D8204D"/>
    <w:rsid w:val="00D83B13"/>
    <w:rsid w:val="00D93557"/>
    <w:rsid w:val="00DA546F"/>
    <w:rsid w:val="00DA56A2"/>
    <w:rsid w:val="00DB5D72"/>
    <w:rsid w:val="00DC1A63"/>
    <w:rsid w:val="00DC46B3"/>
    <w:rsid w:val="00DC4D54"/>
    <w:rsid w:val="00DD1F86"/>
    <w:rsid w:val="00DD219B"/>
    <w:rsid w:val="00DE0713"/>
    <w:rsid w:val="00DF0E0E"/>
    <w:rsid w:val="00DF606B"/>
    <w:rsid w:val="00E00F0F"/>
    <w:rsid w:val="00E11C95"/>
    <w:rsid w:val="00E1613A"/>
    <w:rsid w:val="00E1672C"/>
    <w:rsid w:val="00E2375F"/>
    <w:rsid w:val="00E24C9D"/>
    <w:rsid w:val="00E35334"/>
    <w:rsid w:val="00E35575"/>
    <w:rsid w:val="00E4203B"/>
    <w:rsid w:val="00E42D82"/>
    <w:rsid w:val="00E476D1"/>
    <w:rsid w:val="00E53F06"/>
    <w:rsid w:val="00E57FB9"/>
    <w:rsid w:val="00E634C2"/>
    <w:rsid w:val="00E67F19"/>
    <w:rsid w:val="00E726CA"/>
    <w:rsid w:val="00E80EF7"/>
    <w:rsid w:val="00E84977"/>
    <w:rsid w:val="00E875BF"/>
    <w:rsid w:val="00E903FB"/>
    <w:rsid w:val="00E91258"/>
    <w:rsid w:val="00E924C2"/>
    <w:rsid w:val="00E97D27"/>
    <w:rsid w:val="00EA496A"/>
    <w:rsid w:val="00EA514D"/>
    <w:rsid w:val="00EC0148"/>
    <w:rsid w:val="00EF6BAF"/>
    <w:rsid w:val="00EF7A30"/>
    <w:rsid w:val="00F01221"/>
    <w:rsid w:val="00F111C5"/>
    <w:rsid w:val="00F112FB"/>
    <w:rsid w:val="00F12EF7"/>
    <w:rsid w:val="00F17DA5"/>
    <w:rsid w:val="00F17F98"/>
    <w:rsid w:val="00F3012D"/>
    <w:rsid w:val="00F359E2"/>
    <w:rsid w:val="00F371EB"/>
    <w:rsid w:val="00F40AC2"/>
    <w:rsid w:val="00F427BD"/>
    <w:rsid w:val="00F446D0"/>
    <w:rsid w:val="00F453BA"/>
    <w:rsid w:val="00F510A4"/>
    <w:rsid w:val="00F55BC0"/>
    <w:rsid w:val="00F563C0"/>
    <w:rsid w:val="00F5688E"/>
    <w:rsid w:val="00F57202"/>
    <w:rsid w:val="00F575EA"/>
    <w:rsid w:val="00F602DA"/>
    <w:rsid w:val="00F632AA"/>
    <w:rsid w:val="00F63B54"/>
    <w:rsid w:val="00F66CB5"/>
    <w:rsid w:val="00F70EDF"/>
    <w:rsid w:val="00F90134"/>
    <w:rsid w:val="00F91984"/>
    <w:rsid w:val="00F91C4B"/>
    <w:rsid w:val="00F938E0"/>
    <w:rsid w:val="00F9526C"/>
    <w:rsid w:val="00F96FC5"/>
    <w:rsid w:val="00F97061"/>
    <w:rsid w:val="00FA1094"/>
    <w:rsid w:val="00FA57D1"/>
    <w:rsid w:val="00FB1A0F"/>
    <w:rsid w:val="00FC5768"/>
    <w:rsid w:val="00FD07ED"/>
    <w:rsid w:val="00FD5B32"/>
    <w:rsid w:val="00FD7524"/>
    <w:rsid w:val="00FF36A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10358-7C2A-4F3C-A83E-E3567D7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26"/>
  </w:style>
  <w:style w:type="paragraph" w:styleId="Footer">
    <w:name w:val="footer"/>
    <w:basedOn w:val="Normal"/>
    <w:link w:val="FooterChar"/>
    <w:uiPriority w:val="99"/>
    <w:unhideWhenUsed/>
    <w:rsid w:val="0045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26"/>
  </w:style>
  <w:style w:type="table" w:styleId="TableGrid">
    <w:name w:val="Table Grid"/>
    <w:basedOn w:val="TableNormal"/>
    <w:uiPriority w:val="59"/>
    <w:rsid w:val="00CB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130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05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95DB-F494-4131-80A5-9D7DBAC9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11570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Robert (CDC/NIOSH/EID)</dc:creator>
  <cp:lastModifiedBy>Proffitt, Brenda L. (CDC/NIOSH/EID)</cp:lastModifiedBy>
  <cp:revision>2</cp:revision>
  <dcterms:created xsi:type="dcterms:W3CDTF">2018-02-14T16:29:00Z</dcterms:created>
  <dcterms:modified xsi:type="dcterms:W3CDTF">2018-02-14T16:29:00Z</dcterms:modified>
</cp:coreProperties>
</file>