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98" w:rsidRDefault="00D9595F">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-428626</wp:posOffset>
                </wp:positionV>
                <wp:extent cx="8846820" cy="7524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884682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125D" w:rsidRPr="00DF125D" w:rsidRDefault="00DF125D" w:rsidP="00DF125D">
                            <w:pPr>
                              <w:spacing w:after="120" w:line="240" w:lineRule="auto"/>
                              <w:jc w:val="both"/>
                              <w:rPr>
                                <w:rFonts w:ascii="Times New Roman" w:hAnsi="Times New Roman"/>
                                <w:sz w:val="24"/>
                                <w:szCs w:val="24"/>
                                <w:lang w:val="en-GB"/>
                              </w:rPr>
                            </w:pPr>
                            <w:r w:rsidRPr="00DF125D">
                              <w:rPr>
                                <w:rFonts w:ascii="Times New Roman" w:hAnsi="Times New Roman"/>
                                <w:b/>
                                <w:sz w:val="24"/>
                                <w:szCs w:val="24"/>
                                <w:lang w:val="en-GB"/>
                              </w:rPr>
                              <w:t xml:space="preserve">Supplementary data 4: </w:t>
                            </w:r>
                            <w:r w:rsidRPr="00DF125D">
                              <w:rPr>
                                <w:rFonts w:ascii="Times New Roman" w:hAnsi="Times New Roman"/>
                                <w:sz w:val="24"/>
                                <w:szCs w:val="24"/>
                                <w:lang w:val="en-GB"/>
                              </w:rPr>
                              <w:t xml:space="preserve">An amino acid alignment of the African </w:t>
                            </w:r>
                            <w:proofErr w:type="gramStart"/>
                            <w:r w:rsidRPr="00DF125D">
                              <w:rPr>
                                <w:rFonts w:ascii="Times New Roman" w:hAnsi="Times New Roman"/>
                                <w:sz w:val="24"/>
                                <w:szCs w:val="24"/>
                                <w:lang w:val="en-GB"/>
                              </w:rPr>
                              <w:t>G8P[</w:t>
                            </w:r>
                            <w:proofErr w:type="gramEnd"/>
                            <w:r w:rsidRPr="00DF125D">
                              <w:rPr>
                                <w:rFonts w:ascii="Times New Roman" w:hAnsi="Times New Roman"/>
                                <w:sz w:val="24"/>
                                <w:szCs w:val="24"/>
                                <w:lang w:val="en-GB"/>
                              </w:rPr>
                              <w:t>4] and G2P[4] study strains, along with several reference strains from GenBank, showing substitutions in the four NSP4 antigenic sites. Names for the African study strains are in bold italic, and the enterotoxin domain (residues 114-135) is shaded in grey.</w:t>
                            </w:r>
                          </w:p>
                          <w:p w:rsidR="00D9595F" w:rsidRDefault="00D9595F" w:rsidP="00DF125D">
                            <w:pPr>
                              <w:spacing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5pt;margin-top:-33.75pt;width:696.6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" fillcolor="white [3201]" stroked="f" strokeweight=".5pt">
                <v:textbox>
                  <w:txbxContent>
                    <w:p w:rsidR="00DF125D" w:rsidRPr="00DF125D" w:rsidRDefault="00DF125D" w:rsidP="00DF125D">
                      <w:pPr>
                        <w:spacing w:after="120" w:line="240" w:lineRule="auto"/>
                        <w:jc w:val="both"/>
                        <w:rPr>
                          <w:rFonts w:ascii="Times New Roman" w:hAnsi="Times New Roman"/>
                          <w:sz w:val="24"/>
                          <w:szCs w:val="24"/>
                          <w:lang w:val="en-GB"/>
                        </w:rPr>
                      </w:pPr>
                      <w:r w:rsidRPr="00DF125D">
                        <w:rPr>
                          <w:rFonts w:ascii="Times New Roman" w:hAnsi="Times New Roman"/>
                          <w:b/>
                          <w:sz w:val="24"/>
                          <w:szCs w:val="24"/>
                          <w:lang w:val="en-GB"/>
                        </w:rPr>
                        <w:t xml:space="preserve">Supplementary data 4: </w:t>
                      </w:r>
                      <w:r w:rsidRPr="00DF125D">
                        <w:rPr>
                          <w:rFonts w:ascii="Times New Roman" w:hAnsi="Times New Roman"/>
                          <w:sz w:val="24"/>
                          <w:szCs w:val="24"/>
                          <w:lang w:val="en-GB"/>
                        </w:rPr>
                        <w:t xml:space="preserve">An amino acid alignment of the African </w:t>
                      </w:r>
                      <w:proofErr w:type="gramStart"/>
                      <w:r w:rsidRPr="00DF125D">
                        <w:rPr>
                          <w:rFonts w:ascii="Times New Roman" w:hAnsi="Times New Roman"/>
                          <w:sz w:val="24"/>
                          <w:szCs w:val="24"/>
                          <w:lang w:val="en-GB"/>
                        </w:rPr>
                        <w:t>G8P[</w:t>
                      </w:r>
                      <w:proofErr w:type="gramEnd"/>
                      <w:r w:rsidRPr="00DF125D">
                        <w:rPr>
                          <w:rFonts w:ascii="Times New Roman" w:hAnsi="Times New Roman"/>
                          <w:sz w:val="24"/>
                          <w:szCs w:val="24"/>
                          <w:lang w:val="en-GB"/>
                        </w:rPr>
                        <w:t>4] and G2P[4] study strains, along with several reference strains from GenBank, showing substitutions in the four NSP4 antigenic sites. Names for the African study strains are in bold italic, and the enterotoxin domain (residues 114-135) is shaded in grey.</w:t>
                      </w:r>
                    </w:p>
                    <w:p w:rsidR="00D9595F" w:rsidRDefault="00D9595F" w:rsidP="00DF125D">
                      <w:pPr>
                        <w:spacing w:after="120" w:line="240" w:lineRule="auto"/>
                      </w:pPr>
                    </w:p>
                  </w:txbxContent>
                </v:textbox>
              </v:shape>
            </w:pict>
          </mc:Fallback>
        </mc:AlternateContent>
      </w:r>
    </w:p>
    <w:p w:rsidR="00D9595F" w:rsidRDefault="00D9595F">
      <w:r w:rsidRPr="00D9595F">
        <w:rPr>
          <w:noProof/>
        </w:rPr>
        <w:drawing>
          <wp:inline distT="0" distB="0" distL="0" distR="0" wp14:anchorId="5752EE7A" wp14:editId="23939889">
            <wp:extent cx="9075420" cy="2903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75900" cy="2903373"/>
                    </a:xfrm>
                    <a:prstGeom prst="rect">
                      <a:avLst/>
                    </a:prstGeom>
                    <a:noFill/>
                    <a:ln>
                      <a:noFill/>
                    </a:ln>
                  </pic:spPr>
                </pic:pic>
              </a:graphicData>
            </a:graphic>
          </wp:inline>
        </w:drawing>
      </w:r>
    </w:p>
    <w:p w:rsidR="00D9595F" w:rsidRDefault="00D9595F">
      <w:r w:rsidRPr="00D9595F">
        <w:rPr>
          <w:noProof/>
        </w:rPr>
        <w:drawing>
          <wp:inline distT="0" distB="0" distL="0" distR="0" wp14:anchorId="37527360" wp14:editId="7120E909">
            <wp:extent cx="9090659"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06636" cy="2938856"/>
                    </a:xfrm>
                    <a:prstGeom prst="rect">
                      <a:avLst/>
                    </a:prstGeom>
                    <a:noFill/>
                    <a:ln>
                      <a:noFill/>
                    </a:ln>
                  </pic:spPr>
                </pic:pic>
              </a:graphicData>
            </a:graphic>
          </wp:inline>
        </w:drawing>
      </w:r>
      <w:bookmarkStart w:id="0" w:name="_GoBack"/>
      <w:bookmarkEnd w:id="0"/>
    </w:p>
    <w:p w:rsidR="00D9595F" w:rsidRDefault="00B44778">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-365760</wp:posOffset>
                </wp:positionV>
                <wp:extent cx="352806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28060"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4778" w:rsidRDefault="00E7316E">
                            <w:r w:rsidRPr="00E7316E">
                              <w:rPr>
                                <w:b/>
                              </w:rPr>
                              <w:t xml:space="preserve">Supplementary data </w:t>
                            </w:r>
                            <w:r w:rsidR="0034203B">
                              <w:rPr>
                                <w:b/>
                              </w:rPr>
                              <w:t>4</w:t>
                            </w:r>
                            <w:r>
                              <w:t>:</w:t>
                            </w:r>
                            <w:r w:rsidR="00B44778">
                              <w:t xml:space="preserve"> NSP4 antigenic sites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8pt;margin-top:-28.8pt;width:277.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" fillcolor="white [3201]" stroked="f" strokeweight=".5pt">
                <v:textbox>
                  <w:txbxContent>
                    <w:p w:rsidR="00B44778" w:rsidRDefault="00E7316E">
                      <w:r w:rsidRPr="00E7316E">
                        <w:rPr>
                          <w:b/>
                        </w:rPr>
                        <w:t xml:space="preserve">Supplementary data </w:t>
                      </w:r>
                      <w:r w:rsidR="0034203B">
                        <w:rPr>
                          <w:b/>
                        </w:rPr>
                        <w:t>4</w:t>
                      </w:r>
                      <w:r>
                        <w:t>:</w:t>
                      </w:r>
                      <w:r w:rsidR="00B44778">
                        <w:t xml:space="preserve"> NSP4 antigenic sites (continued)</w:t>
                      </w:r>
                    </w:p>
                  </w:txbxContent>
                </v:textbox>
              </v:shape>
            </w:pict>
          </mc:Fallback>
        </mc:AlternateContent>
      </w:r>
      <w:r w:rsidR="00D9595F" w:rsidRPr="00D9595F">
        <w:rPr>
          <w:noProof/>
        </w:rPr>
        <w:drawing>
          <wp:inline distT="0" distB="0" distL="0" distR="0" wp14:anchorId="1BF4BFB6" wp14:editId="176B7852">
            <wp:extent cx="9044940" cy="30099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0837" cy="3015190"/>
                    </a:xfrm>
                    <a:prstGeom prst="rect">
                      <a:avLst/>
                    </a:prstGeom>
                    <a:noFill/>
                    <a:ln>
                      <a:noFill/>
                    </a:ln>
                  </pic:spPr>
                </pic:pic>
              </a:graphicData>
            </a:graphic>
          </wp:inline>
        </w:drawing>
      </w:r>
    </w:p>
    <w:p w:rsidR="00D9595F" w:rsidRDefault="00D9595F"/>
    <w:sectPr w:rsidR="00D9595F" w:rsidSect="00D9595F">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5F"/>
    <w:rsid w:val="000300A8"/>
    <w:rsid w:val="00204591"/>
    <w:rsid w:val="0034203B"/>
    <w:rsid w:val="003F3198"/>
    <w:rsid w:val="00534F0E"/>
    <w:rsid w:val="005A6AE4"/>
    <w:rsid w:val="005B0EDF"/>
    <w:rsid w:val="006F5933"/>
    <w:rsid w:val="00A743EE"/>
    <w:rsid w:val="00B44778"/>
    <w:rsid w:val="00CC0F2C"/>
    <w:rsid w:val="00D9595F"/>
    <w:rsid w:val="00DF125D"/>
    <w:rsid w:val="00E20E00"/>
    <w:rsid w:val="00E7316E"/>
    <w:rsid w:val="00F1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10C69-D905-4371-B009-C5F5DABB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9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95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9595F"/>
    <w:rPr>
      <w:rFonts w:ascii="Tahoma" w:hAnsi="Tahoma" w:cs="Tahoma"/>
      <w:sz w:val="16"/>
      <w:szCs w:val="16"/>
    </w:rPr>
  </w:style>
  <w:style w:type="character" w:styleId="CommentReference">
    <w:name w:val="annotation reference"/>
    <w:basedOn w:val="DefaultParagraphFont"/>
    <w:uiPriority w:val="99"/>
    <w:semiHidden/>
    <w:unhideWhenUsed/>
    <w:rsid w:val="005A6AE4"/>
    <w:rPr>
      <w:sz w:val="16"/>
      <w:szCs w:val="16"/>
    </w:rPr>
  </w:style>
  <w:style w:type="paragraph" w:styleId="CommentText">
    <w:name w:val="annotation text"/>
    <w:basedOn w:val="Normal"/>
    <w:link w:val="CommentTextChar"/>
    <w:uiPriority w:val="99"/>
    <w:semiHidden/>
    <w:unhideWhenUsed/>
    <w:rsid w:val="005A6AE4"/>
    <w:pPr>
      <w:spacing w:line="240" w:lineRule="auto"/>
    </w:pPr>
    <w:rPr>
      <w:sz w:val="20"/>
      <w:szCs w:val="20"/>
    </w:rPr>
  </w:style>
  <w:style w:type="character" w:customStyle="1" w:styleId="CommentTextChar">
    <w:name w:val="Comment Text Char"/>
    <w:basedOn w:val="DefaultParagraphFont"/>
    <w:link w:val="CommentText"/>
    <w:uiPriority w:val="99"/>
    <w:semiHidden/>
    <w:rsid w:val="005A6A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A6AE4"/>
    <w:rPr>
      <w:b/>
      <w:bCs/>
    </w:rPr>
  </w:style>
  <w:style w:type="character" w:customStyle="1" w:styleId="CommentSubjectChar">
    <w:name w:val="Comment Subject Char"/>
    <w:basedOn w:val="CommentTextChar"/>
    <w:link w:val="CommentSubject"/>
    <w:uiPriority w:val="99"/>
    <w:semiHidden/>
    <w:rsid w:val="005A6AE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Esona, Mathew D. (CDC/OID/NCIRD)</cp:lastModifiedBy>
  <cp:revision>2</cp:revision>
  <cp:lastPrinted>2014-04-14T16:34:00Z</cp:lastPrinted>
  <dcterms:created xsi:type="dcterms:W3CDTF">2018-02-12T14:37:00Z</dcterms:created>
  <dcterms:modified xsi:type="dcterms:W3CDTF">2018-02-12T14:37:00Z</dcterms:modified>
</cp:coreProperties>
</file>