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F1886" w14:textId="77777777" w:rsidR="00F5771B" w:rsidRPr="00611B89" w:rsidRDefault="004803B5" w:rsidP="00C14BE9">
      <w:pPr>
        <w:pStyle w:val="BodyA"/>
        <w:rPr>
          <w:rFonts w:ascii="Arial" w:hAnsi="Arial" w:cs="Arial"/>
        </w:rPr>
      </w:pPr>
      <w:r w:rsidRPr="00611B89">
        <w:rPr>
          <w:rFonts w:ascii="Arial" w:hAnsi="Arial" w:cs="Arial"/>
        </w:rPr>
        <w:t>Goodreau</w:t>
      </w:r>
      <w:r w:rsidR="004C22D5" w:rsidRPr="00611B89">
        <w:rPr>
          <w:rFonts w:ascii="Arial" w:hAnsi="Arial" w:cs="Arial"/>
        </w:rPr>
        <w:t xml:space="preserve"> SM</w:t>
      </w:r>
      <w:r w:rsidRPr="00611B89">
        <w:rPr>
          <w:rFonts w:ascii="Arial" w:hAnsi="Arial" w:cs="Arial"/>
        </w:rPr>
        <w:t>, Hamilton</w:t>
      </w:r>
      <w:r w:rsidR="004C22D5" w:rsidRPr="00611B89">
        <w:rPr>
          <w:rFonts w:ascii="Arial" w:hAnsi="Arial" w:cs="Arial"/>
        </w:rPr>
        <w:t xml:space="preserve"> DT</w:t>
      </w:r>
      <w:r w:rsidRPr="00611B89">
        <w:rPr>
          <w:rFonts w:ascii="Arial" w:hAnsi="Arial" w:cs="Arial"/>
        </w:rPr>
        <w:t>, Jenness</w:t>
      </w:r>
      <w:r w:rsidR="004C22D5" w:rsidRPr="00611B89">
        <w:rPr>
          <w:rFonts w:ascii="Arial" w:hAnsi="Arial" w:cs="Arial"/>
        </w:rPr>
        <w:t xml:space="preserve"> SM</w:t>
      </w:r>
      <w:r w:rsidRPr="00611B89">
        <w:rPr>
          <w:rFonts w:ascii="Arial" w:hAnsi="Arial" w:cs="Arial"/>
        </w:rPr>
        <w:t>, Sullivan</w:t>
      </w:r>
      <w:r w:rsidR="004C22D5" w:rsidRPr="00611B89">
        <w:rPr>
          <w:rFonts w:ascii="Arial" w:hAnsi="Arial" w:cs="Arial"/>
        </w:rPr>
        <w:t xml:space="preserve"> PS</w:t>
      </w:r>
      <w:r w:rsidRPr="00611B89">
        <w:rPr>
          <w:rFonts w:ascii="Arial" w:hAnsi="Arial" w:cs="Arial"/>
        </w:rPr>
        <w:t>,</w:t>
      </w:r>
      <w:r w:rsidR="007A0E3D" w:rsidRPr="00611B89">
        <w:rPr>
          <w:rFonts w:ascii="Arial" w:hAnsi="Arial" w:cs="Arial"/>
        </w:rPr>
        <w:t xml:space="preserve"> </w:t>
      </w:r>
      <w:r w:rsidR="006B3836" w:rsidRPr="00611B89">
        <w:rPr>
          <w:rFonts w:ascii="Arial" w:hAnsi="Arial" w:cs="Arial"/>
        </w:rPr>
        <w:t>Valencia</w:t>
      </w:r>
      <w:r w:rsidR="004C22D5" w:rsidRPr="00611B89">
        <w:rPr>
          <w:rFonts w:ascii="Arial" w:hAnsi="Arial" w:cs="Arial"/>
        </w:rPr>
        <w:t xml:space="preserve"> RK</w:t>
      </w:r>
      <w:r w:rsidRPr="00611B89">
        <w:rPr>
          <w:rFonts w:ascii="Arial" w:hAnsi="Arial" w:cs="Arial"/>
        </w:rPr>
        <w:t>, Wang</w:t>
      </w:r>
      <w:r w:rsidR="004C22D5" w:rsidRPr="00611B89">
        <w:rPr>
          <w:rFonts w:ascii="Arial" w:hAnsi="Arial" w:cs="Arial"/>
        </w:rPr>
        <w:t xml:space="preserve"> LY</w:t>
      </w:r>
      <w:r w:rsidRPr="00611B89">
        <w:rPr>
          <w:rFonts w:ascii="Arial" w:hAnsi="Arial" w:cs="Arial"/>
        </w:rPr>
        <w:t>, Dunville</w:t>
      </w:r>
      <w:r w:rsidR="004C22D5" w:rsidRPr="00611B89">
        <w:rPr>
          <w:rFonts w:ascii="Arial" w:hAnsi="Arial" w:cs="Arial"/>
        </w:rPr>
        <w:t xml:space="preserve"> RL</w:t>
      </w:r>
      <w:r w:rsidRPr="00611B89">
        <w:rPr>
          <w:rFonts w:ascii="Arial" w:hAnsi="Arial" w:cs="Arial"/>
        </w:rPr>
        <w:t>, Barrios</w:t>
      </w:r>
      <w:r w:rsidR="004C22D5" w:rsidRPr="00611B89">
        <w:rPr>
          <w:rFonts w:ascii="Arial" w:hAnsi="Arial" w:cs="Arial"/>
        </w:rPr>
        <w:t xml:space="preserve"> LC</w:t>
      </w:r>
      <w:r w:rsidRPr="00611B89">
        <w:rPr>
          <w:rFonts w:ascii="Arial" w:hAnsi="Arial" w:cs="Arial"/>
        </w:rPr>
        <w:t>,</w:t>
      </w:r>
      <w:r w:rsidR="004C22D5" w:rsidRPr="00611B89">
        <w:rPr>
          <w:rFonts w:ascii="Arial" w:hAnsi="Arial" w:cs="Arial"/>
        </w:rPr>
        <w:t xml:space="preserve"> Rosenberg, ES.</w:t>
      </w:r>
      <w:r w:rsidR="00C14BE9" w:rsidRPr="00611B89">
        <w:rPr>
          <w:rFonts w:ascii="Arial" w:hAnsi="Arial" w:cs="Arial"/>
        </w:rPr>
        <w:t xml:space="preserve"> </w:t>
      </w:r>
    </w:p>
    <w:p w14:paraId="2FE8BF22" w14:textId="77777777" w:rsidR="00F5771B" w:rsidRPr="00611B89" w:rsidRDefault="00F5771B" w:rsidP="00C14BE9">
      <w:pPr>
        <w:pStyle w:val="BodyA"/>
        <w:rPr>
          <w:rFonts w:ascii="Arial" w:hAnsi="Arial" w:cs="Arial"/>
        </w:rPr>
      </w:pPr>
    </w:p>
    <w:p w14:paraId="25436DF1" w14:textId="261C8A0C" w:rsidR="0088432C" w:rsidRPr="00611B89" w:rsidRDefault="0088432C" w:rsidP="00C14BE9">
      <w:pPr>
        <w:pStyle w:val="BodyA"/>
        <w:rPr>
          <w:rFonts w:ascii="Arial" w:hAnsi="Arial" w:cs="Arial"/>
        </w:rPr>
      </w:pPr>
      <w:r w:rsidRPr="00611B89">
        <w:rPr>
          <w:rFonts w:ascii="Arial" w:hAnsi="Arial" w:cs="Arial"/>
          <w:i/>
        </w:rPr>
        <w:t>Targeting strategies for pre-exposure prophylaxis (PrEP) among adolescent sexual minority males (ASMM) in the United States: a modeling study</w:t>
      </w:r>
      <w:r w:rsidR="00DA767F" w:rsidRPr="00611B89">
        <w:rPr>
          <w:rFonts w:ascii="Arial" w:hAnsi="Arial" w:cs="Arial"/>
        </w:rPr>
        <w:t>.</w:t>
      </w:r>
    </w:p>
    <w:p w14:paraId="5D571C06" w14:textId="0C2E022D" w:rsidR="00B31420" w:rsidRPr="00611B89" w:rsidRDefault="00B31420">
      <w:bookmarkStart w:id="0" w:name="_Toc479764833"/>
      <w:bookmarkStart w:id="1" w:name="_Toc479765046"/>
    </w:p>
    <w:p w14:paraId="5C1625C1" w14:textId="77777777" w:rsidR="00611B89" w:rsidRPr="00611B89" w:rsidRDefault="00611B89"/>
    <w:p w14:paraId="7D6249B4" w14:textId="6C4CBB48" w:rsidR="00911D2F" w:rsidRPr="00611B89" w:rsidRDefault="00B46E38" w:rsidP="00F86879">
      <w:pPr>
        <w:pStyle w:val="Heading1"/>
        <w:numPr>
          <w:ilvl w:val="0"/>
          <w:numId w:val="2"/>
        </w:numPr>
        <w:tabs>
          <w:tab w:val="clear" w:pos="540"/>
        </w:tabs>
        <w:spacing w:line="240" w:lineRule="auto"/>
        <w:ind w:left="270" w:hanging="270"/>
      </w:pPr>
      <w:bookmarkStart w:id="2" w:name="_Toc479765558"/>
      <w:r w:rsidRPr="00611B89">
        <w:t>Parameters</w:t>
      </w:r>
      <w:bookmarkEnd w:id="0"/>
      <w:bookmarkEnd w:id="1"/>
      <w:bookmarkEnd w:id="2"/>
    </w:p>
    <w:p w14:paraId="3EB284E3" w14:textId="77777777" w:rsidR="00903600" w:rsidRPr="00611B89" w:rsidRDefault="00903600" w:rsidP="00874A17"/>
    <w:p w14:paraId="61A0D41A" w14:textId="3A1F6993" w:rsidR="00911D2F" w:rsidRPr="00611B89" w:rsidRDefault="007A5828" w:rsidP="00874A17">
      <w:r w:rsidRPr="00611B89">
        <w:t>All parameters are taken di</w:t>
      </w:r>
      <w:r w:rsidR="00D016FA">
        <w:t xml:space="preserve">rectly from Jenness et al. 2016 </w:t>
      </w:r>
      <w:r w:rsidR="0063022B" w:rsidRPr="00611B89">
        <w:fldChar w:fldCharType="begin"/>
      </w:r>
      <w:r w:rsidR="00D016FA">
        <w:instrText xml:space="preserve"> ADDIN EN.CITE &lt;EndNote&gt;&lt;Cite&gt;&lt;Author&gt;Jenness&lt;/Author&gt;&lt;Year&gt;2016&lt;/Year&gt;&lt;RecNum&gt;13&lt;/RecNum&gt;&lt;DisplayText&gt;(1)&lt;/DisplayText&gt;&lt;record&gt;&lt;rec-number&gt;13&lt;/rec-number&gt;&lt;foreign-keys&gt;&lt;key app="EN" db-id="xvdv2sspezx5x4ew22qv2waqev0p25tsetrx" timestamp="0"&gt;13&lt;/key&gt;&lt;/foreign-keys&gt;&lt;ref-type name="Journal Article"&gt;17&lt;/ref-type&gt;&lt;contributors&gt;&lt;authors&gt;&lt;author&gt;Jenness, S. M.&lt;/author&gt;&lt;author&gt;Goodreau, S. M.&lt;/author&gt;&lt;author&gt;Rosenberg, E.&lt;/author&gt;&lt;author&gt;Beylerian, E. N.&lt;/author&gt;&lt;author&gt;Hoover, K. W.&lt;/author&gt;&lt;author&gt;Smith, D. K.&lt;/author&gt;&lt;author&gt;Sullivan, P.&lt;/author&gt;&lt;/authors&gt;&lt;/contributors&gt;&lt;auth-address&gt;Department of Epidemiology.&amp;#xD;Department of Anthropology.&amp;#xD;Center for Studies in Demography and Ecology, University of Washington, Seattle.&amp;#xD;Division of HIV/AIDS Prevention, Centers for Disease Control and Prevention, Atlanta, Georgia.&amp;#xD;Department of Epidemiology Department of Global Health, Emory University.&lt;/auth-address&gt;&lt;titles&gt;&lt;title&gt;Impact of the Centers for Disease Control&amp;apos;s HIV Preexposure Prophylaxis Guidelines for Men Who Have Sex With Men in the United States&lt;/title&gt;&lt;secondary-title&gt;J Infect Dis&lt;/secondary-title&gt;&lt;alt-title&gt;The Journal of infectious diseases&lt;/alt-title&gt;&lt;/titles&gt;&lt;periodical&gt;&lt;full-title&gt;J Infect Dis&lt;/full-title&gt;&lt;/periodical&gt;&lt;dates&gt;&lt;year&gt;2016&lt;/year&gt;&lt;pub-dates&gt;&lt;date&gt;Jul 14&lt;/date&gt;&lt;/pub-dates&gt;&lt;/dates&gt;&lt;isbn&gt;1537-6613 (Electronic)&amp;#xD;0022-1899 (Linking)&lt;/isbn&gt;&lt;accession-num&gt;27418048&lt;/accession-num&gt;&lt;urls&gt;&lt;related-urls&gt;&lt;url&gt;http://www.ncbi.nlm.nih.gov/pubmed/27418048&lt;/url&gt;&lt;/related-urls&gt;&lt;/urls&gt;&lt;electronic-resource-num&gt;10.1093/infdis/jiw223&lt;/electronic-resource-num&gt;&lt;/record&gt;&lt;/Cite&gt;&lt;/EndNote&gt;</w:instrText>
      </w:r>
      <w:r w:rsidR="0063022B" w:rsidRPr="00611B89">
        <w:fldChar w:fldCharType="separate"/>
      </w:r>
      <w:r w:rsidR="00D016FA">
        <w:rPr>
          <w:noProof/>
        </w:rPr>
        <w:t>(1)</w:t>
      </w:r>
      <w:r w:rsidR="0063022B" w:rsidRPr="00611B89">
        <w:fldChar w:fldCharType="end"/>
      </w:r>
      <w:r w:rsidR="00D016FA">
        <w:t>,</w:t>
      </w:r>
      <w:r w:rsidRPr="00611B89">
        <w:t xml:space="preserve"> unless noted below</w:t>
      </w:r>
      <w:r w:rsidR="00911D2F" w:rsidRPr="00611B89">
        <w:t>.</w:t>
      </w:r>
    </w:p>
    <w:p w14:paraId="71F5C8E7" w14:textId="77777777" w:rsidR="00903600" w:rsidRPr="00611B89" w:rsidRDefault="00903600" w:rsidP="00874A17"/>
    <w:p w14:paraId="7D292F7D" w14:textId="6C9D036B" w:rsidR="00C53084" w:rsidRPr="00611B89" w:rsidRDefault="00292F9D" w:rsidP="00874A17">
      <w:pPr>
        <w:pStyle w:val="Heading2"/>
        <w:numPr>
          <w:ilvl w:val="1"/>
          <w:numId w:val="1"/>
        </w:numPr>
        <w:spacing w:before="0" w:line="240" w:lineRule="auto"/>
        <w:rPr>
          <w:rFonts w:cs="Arial"/>
          <w:b/>
          <w:i w:val="0"/>
          <w:szCs w:val="22"/>
        </w:rPr>
      </w:pPr>
      <w:bookmarkStart w:id="3" w:name="_Toc479764834"/>
      <w:bookmarkStart w:id="4" w:name="_Toc479765047"/>
      <w:bookmarkStart w:id="5" w:name="_Toc479765559"/>
      <w:r w:rsidRPr="00611B89">
        <w:rPr>
          <w:rFonts w:cs="Arial"/>
          <w:b/>
          <w:i w:val="0"/>
          <w:szCs w:val="22"/>
        </w:rPr>
        <w:t>Entry and debut</w:t>
      </w:r>
      <w:bookmarkEnd w:id="3"/>
      <w:bookmarkEnd w:id="4"/>
      <w:bookmarkEnd w:id="5"/>
    </w:p>
    <w:p w14:paraId="300FCC11" w14:textId="77777777" w:rsidR="00903600" w:rsidRPr="00611B89" w:rsidRDefault="00903600" w:rsidP="00874A17"/>
    <w:p w14:paraId="6914732D" w14:textId="33A2E8FE" w:rsidR="00017E5F" w:rsidRPr="00611B89" w:rsidRDefault="0070792F" w:rsidP="00874A17">
      <w:r w:rsidRPr="00611B89">
        <w:t>I</w:t>
      </w:r>
      <w:r w:rsidR="003C4A06" w:rsidRPr="00611B89">
        <w:t xml:space="preserve">ndividuals are able to enter the population at multiple ages (13-18), and to experience </w:t>
      </w:r>
      <w:r w:rsidR="00171455" w:rsidRPr="00611B89">
        <w:t>anal intercourse (</w:t>
      </w:r>
      <w:r w:rsidR="003C4A06" w:rsidRPr="00611B89">
        <w:t>AI</w:t>
      </w:r>
      <w:r w:rsidR="00171455" w:rsidRPr="00611B89">
        <w:t>)</w:t>
      </w:r>
      <w:r w:rsidR="003C4A06" w:rsidRPr="00611B89">
        <w:t xml:space="preserve"> debut </w:t>
      </w:r>
      <w:r w:rsidR="001C17AF" w:rsidRPr="00611B89">
        <w:t xml:space="preserve">either </w:t>
      </w:r>
      <w:r w:rsidR="003C4A06" w:rsidRPr="00611B89">
        <w:t>upon entr</w:t>
      </w:r>
      <w:r w:rsidR="008E4975" w:rsidRPr="00611B89">
        <w:t xml:space="preserve">y </w:t>
      </w:r>
      <w:r w:rsidR="003C4A06" w:rsidRPr="00611B89">
        <w:t>in</w:t>
      </w:r>
      <w:r w:rsidR="008E4975" w:rsidRPr="00611B89">
        <w:t>to</w:t>
      </w:r>
      <w:r w:rsidR="003C4A06" w:rsidRPr="00611B89">
        <w:t xml:space="preserve"> the popul</w:t>
      </w:r>
      <w:r w:rsidR="008E4975" w:rsidRPr="00611B89">
        <w:t>a</w:t>
      </w:r>
      <w:r w:rsidR="00A36939" w:rsidRPr="00611B89">
        <w:t>t</w:t>
      </w:r>
      <w:r w:rsidR="008E4975" w:rsidRPr="00611B89">
        <w:t>i</w:t>
      </w:r>
      <w:r w:rsidR="00A36939" w:rsidRPr="00611B89">
        <w:t>on, or sometime thereafter.</w:t>
      </w:r>
      <w:r w:rsidR="008E4975" w:rsidRPr="00611B89">
        <w:t xml:space="preserve"> This is because our population definition consi</w:t>
      </w:r>
      <w:r w:rsidR="002B08FE" w:rsidRPr="00611B89">
        <w:t>s</w:t>
      </w:r>
      <w:r w:rsidR="008E4975" w:rsidRPr="00611B89">
        <w:t xml:space="preserve">ts of those who have begun to identify as gay/bisexual, </w:t>
      </w:r>
      <w:r w:rsidR="008E4975" w:rsidRPr="00611B89">
        <w:rPr>
          <w:b/>
          <w:i/>
        </w:rPr>
        <w:t>or</w:t>
      </w:r>
      <w:r w:rsidR="008E4975" w:rsidRPr="00611B89">
        <w:t xml:space="preserve"> who have </w:t>
      </w:r>
      <w:r w:rsidR="00031DD8" w:rsidRPr="00611B89">
        <w:t>be</w:t>
      </w:r>
      <w:r w:rsidR="00B415F9" w:rsidRPr="00611B89">
        <w:t>gun sexual activity with males</w:t>
      </w:r>
      <w:r w:rsidR="008E0D12" w:rsidRPr="00611B89">
        <w:t>.</w:t>
      </w:r>
      <w:r w:rsidR="00B415F9" w:rsidRPr="00611B89">
        <w:t xml:space="preserve"> </w:t>
      </w:r>
      <w:r w:rsidR="008E0D12" w:rsidRPr="00611B89">
        <w:t xml:space="preserve">That is, an </w:t>
      </w:r>
      <w:r w:rsidR="00B415F9" w:rsidRPr="00611B89">
        <w:t xml:space="preserve">individual need not have </w:t>
      </w:r>
      <w:r w:rsidR="00940997" w:rsidRPr="00611B89">
        <w:t xml:space="preserve">sexually debuted </w:t>
      </w:r>
      <w:r w:rsidR="00816FD6" w:rsidRPr="00611B89">
        <w:t xml:space="preserve">to </w:t>
      </w:r>
      <w:r w:rsidR="00940997" w:rsidRPr="00611B89">
        <w:t>fall within our population</w:t>
      </w:r>
      <w:r w:rsidR="00EE67B1" w:rsidRPr="00611B89">
        <w:t xml:space="preserve"> definition.</w:t>
      </w:r>
    </w:p>
    <w:p w14:paraId="50937EBB" w14:textId="77777777" w:rsidR="00C2566E" w:rsidRPr="00611B89" w:rsidRDefault="00C2566E" w:rsidP="00874A17"/>
    <w:p w14:paraId="4571AFAA" w14:textId="77777777" w:rsidR="00C2566E" w:rsidRPr="00611B89" w:rsidRDefault="00C2566E" w:rsidP="00874A17">
      <w:r w:rsidRPr="00611B89">
        <w:t xml:space="preserve">The probability of each age at entry is given by: </w:t>
      </w:r>
    </w:p>
    <w:p w14:paraId="2C7B7CE7" w14:textId="5D680751" w:rsidR="009F2A1E" w:rsidRPr="00611B89" w:rsidRDefault="009F2A1E" w:rsidP="00643682">
      <w:pPr>
        <w:rPr>
          <w:b/>
        </w:rPr>
      </w:pPr>
    </w:p>
    <w:tbl>
      <w:tblPr>
        <w:tblStyle w:val="TableGrid"/>
        <w:tblW w:w="3530" w:type="dxa"/>
        <w:jc w:val="center"/>
        <w:tblLook w:val="04A0" w:firstRow="1" w:lastRow="0" w:firstColumn="1" w:lastColumn="0" w:noHBand="0" w:noVBand="1"/>
      </w:tblPr>
      <w:tblGrid>
        <w:gridCol w:w="1890"/>
        <w:gridCol w:w="1640"/>
      </w:tblGrid>
      <w:tr w:rsidR="00C2566E" w:rsidRPr="00611B89" w14:paraId="649E54F5" w14:textId="77777777" w:rsidTr="007D7F51">
        <w:trPr>
          <w:trHeight w:val="389"/>
          <w:jc w:val="center"/>
        </w:trPr>
        <w:tc>
          <w:tcPr>
            <w:tcW w:w="1890" w:type="dxa"/>
            <w:shd w:val="clear" w:color="auto" w:fill="F2F2F2" w:themeFill="background1" w:themeFillShade="F2"/>
            <w:vAlign w:val="center"/>
          </w:tcPr>
          <w:p w14:paraId="1873833C" w14:textId="77777777" w:rsidR="00C2566E" w:rsidRPr="00611B89" w:rsidRDefault="00C2566E" w:rsidP="007D7F51">
            <w:pPr>
              <w:jc w:val="center"/>
              <w:rPr>
                <w:b/>
              </w:rPr>
            </w:pPr>
            <w:r w:rsidRPr="00611B89">
              <w:rPr>
                <w:b/>
              </w:rPr>
              <w:t>Age at Entry</w:t>
            </w:r>
          </w:p>
        </w:tc>
        <w:tc>
          <w:tcPr>
            <w:tcW w:w="1640" w:type="dxa"/>
            <w:shd w:val="clear" w:color="auto" w:fill="F2F2F2" w:themeFill="background1" w:themeFillShade="F2"/>
            <w:vAlign w:val="center"/>
          </w:tcPr>
          <w:p w14:paraId="227E5C0E" w14:textId="77777777" w:rsidR="00C2566E" w:rsidRPr="00611B89" w:rsidRDefault="00C2566E" w:rsidP="007D7F51">
            <w:pPr>
              <w:jc w:val="center"/>
              <w:rPr>
                <w:b/>
              </w:rPr>
            </w:pPr>
            <w:r w:rsidRPr="00611B89">
              <w:rPr>
                <w:b/>
              </w:rPr>
              <w:t>Probability</w:t>
            </w:r>
          </w:p>
        </w:tc>
      </w:tr>
      <w:tr w:rsidR="00C2566E" w:rsidRPr="00611B89" w14:paraId="2A1F9343" w14:textId="77777777" w:rsidTr="008E4975">
        <w:trPr>
          <w:trHeight w:val="389"/>
          <w:jc w:val="center"/>
        </w:trPr>
        <w:tc>
          <w:tcPr>
            <w:tcW w:w="1890" w:type="dxa"/>
            <w:vAlign w:val="center"/>
          </w:tcPr>
          <w:p w14:paraId="292E2CF9" w14:textId="77777777" w:rsidR="00C2566E" w:rsidRPr="00611B89" w:rsidRDefault="00C2566E" w:rsidP="007D7F51">
            <w:pPr>
              <w:jc w:val="center"/>
            </w:pPr>
            <w:r w:rsidRPr="00611B89">
              <w:t>13</w:t>
            </w:r>
          </w:p>
        </w:tc>
        <w:tc>
          <w:tcPr>
            <w:tcW w:w="1640" w:type="dxa"/>
            <w:vAlign w:val="center"/>
          </w:tcPr>
          <w:p w14:paraId="6B800A7F" w14:textId="77777777" w:rsidR="00C2566E" w:rsidRPr="00611B89" w:rsidRDefault="00C2566E" w:rsidP="007D7F51">
            <w:pPr>
              <w:jc w:val="center"/>
            </w:pPr>
            <w:r w:rsidRPr="00611B89">
              <w:t>44%</w:t>
            </w:r>
          </w:p>
        </w:tc>
      </w:tr>
      <w:tr w:rsidR="00C2566E" w:rsidRPr="00611B89" w14:paraId="560A72BD" w14:textId="77777777" w:rsidTr="008E4975">
        <w:trPr>
          <w:trHeight w:val="389"/>
          <w:jc w:val="center"/>
        </w:trPr>
        <w:tc>
          <w:tcPr>
            <w:tcW w:w="1890" w:type="dxa"/>
            <w:vAlign w:val="center"/>
          </w:tcPr>
          <w:p w14:paraId="18614530" w14:textId="77777777" w:rsidR="00C2566E" w:rsidRPr="00611B89" w:rsidRDefault="00C2566E" w:rsidP="007D7F51">
            <w:pPr>
              <w:jc w:val="center"/>
            </w:pPr>
            <w:r w:rsidRPr="00611B89">
              <w:t>14</w:t>
            </w:r>
          </w:p>
        </w:tc>
        <w:tc>
          <w:tcPr>
            <w:tcW w:w="1640" w:type="dxa"/>
            <w:vAlign w:val="center"/>
          </w:tcPr>
          <w:p w14:paraId="66A7FFBA" w14:textId="77777777" w:rsidR="00C2566E" w:rsidRPr="00611B89" w:rsidRDefault="00C2566E" w:rsidP="007D7F51">
            <w:pPr>
              <w:jc w:val="center"/>
            </w:pPr>
            <w:r w:rsidRPr="00611B89">
              <w:t>13%</w:t>
            </w:r>
          </w:p>
        </w:tc>
      </w:tr>
      <w:tr w:rsidR="00C2566E" w:rsidRPr="00611B89" w14:paraId="09F36E14" w14:textId="77777777" w:rsidTr="008E4975">
        <w:trPr>
          <w:trHeight w:val="389"/>
          <w:jc w:val="center"/>
        </w:trPr>
        <w:tc>
          <w:tcPr>
            <w:tcW w:w="1890" w:type="dxa"/>
            <w:vAlign w:val="center"/>
          </w:tcPr>
          <w:p w14:paraId="69E09346" w14:textId="77777777" w:rsidR="00C2566E" w:rsidRPr="00611B89" w:rsidRDefault="00C2566E" w:rsidP="007D7F51">
            <w:pPr>
              <w:jc w:val="center"/>
            </w:pPr>
            <w:r w:rsidRPr="00611B89">
              <w:t>15</w:t>
            </w:r>
          </w:p>
        </w:tc>
        <w:tc>
          <w:tcPr>
            <w:tcW w:w="1640" w:type="dxa"/>
            <w:vAlign w:val="center"/>
          </w:tcPr>
          <w:p w14:paraId="677EE3BB" w14:textId="77777777" w:rsidR="00C2566E" w:rsidRPr="00611B89" w:rsidRDefault="00C2566E" w:rsidP="007D7F51">
            <w:pPr>
              <w:jc w:val="center"/>
            </w:pPr>
            <w:r w:rsidRPr="00611B89">
              <w:t>12%</w:t>
            </w:r>
          </w:p>
        </w:tc>
      </w:tr>
      <w:tr w:rsidR="00C2566E" w:rsidRPr="00611B89" w14:paraId="72A00C86" w14:textId="77777777" w:rsidTr="008E4975">
        <w:trPr>
          <w:trHeight w:val="389"/>
          <w:jc w:val="center"/>
        </w:trPr>
        <w:tc>
          <w:tcPr>
            <w:tcW w:w="1890" w:type="dxa"/>
            <w:vAlign w:val="center"/>
          </w:tcPr>
          <w:p w14:paraId="5AD2B361" w14:textId="77777777" w:rsidR="00C2566E" w:rsidRPr="00611B89" w:rsidRDefault="00C2566E" w:rsidP="007D7F51">
            <w:pPr>
              <w:jc w:val="center"/>
            </w:pPr>
            <w:r w:rsidRPr="00611B89">
              <w:t>16</w:t>
            </w:r>
          </w:p>
        </w:tc>
        <w:tc>
          <w:tcPr>
            <w:tcW w:w="1640" w:type="dxa"/>
            <w:vAlign w:val="center"/>
          </w:tcPr>
          <w:p w14:paraId="60388054" w14:textId="77777777" w:rsidR="00C2566E" w:rsidRPr="00611B89" w:rsidRDefault="00C2566E" w:rsidP="007D7F51">
            <w:pPr>
              <w:jc w:val="center"/>
            </w:pPr>
            <w:r w:rsidRPr="00611B89">
              <w:t>11%</w:t>
            </w:r>
          </w:p>
        </w:tc>
      </w:tr>
      <w:tr w:rsidR="00C2566E" w:rsidRPr="00611B89" w14:paraId="3E30915C" w14:textId="77777777" w:rsidTr="008E4975">
        <w:trPr>
          <w:trHeight w:val="389"/>
          <w:jc w:val="center"/>
        </w:trPr>
        <w:tc>
          <w:tcPr>
            <w:tcW w:w="1890" w:type="dxa"/>
            <w:vAlign w:val="center"/>
          </w:tcPr>
          <w:p w14:paraId="010D741C" w14:textId="77777777" w:rsidR="00C2566E" w:rsidRPr="00611B89" w:rsidRDefault="00C2566E" w:rsidP="007D7F51">
            <w:pPr>
              <w:jc w:val="center"/>
            </w:pPr>
            <w:r w:rsidRPr="00611B89">
              <w:t>17</w:t>
            </w:r>
          </w:p>
        </w:tc>
        <w:tc>
          <w:tcPr>
            <w:tcW w:w="1640" w:type="dxa"/>
            <w:vAlign w:val="center"/>
          </w:tcPr>
          <w:p w14:paraId="7C2BFA5C" w14:textId="77777777" w:rsidR="00C2566E" w:rsidRPr="00611B89" w:rsidRDefault="00C2566E" w:rsidP="007D7F51">
            <w:pPr>
              <w:jc w:val="center"/>
            </w:pPr>
            <w:r w:rsidRPr="00611B89">
              <w:t>10%</w:t>
            </w:r>
          </w:p>
        </w:tc>
      </w:tr>
      <w:tr w:rsidR="00C2566E" w:rsidRPr="00611B89" w14:paraId="5E1A0D1B" w14:textId="77777777" w:rsidTr="008E4975">
        <w:trPr>
          <w:trHeight w:val="389"/>
          <w:jc w:val="center"/>
        </w:trPr>
        <w:tc>
          <w:tcPr>
            <w:tcW w:w="1890" w:type="dxa"/>
            <w:vAlign w:val="center"/>
          </w:tcPr>
          <w:p w14:paraId="6845580D" w14:textId="77777777" w:rsidR="00C2566E" w:rsidRPr="00611B89" w:rsidRDefault="00C2566E" w:rsidP="007D7F51">
            <w:pPr>
              <w:jc w:val="center"/>
            </w:pPr>
            <w:r w:rsidRPr="00611B89">
              <w:t>18</w:t>
            </w:r>
          </w:p>
        </w:tc>
        <w:tc>
          <w:tcPr>
            <w:tcW w:w="1640" w:type="dxa"/>
            <w:vAlign w:val="center"/>
          </w:tcPr>
          <w:p w14:paraId="474FDE90" w14:textId="77777777" w:rsidR="00C2566E" w:rsidRPr="00611B89" w:rsidRDefault="00C2566E" w:rsidP="007D7F51">
            <w:pPr>
              <w:jc w:val="center"/>
            </w:pPr>
            <w:r w:rsidRPr="00611B89">
              <w:t>10%</w:t>
            </w:r>
          </w:p>
        </w:tc>
      </w:tr>
    </w:tbl>
    <w:p w14:paraId="2875BA00" w14:textId="77777777" w:rsidR="00C2566E" w:rsidRPr="00611B89" w:rsidRDefault="00C2566E" w:rsidP="007D7F51">
      <w:pPr>
        <w:jc w:val="center"/>
      </w:pPr>
    </w:p>
    <w:p w14:paraId="476D48C6" w14:textId="77777777" w:rsidR="000038F1" w:rsidRPr="00611B89" w:rsidRDefault="000038F1" w:rsidP="00874A17"/>
    <w:p w14:paraId="468DA54D" w14:textId="476FE20E" w:rsidR="00735CCB" w:rsidRPr="00611B89" w:rsidRDefault="008E4975" w:rsidP="00874A17">
      <w:r w:rsidRPr="00611B89">
        <w:t>These</w:t>
      </w:r>
      <w:r w:rsidR="008643C3" w:rsidRPr="00611B89">
        <w:t xml:space="preserve"> numbers </w:t>
      </w:r>
      <w:r w:rsidR="003363B0" w:rsidRPr="00611B89">
        <w:t>we</w:t>
      </w:r>
      <w:r w:rsidR="008643C3" w:rsidRPr="00611B89">
        <w:t xml:space="preserve">re derived </w:t>
      </w:r>
      <w:r w:rsidR="00621E26" w:rsidRPr="00611B89">
        <w:t>through back-</w:t>
      </w:r>
      <w:r w:rsidR="003C646D" w:rsidRPr="00611B89">
        <w:t>calculation</w:t>
      </w:r>
      <w:r w:rsidR="00621E26" w:rsidRPr="00611B89">
        <w:t xml:space="preserve"> from the </w:t>
      </w:r>
      <w:r w:rsidR="001B58FA" w:rsidRPr="00611B89">
        <w:t>size</w:t>
      </w:r>
      <w:r w:rsidR="00491C3F" w:rsidRPr="00611B89">
        <w:t xml:space="preserve"> of the respondent pool in </w:t>
      </w:r>
      <w:r w:rsidR="002902F5" w:rsidRPr="00611B89">
        <w:t>the Youth Risk Behavioral Surveillance System</w:t>
      </w:r>
      <w:r w:rsidR="007E5734">
        <w:t xml:space="preserve">, or </w:t>
      </w:r>
      <w:r w:rsidR="002902F5" w:rsidRPr="00611B89">
        <w:t>YRBS</w:t>
      </w:r>
      <w:r w:rsidR="00063301" w:rsidRPr="00611B89">
        <w:t>S</w:t>
      </w:r>
      <w:r w:rsidR="007E5734">
        <w:t xml:space="preserve"> </w:t>
      </w:r>
      <w:r w:rsidR="004B537B" w:rsidRPr="00611B89">
        <w:fldChar w:fldCharType="begin"/>
      </w:r>
      <w:r w:rsidR="00D016FA">
        <w:instrText xml:space="preserve"> ADDIN EN.CITE &lt;EndNote&gt;&lt;Cite&gt;&lt;Author&gt;Sharma&lt;/Author&gt;&lt;Year&gt;2016&lt;/Year&gt;&lt;RecNum&gt;23&lt;/RecNum&gt;&lt;DisplayText&gt;(2)&lt;/DisplayText&gt;&lt;record&gt;&lt;rec-number&gt;23&lt;/rec-number&gt;&lt;foreign-keys&gt;&lt;key app="EN" db-id="xvdv2sspezx5x4ew22qv2waqev0p25tsetrx" timestamp="0"&gt;23&lt;/key&gt;&lt;/foreign-keys&gt;&lt;ref-type name="Journal Article"&gt;17&lt;/ref-type&gt;&lt;contributors&gt;&lt;authors&gt;&lt;author&gt;Sharma, Akshay&lt;/author&gt;&lt;author&gt;Wang, Li Yan&lt;/author&gt;&lt;author&gt;Dunville, Richard&lt;/author&gt;&lt;author&gt;Kearns, Rachel&lt;/author&gt;&lt;author&gt;Rosenberg, Eli&lt;/author&gt;&lt;author&gt;Sullivan, Patrick&lt;/author&gt;&lt;/authors&gt;&lt;/contributors&gt;&lt;titles&gt;&lt;title&gt;HIV and STD Testing Behavior among Young Men Who Have Sex With Men: Analysis of Pooled Youth Risk Behavior Survey Data, 2005-2013&lt;/title&gt;&lt;secondary-title&gt;Journal of Adolescent Health&lt;/secondary-title&gt;&lt;/titles&gt;&lt;pages&gt;S80&lt;/pages&gt;&lt;volume&gt;58&lt;/volume&gt;&lt;number&gt;2&lt;/number&gt;&lt;dates&gt;&lt;year&gt;2016&lt;/year&gt;&lt;/dates&gt;&lt;isbn&gt;1054-139X&lt;/isbn&gt;&lt;urls&gt;&lt;/urls&gt;&lt;/record&gt;&lt;/Cite&gt;&lt;/EndNote&gt;</w:instrText>
      </w:r>
      <w:r w:rsidR="004B537B" w:rsidRPr="00611B89">
        <w:fldChar w:fldCharType="separate"/>
      </w:r>
      <w:r w:rsidR="00D016FA">
        <w:rPr>
          <w:noProof/>
        </w:rPr>
        <w:t>(2)</w:t>
      </w:r>
      <w:r w:rsidR="004B537B" w:rsidRPr="00611B89">
        <w:fldChar w:fldCharType="end"/>
      </w:r>
      <w:r w:rsidR="007E5734">
        <w:t>,</w:t>
      </w:r>
      <w:r w:rsidR="001B58FA" w:rsidRPr="00611B89">
        <w:t xml:space="preserve"> which began with:</w:t>
      </w:r>
    </w:p>
    <w:p w14:paraId="2642AFE8" w14:textId="69B26263" w:rsidR="009F2A1E" w:rsidRPr="00611B89" w:rsidRDefault="009F2A1E" w:rsidP="00643682">
      <w:pPr>
        <w:rPr>
          <w:b/>
        </w:rPr>
      </w:pPr>
    </w:p>
    <w:tbl>
      <w:tblPr>
        <w:tblStyle w:val="TableGrid"/>
        <w:tblW w:w="6810" w:type="dxa"/>
        <w:jc w:val="center"/>
        <w:tblLook w:val="04A0" w:firstRow="1" w:lastRow="0" w:firstColumn="1" w:lastColumn="0" w:noHBand="0" w:noVBand="1"/>
      </w:tblPr>
      <w:tblGrid>
        <w:gridCol w:w="1890"/>
        <w:gridCol w:w="1640"/>
        <w:gridCol w:w="1640"/>
        <w:gridCol w:w="1640"/>
      </w:tblGrid>
      <w:tr w:rsidR="00CD5471" w:rsidRPr="00611B89" w14:paraId="29C3E542" w14:textId="77777777" w:rsidTr="007D7F51">
        <w:trPr>
          <w:trHeight w:val="389"/>
          <w:jc w:val="center"/>
        </w:trPr>
        <w:tc>
          <w:tcPr>
            <w:tcW w:w="1890" w:type="dxa"/>
            <w:shd w:val="clear" w:color="auto" w:fill="F2F2F2" w:themeFill="background1" w:themeFillShade="F2"/>
            <w:vAlign w:val="center"/>
          </w:tcPr>
          <w:p w14:paraId="67632188" w14:textId="77777777" w:rsidR="00CD5471" w:rsidRPr="00611B89" w:rsidRDefault="00CD5471" w:rsidP="007D7F51">
            <w:pPr>
              <w:jc w:val="center"/>
              <w:rPr>
                <w:b/>
              </w:rPr>
            </w:pPr>
            <w:r w:rsidRPr="00611B89">
              <w:rPr>
                <w:b/>
              </w:rPr>
              <w:t>Current age</w:t>
            </w:r>
          </w:p>
        </w:tc>
        <w:tc>
          <w:tcPr>
            <w:tcW w:w="1640" w:type="dxa"/>
            <w:shd w:val="clear" w:color="auto" w:fill="F2F2F2" w:themeFill="background1" w:themeFillShade="F2"/>
            <w:vAlign w:val="center"/>
          </w:tcPr>
          <w:p w14:paraId="610A5ED5" w14:textId="77777777" w:rsidR="00CD5471" w:rsidRPr="00611B89" w:rsidRDefault="00CD5471" w:rsidP="007D7F51">
            <w:pPr>
              <w:jc w:val="center"/>
              <w:rPr>
                <w:b/>
              </w:rPr>
            </w:pPr>
            <w:r w:rsidRPr="00611B89">
              <w:rPr>
                <w:b/>
              </w:rPr>
              <w:t>Weighted # ASMM</w:t>
            </w:r>
          </w:p>
        </w:tc>
        <w:tc>
          <w:tcPr>
            <w:tcW w:w="1640" w:type="dxa"/>
            <w:shd w:val="clear" w:color="auto" w:fill="F2F2F2" w:themeFill="background1" w:themeFillShade="F2"/>
          </w:tcPr>
          <w:p w14:paraId="65E4F7F4" w14:textId="77777777" w:rsidR="00CD5471" w:rsidRPr="00611B89" w:rsidRDefault="00CD5471" w:rsidP="007D7F51">
            <w:pPr>
              <w:jc w:val="center"/>
              <w:rPr>
                <w:b/>
              </w:rPr>
            </w:pPr>
            <w:r w:rsidRPr="00611B89">
              <w:rPr>
                <w:b/>
              </w:rPr>
              <w:t>Weighted # males</w:t>
            </w:r>
          </w:p>
        </w:tc>
        <w:tc>
          <w:tcPr>
            <w:tcW w:w="1640" w:type="dxa"/>
            <w:shd w:val="clear" w:color="auto" w:fill="F2F2F2" w:themeFill="background1" w:themeFillShade="F2"/>
          </w:tcPr>
          <w:p w14:paraId="1C093F08" w14:textId="77777777" w:rsidR="00CD5471" w:rsidRPr="00611B89" w:rsidRDefault="00CD5471" w:rsidP="007D7F51">
            <w:pPr>
              <w:jc w:val="center"/>
              <w:rPr>
                <w:b/>
              </w:rPr>
            </w:pPr>
            <w:r w:rsidRPr="00611B89">
              <w:rPr>
                <w:b/>
              </w:rPr>
              <w:t>Est. % ASMM</w:t>
            </w:r>
          </w:p>
        </w:tc>
      </w:tr>
      <w:tr w:rsidR="00FB3464" w:rsidRPr="00611B89" w14:paraId="46B69601" w14:textId="77777777" w:rsidTr="00270F45">
        <w:trPr>
          <w:trHeight w:val="389"/>
          <w:jc w:val="center"/>
        </w:trPr>
        <w:tc>
          <w:tcPr>
            <w:tcW w:w="1890" w:type="dxa"/>
            <w:shd w:val="clear" w:color="auto" w:fill="auto"/>
            <w:vAlign w:val="center"/>
          </w:tcPr>
          <w:p w14:paraId="5B3ED62A" w14:textId="77777777" w:rsidR="00FB3464" w:rsidRPr="00611B89" w:rsidRDefault="00FB3464" w:rsidP="003A3B06">
            <w:pPr>
              <w:jc w:val="center"/>
            </w:pPr>
            <w:r w:rsidRPr="00611B89">
              <w:t>14</w:t>
            </w:r>
          </w:p>
        </w:tc>
        <w:tc>
          <w:tcPr>
            <w:tcW w:w="1640" w:type="dxa"/>
            <w:shd w:val="clear" w:color="auto" w:fill="auto"/>
            <w:vAlign w:val="center"/>
          </w:tcPr>
          <w:p w14:paraId="14AAE426" w14:textId="77777777" w:rsidR="00FB3464" w:rsidRPr="00611B89" w:rsidRDefault="00FB3464" w:rsidP="003A3B06">
            <w:pPr>
              <w:jc w:val="center"/>
            </w:pPr>
            <w:r w:rsidRPr="00611B89">
              <w:t>6,648</w:t>
            </w:r>
          </w:p>
        </w:tc>
        <w:tc>
          <w:tcPr>
            <w:tcW w:w="1640" w:type="dxa"/>
            <w:shd w:val="clear" w:color="auto" w:fill="auto"/>
            <w:vAlign w:val="center"/>
          </w:tcPr>
          <w:p w14:paraId="7AFF45F1" w14:textId="77777777" w:rsidR="00FB3464" w:rsidRPr="00611B89" w:rsidRDefault="00FB3464" w:rsidP="003A3B06">
            <w:pPr>
              <w:jc w:val="center"/>
            </w:pPr>
            <w:r w:rsidRPr="00611B89">
              <w:t>141,975</w:t>
            </w:r>
          </w:p>
        </w:tc>
        <w:tc>
          <w:tcPr>
            <w:tcW w:w="1640" w:type="dxa"/>
            <w:shd w:val="clear" w:color="auto" w:fill="auto"/>
            <w:vAlign w:val="center"/>
          </w:tcPr>
          <w:p w14:paraId="2E2B1AF9" w14:textId="77777777" w:rsidR="00FB3464" w:rsidRPr="00611B89" w:rsidRDefault="00FB3464" w:rsidP="003A3B06">
            <w:pPr>
              <w:jc w:val="center"/>
            </w:pPr>
            <w:r w:rsidRPr="00611B89">
              <w:t>4.7%</w:t>
            </w:r>
          </w:p>
        </w:tc>
      </w:tr>
      <w:tr w:rsidR="00FB3464" w:rsidRPr="00611B89" w14:paraId="354C8339" w14:textId="77777777" w:rsidTr="00270F45">
        <w:trPr>
          <w:trHeight w:val="389"/>
          <w:jc w:val="center"/>
        </w:trPr>
        <w:tc>
          <w:tcPr>
            <w:tcW w:w="1890" w:type="dxa"/>
            <w:shd w:val="clear" w:color="auto" w:fill="auto"/>
            <w:vAlign w:val="center"/>
          </w:tcPr>
          <w:p w14:paraId="65A56C25" w14:textId="77777777" w:rsidR="00FB3464" w:rsidRPr="00611B89" w:rsidRDefault="00FB3464" w:rsidP="003A3B06">
            <w:pPr>
              <w:jc w:val="center"/>
            </w:pPr>
            <w:r w:rsidRPr="00611B89">
              <w:t>15</w:t>
            </w:r>
          </w:p>
        </w:tc>
        <w:tc>
          <w:tcPr>
            <w:tcW w:w="1640" w:type="dxa"/>
            <w:shd w:val="clear" w:color="auto" w:fill="auto"/>
            <w:vAlign w:val="center"/>
          </w:tcPr>
          <w:p w14:paraId="1632A1BC" w14:textId="77777777" w:rsidR="00FB3464" w:rsidRPr="00611B89" w:rsidRDefault="00FB3464" w:rsidP="003A3B06">
            <w:pPr>
              <w:jc w:val="center"/>
            </w:pPr>
            <w:r w:rsidRPr="00611B89">
              <w:t>14,789</w:t>
            </w:r>
          </w:p>
        </w:tc>
        <w:tc>
          <w:tcPr>
            <w:tcW w:w="1640" w:type="dxa"/>
            <w:shd w:val="clear" w:color="auto" w:fill="auto"/>
            <w:vAlign w:val="center"/>
          </w:tcPr>
          <w:p w14:paraId="2F73580E" w14:textId="77777777" w:rsidR="00FB3464" w:rsidRPr="00611B89" w:rsidRDefault="00FB3464" w:rsidP="003A3B06">
            <w:pPr>
              <w:jc w:val="center"/>
            </w:pPr>
            <w:r w:rsidRPr="00611B89">
              <w:t>310,381</w:t>
            </w:r>
          </w:p>
        </w:tc>
        <w:tc>
          <w:tcPr>
            <w:tcW w:w="1640" w:type="dxa"/>
            <w:shd w:val="clear" w:color="auto" w:fill="auto"/>
            <w:vAlign w:val="center"/>
          </w:tcPr>
          <w:p w14:paraId="7705D1BF" w14:textId="77777777" w:rsidR="00FB3464" w:rsidRPr="00611B89" w:rsidRDefault="00FB3464" w:rsidP="003A3B06">
            <w:pPr>
              <w:jc w:val="center"/>
            </w:pPr>
            <w:r w:rsidRPr="00611B89">
              <w:t>4.8%</w:t>
            </w:r>
          </w:p>
        </w:tc>
      </w:tr>
      <w:tr w:rsidR="00FB3464" w:rsidRPr="00611B89" w14:paraId="056E043C" w14:textId="77777777" w:rsidTr="00270F45">
        <w:trPr>
          <w:trHeight w:val="389"/>
          <w:jc w:val="center"/>
        </w:trPr>
        <w:tc>
          <w:tcPr>
            <w:tcW w:w="1890" w:type="dxa"/>
            <w:shd w:val="clear" w:color="auto" w:fill="auto"/>
            <w:vAlign w:val="center"/>
          </w:tcPr>
          <w:p w14:paraId="5352FED8" w14:textId="77777777" w:rsidR="00FB3464" w:rsidRPr="00611B89" w:rsidRDefault="00FB3464" w:rsidP="003A3B06">
            <w:pPr>
              <w:jc w:val="center"/>
            </w:pPr>
            <w:r w:rsidRPr="00611B89">
              <w:t>16</w:t>
            </w:r>
          </w:p>
        </w:tc>
        <w:tc>
          <w:tcPr>
            <w:tcW w:w="1640" w:type="dxa"/>
            <w:shd w:val="clear" w:color="auto" w:fill="auto"/>
            <w:vAlign w:val="center"/>
          </w:tcPr>
          <w:p w14:paraId="320775D8" w14:textId="77777777" w:rsidR="00FB3464" w:rsidRPr="00611B89" w:rsidRDefault="00FB3464" w:rsidP="003A3B06">
            <w:pPr>
              <w:jc w:val="center"/>
            </w:pPr>
            <w:r w:rsidRPr="00611B89">
              <w:t>20,566</w:t>
            </w:r>
          </w:p>
        </w:tc>
        <w:tc>
          <w:tcPr>
            <w:tcW w:w="1640" w:type="dxa"/>
            <w:shd w:val="clear" w:color="auto" w:fill="auto"/>
            <w:vAlign w:val="center"/>
          </w:tcPr>
          <w:p w14:paraId="63409CFC" w14:textId="77777777" w:rsidR="00FB3464" w:rsidRPr="00611B89" w:rsidRDefault="00FB3464" w:rsidP="003A3B06">
            <w:pPr>
              <w:jc w:val="center"/>
            </w:pPr>
            <w:r w:rsidRPr="00611B89">
              <w:t>309,489</w:t>
            </w:r>
          </w:p>
        </w:tc>
        <w:tc>
          <w:tcPr>
            <w:tcW w:w="1640" w:type="dxa"/>
            <w:shd w:val="clear" w:color="auto" w:fill="auto"/>
            <w:vAlign w:val="center"/>
          </w:tcPr>
          <w:p w14:paraId="40D34E42" w14:textId="77777777" w:rsidR="00FB3464" w:rsidRPr="00611B89" w:rsidRDefault="00FB3464" w:rsidP="003A3B06">
            <w:pPr>
              <w:jc w:val="center"/>
            </w:pPr>
            <w:r w:rsidRPr="00611B89">
              <w:t>6.6%</w:t>
            </w:r>
          </w:p>
        </w:tc>
      </w:tr>
      <w:tr w:rsidR="00FB3464" w:rsidRPr="00611B89" w14:paraId="70C96CF3" w14:textId="77777777" w:rsidTr="00270F45">
        <w:trPr>
          <w:trHeight w:val="389"/>
          <w:jc w:val="center"/>
        </w:trPr>
        <w:tc>
          <w:tcPr>
            <w:tcW w:w="1890" w:type="dxa"/>
            <w:shd w:val="clear" w:color="auto" w:fill="auto"/>
            <w:vAlign w:val="center"/>
          </w:tcPr>
          <w:p w14:paraId="68A5257F" w14:textId="77777777" w:rsidR="00FB3464" w:rsidRPr="00611B89" w:rsidRDefault="00FB3464" w:rsidP="003A3B06">
            <w:pPr>
              <w:jc w:val="center"/>
            </w:pPr>
            <w:r w:rsidRPr="00611B89">
              <w:t>17</w:t>
            </w:r>
          </w:p>
        </w:tc>
        <w:tc>
          <w:tcPr>
            <w:tcW w:w="1640" w:type="dxa"/>
            <w:shd w:val="clear" w:color="auto" w:fill="auto"/>
            <w:vAlign w:val="center"/>
          </w:tcPr>
          <w:p w14:paraId="229C5FB7" w14:textId="77777777" w:rsidR="00FB3464" w:rsidRPr="00611B89" w:rsidRDefault="00FB3464" w:rsidP="003A3B06">
            <w:pPr>
              <w:jc w:val="center"/>
            </w:pPr>
            <w:r w:rsidRPr="00611B89">
              <w:t>17,957</w:t>
            </w:r>
          </w:p>
        </w:tc>
        <w:tc>
          <w:tcPr>
            <w:tcW w:w="1640" w:type="dxa"/>
            <w:shd w:val="clear" w:color="auto" w:fill="auto"/>
            <w:vAlign w:val="center"/>
          </w:tcPr>
          <w:p w14:paraId="6410BC81" w14:textId="77777777" w:rsidR="00FB3464" w:rsidRPr="00611B89" w:rsidRDefault="00FB3464" w:rsidP="003A3B06">
            <w:pPr>
              <w:jc w:val="center"/>
            </w:pPr>
            <w:r w:rsidRPr="00611B89">
              <w:t>280,313</w:t>
            </w:r>
          </w:p>
        </w:tc>
        <w:tc>
          <w:tcPr>
            <w:tcW w:w="1640" w:type="dxa"/>
            <w:shd w:val="clear" w:color="auto" w:fill="auto"/>
            <w:vAlign w:val="center"/>
          </w:tcPr>
          <w:p w14:paraId="711C9693" w14:textId="77777777" w:rsidR="00FB3464" w:rsidRPr="00611B89" w:rsidRDefault="00FB3464" w:rsidP="003A3B06">
            <w:pPr>
              <w:jc w:val="center"/>
            </w:pPr>
            <w:r w:rsidRPr="00611B89">
              <w:t>6.4%</w:t>
            </w:r>
          </w:p>
        </w:tc>
      </w:tr>
      <w:tr w:rsidR="00FB3464" w:rsidRPr="00611B89" w14:paraId="63CCE643" w14:textId="77777777" w:rsidTr="00270F45">
        <w:trPr>
          <w:trHeight w:val="389"/>
          <w:jc w:val="center"/>
        </w:trPr>
        <w:tc>
          <w:tcPr>
            <w:tcW w:w="1890" w:type="dxa"/>
            <w:shd w:val="clear" w:color="auto" w:fill="auto"/>
            <w:vAlign w:val="center"/>
          </w:tcPr>
          <w:p w14:paraId="7A65A7AD" w14:textId="77777777" w:rsidR="00FB3464" w:rsidRPr="00611B89" w:rsidRDefault="00FB3464" w:rsidP="003A3B06">
            <w:pPr>
              <w:jc w:val="center"/>
            </w:pPr>
            <w:r w:rsidRPr="00611B89">
              <w:t>18+</w:t>
            </w:r>
          </w:p>
        </w:tc>
        <w:tc>
          <w:tcPr>
            <w:tcW w:w="1640" w:type="dxa"/>
            <w:shd w:val="clear" w:color="auto" w:fill="auto"/>
            <w:vAlign w:val="center"/>
          </w:tcPr>
          <w:p w14:paraId="28DE8C5D" w14:textId="77777777" w:rsidR="00FB3464" w:rsidRPr="00611B89" w:rsidRDefault="00FB3464" w:rsidP="003A3B06">
            <w:pPr>
              <w:jc w:val="center"/>
            </w:pPr>
            <w:r w:rsidRPr="00611B89">
              <w:t>14,658</w:t>
            </w:r>
          </w:p>
        </w:tc>
        <w:tc>
          <w:tcPr>
            <w:tcW w:w="1640" w:type="dxa"/>
            <w:shd w:val="clear" w:color="auto" w:fill="auto"/>
            <w:vAlign w:val="center"/>
          </w:tcPr>
          <w:p w14:paraId="7CBB90A4" w14:textId="77777777" w:rsidR="00FB3464" w:rsidRPr="00611B89" w:rsidRDefault="00FB3464" w:rsidP="003A3B06">
            <w:pPr>
              <w:jc w:val="center"/>
            </w:pPr>
            <w:r w:rsidRPr="00611B89">
              <w:t>181,363</w:t>
            </w:r>
          </w:p>
        </w:tc>
        <w:tc>
          <w:tcPr>
            <w:tcW w:w="1640" w:type="dxa"/>
            <w:shd w:val="clear" w:color="auto" w:fill="auto"/>
            <w:vAlign w:val="center"/>
          </w:tcPr>
          <w:p w14:paraId="42A8E102" w14:textId="77777777" w:rsidR="00FB3464" w:rsidRPr="00611B89" w:rsidRDefault="00FB3464" w:rsidP="003A3B06">
            <w:pPr>
              <w:jc w:val="center"/>
            </w:pPr>
            <w:r w:rsidRPr="00611B89">
              <w:t>8.1%</w:t>
            </w:r>
          </w:p>
        </w:tc>
      </w:tr>
    </w:tbl>
    <w:p w14:paraId="46AA7EB1" w14:textId="77777777" w:rsidR="008E4975" w:rsidRPr="00611B89" w:rsidRDefault="008E4975" w:rsidP="003A3B06">
      <w:pPr>
        <w:jc w:val="center"/>
      </w:pPr>
    </w:p>
    <w:p w14:paraId="15CB2ACA" w14:textId="6C8806F1" w:rsidR="00A47CE8" w:rsidRPr="00611B89" w:rsidRDefault="00A47CE8" w:rsidP="00874A17">
      <w:r w:rsidRPr="00611B89">
        <w:t xml:space="preserve">We excluded ages below 14 since the numbers of </w:t>
      </w:r>
      <w:r w:rsidR="00E35936" w:rsidRPr="00611B89">
        <w:t>adolescent sexual minority males (</w:t>
      </w:r>
      <w:r w:rsidR="005B5EC6" w:rsidRPr="00611B89">
        <w:t>ASMM</w:t>
      </w:r>
      <w:r w:rsidR="00E35936" w:rsidRPr="00611B89">
        <w:t>)</w:t>
      </w:r>
      <w:r w:rsidR="005B5EC6" w:rsidRPr="00611B89">
        <w:t xml:space="preserve"> </w:t>
      </w:r>
      <w:r w:rsidRPr="00611B89">
        <w:t xml:space="preserve">were small and the estimates highly variable.  We </w:t>
      </w:r>
      <w:r w:rsidR="00191F2F" w:rsidRPr="00611B89">
        <w:t xml:space="preserve">then </w:t>
      </w:r>
      <w:r w:rsidRPr="00611B89">
        <w:t xml:space="preserve">fit a </w:t>
      </w:r>
      <w:r w:rsidR="00CE1369" w:rsidRPr="00611B89">
        <w:t>logarithmic</w:t>
      </w:r>
      <w:r w:rsidR="00222CA3" w:rsidRPr="00611B89">
        <w:t xml:space="preserve"> c</w:t>
      </w:r>
      <w:r w:rsidRPr="00611B89">
        <w:t>u</w:t>
      </w:r>
      <w:r w:rsidR="00222CA3" w:rsidRPr="00611B89">
        <w:t>r</w:t>
      </w:r>
      <w:r w:rsidRPr="00611B89">
        <w:t>ve to these five numbers</w:t>
      </w:r>
      <w:r w:rsidR="00191F2F" w:rsidRPr="00611B89">
        <w:t>:</w:t>
      </w:r>
    </w:p>
    <w:p w14:paraId="62BCD9BA" w14:textId="77777777" w:rsidR="00A47CE8" w:rsidRPr="00611B89" w:rsidRDefault="00A47CE8" w:rsidP="00874A17">
      <w:pPr>
        <w:jc w:val="center"/>
      </w:pPr>
      <w:r w:rsidRPr="00611B89">
        <w:rPr>
          <w:noProof/>
        </w:rPr>
        <w:lastRenderedPageBreak/>
        <w:drawing>
          <wp:inline distT="0" distB="0" distL="0" distR="0" wp14:anchorId="0F984255" wp14:editId="5F357D9C">
            <wp:extent cx="4046220" cy="1859280"/>
            <wp:effectExtent l="0" t="0" r="1143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F9A9FD" w14:textId="77777777" w:rsidR="00A47CE8" w:rsidRPr="00611B89" w:rsidRDefault="00A47CE8" w:rsidP="00874A17"/>
    <w:p w14:paraId="0B1CBF33" w14:textId="77777777" w:rsidR="00AA5030" w:rsidRPr="00611B89" w:rsidRDefault="00AA5030" w:rsidP="00874A17"/>
    <w:p w14:paraId="61FAF439" w14:textId="77777777" w:rsidR="007F474C" w:rsidRPr="00611B89" w:rsidRDefault="007F474C" w:rsidP="00874A17">
      <w:r w:rsidRPr="00611B89">
        <w:t>We selected a logarithmic curve over a linear one since the former recognizes that the proportion of ASMM shoul</w:t>
      </w:r>
      <w:r w:rsidR="009305EA" w:rsidRPr="00611B89">
        <w:t xml:space="preserve">d asymptote at some older age. </w:t>
      </w:r>
      <w:r w:rsidR="004277A6" w:rsidRPr="00611B89">
        <w:t>We used the resulting equation</w:t>
      </w:r>
      <w:r w:rsidR="00792872" w:rsidRPr="00611B89">
        <w:t xml:space="preserve"> to develop predicted </w:t>
      </w:r>
      <w:r w:rsidR="00242C77" w:rsidRPr="00611B89">
        <w:t>proportions</w:t>
      </w:r>
      <w:r w:rsidR="00792872" w:rsidRPr="00611B89">
        <w:t xml:space="preserve"> for each age </w:t>
      </w:r>
      <w:r w:rsidR="007B2DE1" w:rsidRPr="00611B89">
        <w:t xml:space="preserve">(13-18) </w:t>
      </w:r>
      <w:r w:rsidR="00792872" w:rsidRPr="00611B89">
        <w:t>in our model</w:t>
      </w:r>
      <w:r w:rsidR="001E1A2E" w:rsidRPr="00611B89">
        <w:t xml:space="preserve">. We then converted these into </w:t>
      </w:r>
      <w:r w:rsidR="005209EF" w:rsidRPr="00611B89">
        <w:t xml:space="preserve">the </w:t>
      </w:r>
      <w:r w:rsidR="001E1A2E" w:rsidRPr="00611B89">
        <w:t>proportion</w:t>
      </w:r>
      <w:r w:rsidR="005209EF" w:rsidRPr="00611B89">
        <w:t>s</w:t>
      </w:r>
      <w:r w:rsidR="001E1A2E" w:rsidRPr="00611B89">
        <w:t xml:space="preserve"> entering </w:t>
      </w:r>
      <w:r w:rsidR="00AB2948" w:rsidRPr="00611B89">
        <w:t>our model at each age li</w:t>
      </w:r>
      <w:r w:rsidR="00010B07" w:rsidRPr="00611B89">
        <w:t>sted above.</w:t>
      </w:r>
    </w:p>
    <w:p w14:paraId="73781A14" w14:textId="77777777" w:rsidR="005B368B" w:rsidRPr="00611B89" w:rsidRDefault="005B368B" w:rsidP="00874A17"/>
    <w:p w14:paraId="618D6D45" w14:textId="77777777" w:rsidR="005B368B" w:rsidRPr="00611B89" w:rsidRDefault="005B368B" w:rsidP="00874A17">
      <w:r w:rsidRPr="00611B89">
        <w:t xml:space="preserve">For debut, we then derive two parameters: one for the probability of debuting at entry (i.e. first meeting the definition of ASMM because of sexual activity) and, for those not debuting at entry, at weekly probability of debuting thereafter.  </w:t>
      </w:r>
    </w:p>
    <w:p w14:paraId="09A5E196" w14:textId="77777777" w:rsidR="005B368B" w:rsidRPr="00611B89" w:rsidRDefault="005B368B" w:rsidP="00874A17"/>
    <w:p w14:paraId="3BCBF216" w14:textId="77777777" w:rsidR="008834D5" w:rsidRPr="00611B89" w:rsidRDefault="008834D5" w:rsidP="00874A17">
      <w:r w:rsidRPr="00611B89">
        <w:t>We then used the data from the same adolescents about their reported age of first anal intercourse, given their current age:</w:t>
      </w:r>
    </w:p>
    <w:p w14:paraId="7E73D421" w14:textId="77777777" w:rsidR="00FC5C77" w:rsidRPr="00611B89" w:rsidRDefault="00FC5C77" w:rsidP="00874A17"/>
    <w:p w14:paraId="547455B5" w14:textId="08BDD9FB" w:rsidR="00603218" w:rsidRPr="00611B89" w:rsidRDefault="00603218" w:rsidP="00CC4A3F">
      <w:pPr>
        <w:rPr>
          <w:b/>
        </w:rPr>
      </w:pPr>
    </w:p>
    <w:tbl>
      <w:tblPr>
        <w:tblStyle w:val="TableGrid"/>
        <w:tblW w:w="8863" w:type="dxa"/>
        <w:jc w:val="center"/>
        <w:tblLook w:val="04A0" w:firstRow="1" w:lastRow="0" w:firstColumn="1" w:lastColumn="0" w:noHBand="0" w:noVBand="1"/>
      </w:tblPr>
      <w:tblGrid>
        <w:gridCol w:w="1513"/>
        <w:gridCol w:w="1030"/>
        <w:gridCol w:w="1082"/>
        <w:gridCol w:w="1110"/>
        <w:gridCol w:w="1032"/>
        <w:gridCol w:w="1032"/>
        <w:gridCol w:w="1032"/>
        <w:gridCol w:w="1032"/>
      </w:tblGrid>
      <w:tr w:rsidR="00843556" w:rsidRPr="00611B89" w14:paraId="1131C924" w14:textId="77777777" w:rsidTr="007D7F51">
        <w:trPr>
          <w:trHeight w:val="389"/>
          <w:jc w:val="center"/>
        </w:trPr>
        <w:tc>
          <w:tcPr>
            <w:tcW w:w="1513" w:type="dxa"/>
            <w:shd w:val="clear" w:color="auto" w:fill="F2F2F2" w:themeFill="background1" w:themeFillShade="F2"/>
            <w:vAlign w:val="center"/>
          </w:tcPr>
          <w:p w14:paraId="0E08D739" w14:textId="77777777" w:rsidR="00843556" w:rsidRPr="00611B89" w:rsidRDefault="00843556" w:rsidP="007D7F51">
            <w:pPr>
              <w:jc w:val="center"/>
              <w:rPr>
                <w:b/>
              </w:rPr>
            </w:pPr>
          </w:p>
        </w:tc>
        <w:tc>
          <w:tcPr>
            <w:tcW w:w="7350" w:type="dxa"/>
            <w:gridSpan w:val="7"/>
            <w:shd w:val="clear" w:color="auto" w:fill="F2F2F2" w:themeFill="background1" w:themeFillShade="F2"/>
            <w:vAlign w:val="center"/>
          </w:tcPr>
          <w:p w14:paraId="043570B7" w14:textId="77777777" w:rsidR="00843556" w:rsidRPr="00611B89" w:rsidRDefault="00843556" w:rsidP="007D7F51">
            <w:pPr>
              <w:jc w:val="center"/>
              <w:rPr>
                <w:b/>
              </w:rPr>
            </w:pPr>
            <w:r w:rsidRPr="00611B89">
              <w:rPr>
                <w:b/>
              </w:rPr>
              <w:t>AI debut age</w:t>
            </w:r>
          </w:p>
        </w:tc>
      </w:tr>
      <w:tr w:rsidR="00FC67BD" w:rsidRPr="00611B89" w14:paraId="5C0FA80A" w14:textId="77777777" w:rsidTr="007D7F51">
        <w:trPr>
          <w:trHeight w:val="389"/>
          <w:jc w:val="center"/>
        </w:trPr>
        <w:tc>
          <w:tcPr>
            <w:tcW w:w="1513" w:type="dxa"/>
            <w:shd w:val="clear" w:color="auto" w:fill="F2F2F2" w:themeFill="background1" w:themeFillShade="F2"/>
            <w:vAlign w:val="center"/>
          </w:tcPr>
          <w:p w14:paraId="3DFE2772" w14:textId="77777777" w:rsidR="00FC67BD" w:rsidRPr="00611B89" w:rsidRDefault="00FC67BD" w:rsidP="007D7F51">
            <w:pPr>
              <w:jc w:val="center"/>
              <w:rPr>
                <w:b/>
              </w:rPr>
            </w:pPr>
            <w:r w:rsidRPr="00611B89">
              <w:rPr>
                <w:b/>
              </w:rPr>
              <w:t>Current age</w:t>
            </w:r>
          </w:p>
        </w:tc>
        <w:tc>
          <w:tcPr>
            <w:tcW w:w="1030" w:type="dxa"/>
            <w:shd w:val="clear" w:color="auto" w:fill="F2F2F2" w:themeFill="background1" w:themeFillShade="F2"/>
            <w:vAlign w:val="center"/>
          </w:tcPr>
          <w:p w14:paraId="5A3C112F" w14:textId="77777777" w:rsidR="00FC67BD" w:rsidRPr="00611B89" w:rsidRDefault="00FC67BD" w:rsidP="007D7F51">
            <w:pPr>
              <w:jc w:val="center"/>
              <w:rPr>
                <w:b/>
              </w:rPr>
            </w:pPr>
            <w:r w:rsidRPr="00611B89">
              <w:rPr>
                <w:b/>
              </w:rPr>
              <w:t>13</w:t>
            </w:r>
          </w:p>
        </w:tc>
        <w:tc>
          <w:tcPr>
            <w:tcW w:w="1082" w:type="dxa"/>
            <w:shd w:val="clear" w:color="auto" w:fill="F2F2F2" w:themeFill="background1" w:themeFillShade="F2"/>
            <w:vAlign w:val="center"/>
          </w:tcPr>
          <w:p w14:paraId="4D6C30EF" w14:textId="77777777" w:rsidR="00FC67BD" w:rsidRPr="00611B89" w:rsidRDefault="00FC67BD" w:rsidP="007D7F51">
            <w:pPr>
              <w:jc w:val="center"/>
              <w:rPr>
                <w:b/>
              </w:rPr>
            </w:pPr>
            <w:r w:rsidRPr="00611B89">
              <w:rPr>
                <w:b/>
              </w:rPr>
              <w:t>14</w:t>
            </w:r>
          </w:p>
        </w:tc>
        <w:tc>
          <w:tcPr>
            <w:tcW w:w="1110" w:type="dxa"/>
            <w:shd w:val="clear" w:color="auto" w:fill="F2F2F2" w:themeFill="background1" w:themeFillShade="F2"/>
            <w:vAlign w:val="center"/>
          </w:tcPr>
          <w:p w14:paraId="4A9E1A23" w14:textId="77777777" w:rsidR="00FC67BD" w:rsidRPr="00611B89" w:rsidRDefault="00FC67BD" w:rsidP="007D7F51">
            <w:pPr>
              <w:jc w:val="center"/>
              <w:rPr>
                <w:b/>
              </w:rPr>
            </w:pPr>
            <w:r w:rsidRPr="00611B89">
              <w:rPr>
                <w:b/>
              </w:rPr>
              <w:t>15</w:t>
            </w:r>
          </w:p>
        </w:tc>
        <w:tc>
          <w:tcPr>
            <w:tcW w:w="1032" w:type="dxa"/>
            <w:shd w:val="clear" w:color="auto" w:fill="F2F2F2" w:themeFill="background1" w:themeFillShade="F2"/>
            <w:vAlign w:val="center"/>
          </w:tcPr>
          <w:p w14:paraId="2E5D9E56" w14:textId="77777777" w:rsidR="00FC67BD" w:rsidRPr="00611B89" w:rsidRDefault="00FC67BD" w:rsidP="007D7F51">
            <w:pPr>
              <w:jc w:val="center"/>
              <w:rPr>
                <w:b/>
              </w:rPr>
            </w:pPr>
            <w:r w:rsidRPr="00611B89">
              <w:rPr>
                <w:b/>
              </w:rPr>
              <w:t>16</w:t>
            </w:r>
          </w:p>
        </w:tc>
        <w:tc>
          <w:tcPr>
            <w:tcW w:w="1032" w:type="dxa"/>
            <w:shd w:val="clear" w:color="auto" w:fill="F2F2F2" w:themeFill="background1" w:themeFillShade="F2"/>
            <w:vAlign w:val="center"/>
          </w:tcPr>
          <w:p w14:paraId="5890191D" w14:textId="77777777" w:rsidR="00FC67BD" w:rsidRPr="00611B89" w:rsidRDefault="00FC67BD" w:rsidP="007D7F51">
            <w:pPr>
              <w:jc w:val="center"/>
              <w:rPr>
                <w:b/>
              </w:rPr>
            </w:pPr>
            <w:r w:rsidRPr="00611B89">
              <w:rPr>
                <w:b/>
              </w:rPr>
              <w:t>17</w:t>
            </w:r>
          </w:p>
        </w:tc>
        <w:tc>
          <w:tcPr>
            <w:tcW w:w="1032" w:type="dxa"/>
            <w:shd w:val="clear" w:color="auto" w:fill="F2F2F2" w:themeFill="background1" w:themeFillShade="F2"/>
            <w:vAlign w:val="center"/>
          </w:tcPr>
          <w:p w14:paraId="2B205F81" w14:textId="77777777" w:rsidR="00FC67BD" w:rsidRPr="00611B89" w:rsidRDefault="00FC67BD" w:rsidP="007D7F51">
            <w:pPr>
              <w:jc w:val="center"/>
              <w:rPr>
                <w:b/>
              </w:rPr>
            </w:pPr>
            <w:r w:rsidRPr="00611B89">
              <w:rPr>
                <w:b/>
              </w:rPr>
              <w:t>18</w:t>
            </w:r>
          </w:p>
        </w:tc>
        <w:tc>
          <w:tcPr>
            <w:tcW w:w="1032" w:type="dxa"/>
            <w:shd w:val="clear" w:color="auto" w:fill="F2F2F2" w:themeFill="background1" w:themeFillShade="F2"/>
            <w:vAlign w:val="center"/>
          </w:tcPr>
          <w:p w14:paraId="13FC95E8" w14:textId="77777777" w:rsidR="00FC67BD" w:rsidRPr="00611B89" w:rsidRDefault="00FC67BD" w:rsidP="007D7F51">
            <w:pPr>
              <w:jc w:val="center"/>
              <w:rPr>
                <w:b/>
              </w:rPr>
            </w:pPr>
            <w:r w:rsidRPr="00611B89">
              <w:rPr>
                <w:b/>
              </w:rPr>
              <w:t>No AI</w:t>
            </w:r>
          </w:p>
        </w:tc>
      </w:tr>
      <w:tr w:rsidR="00FC67BD" w:rsidRPr="00611B89" w14:paraId="3A222D07" w14:textId="77777777" w:rsidTr="00FB151A">
        <w:trPr>
          <w:trHeight w:val="389"/>
          <w:jc w:val="center"/>
        </w:trPr>
        <w:tc>
          <w:tcPr>
            <w:tcW w:w="1513" w:type="dxa"/>
            <w:vAlign w:val="center"/>
          </w:tcPr>
          <w:p w14:paraId="5FAE81C4" w14:textId="77777777" w:rsidR="00FC67BD" w:rsidRPr="00611B89" w:rsidRDefault="00FC67BD" w:rsidP="007D7F51">
            <w:pPr>
              <w:jc w:val="center"/>
            </w:pPr>
            <w:r w:rsidRPr="00611B89">
              <w:t>13</w:t>
            </w:r>
          </w:p>
        </w:tc>
        <w:tc>
          <w:tcPr>
            <w:tcW w:w="1030" w:type="dxa"/>
            <w:vAlign w:val="center"/>
          </w:tcPr>
          <w:p w14:paraId="44B518E4" w14:textId="77777777" w:rsidR="00FC67BD" w:rsidRPr="00611B89" w:rsidRDefault="00FB151A" w:rsidP="007D7F51">
            <w:pPr>
              <w:jc w:val="center"/>
            </w:pPr>
            <w:r w:rsidRPr="00611B89">
              <w:t>65%</w:t>
            </w:r>
          </w:p>
        </w:tc>
        <w:tc>
          <w:tcPr>
            <w:tcW w:w="1082" w:type="dxa"/>
            <w:vAlign w:val="center"/>
          </w:tcPr>
          <w:p w14:paraId="7288B0C0" w14:textId="77777777" w:rsidR="00FC67BD" w:rsidRPr="00611B89" w:rsidRDefault="00FC67BD" w:rsidP="007D7F51">
            <w:pPr>
              <w:jc w:val="center"/>
            </w:pPr>
          </w:p>
        </w:tc>
        <w:tc>
          <w:tcPr>
            <w:tcW w:w="1110" w:type="dxa"/>
            <w:vAlign w:val="center"/>
          </w:tcPr>
          <w:p w14:paraId="00F1B25C" w14:textId="77777777" w:rsidR="00FC67BD" w:rsidRPr="00611B89" w:rsidRDefault="00FC67BD" w:rsidP="007D7F51">
            <w:pPr>
              <w:jc w:val="center"/>
            </w:pPr>
          </w:p>
        </w:tc>
        <w:tc>
          <w:tcPr>
            <w:tcW w:w="1032" w:type="dxa"/>
            <w:vAlign w:val="center"/>
          </w:tcPr>
          <w:p w14:paraId="53542998" w14:textId="77777777" w:rsidR="00FC67BD" w:rsidRPr="00611B89" w:rsidRDefault="00FC67BD" w:rsidP="007D7F51">
            <w:pPr>
              <w:jc w:val="center"/>
            </w:pPr>
          </w:p>
        </w:tc>
        <w:tc>
          <w:tcPr>
            <w:tcW w:w="1032" w:type="dxa"/>
            <w:vAlign w:val="center"/>
          </w:tcPr>
          <w:p w14:paraId="5ECC9292" w14:textId="77777777" w:rsidR="00FC67BD" w:rsidRPr="00611B89" w:rsidRDefault="00FC67BD" w:rsidP="007D7F51">
            <w:pPr>
              <w:jc w:val="center"/>
            </w:pPr>
          </w:p>
        </w:tc>
        <w:tc>
          <w:tcPr>
            <w:tcW w:w="1032" w:type="dxa"/>
            <w:vAlign w:val="center"/>
          </w:tcPr>
          <w:p w14:paraId="691FD4FC" w14:textId="77777777" w:rsidR="00FC67BD" w:rsidRPr="00611B89" w:rsidRDefault="00FC67BD" w:rsidP="007D7F51">
            <w:pPr>
              <w:jc w:val="center"/>
            </w:pPr>
          </w:p>
        </w:tc>
        <w:tc>
          <w:tcPr>
            <w:tcW w:w="1032" w:type="dxa"/>
            <w:vAlign w:val="center"/>
          </w:tcPr>
          <w:p w14:paraId="053AC19C" w14:textId="77777777" w:rsidR="00FC67BD" w:rsidRPr="00611B89" w:rsidRDefault="00FB151A" w:rsidP="007D7F51">
            <w:pPr>
              <w:jc w:val="center"/>
            </w:pPr>
            <w:r w:rsidRPr="00611B89">
              <w:t>35%</w:t>
            </w:r>
          </w:p>
        </w:tc>
      </w:tr>
      <w:tr w:rsidR="00FC67BD" w:rsidRPr="00611B89" w14:paraId="6153F8BB" w14:textId="77777777" w:rsidTr="00FB151A">
        <w:trPr>
          <w:trHeight w:val="389"/>
          <w:jc w:val="center"/>
        </w:trPr>
        <w:tc>
          <w:tcPr>
            <w:tcW w:w="1513" w:type="dxa"/>
            <w:vAlign w:val="center"/>
          </w:tcPr>
          <w:p w14:paraId="4C263797" w14:textId="77777777" w:rsidR="00FC67BD" w:rsidRPr="00611B89" w:rsidRDefault="00FC67BD" w:rsidP="007D7F51">
            <w:pPr>
              <w:jc w:val="center"/>
            </w:pPr>
            <w:r w:rsidRPr="00611B89">
              <w:t>14</w:t>
            </w:r>
          </w:p>
        </w:tc>
        <w:tc>
          <w:tcPr>
            <w:tcW w:w="1030" w:type="dxa"/>
            <w:vAlign w:val="center"/>
          </w:tcPr>
          <w:p w14:paraId="712F71B8" w14:textId="77777777" w:rsidR="00FC67BD" w:rsidRPr="00611B89" w:rsidRDefault="00932698" w:rsidP="007D7F51">
            <w:pPr>
              <w:jc w:val="center"/>
            </w:pPr>
            <w:r w:rsidRPr="00611B89">
              <w:t>39%</w:t>
            </w:r>
          </w:p>
        </w:tc>
        <w:tc>
          <w:tcPr>
            <w:tcW w:w="1082" w:type="dxa"/>
            <w:vAlign w:val="center"/>
          </w:tcPr>
          <w:p w14:paraId="442AA631" w14:textId="77777777" w:rsidR="00FC67BD" w:rsidRPr="00611B89" w:rsidRDefault="00932698" w:rsidP="007D7F51">
            <w:pPr>
              <w:jc w:val="center"/>
            </w:pPr>
            <w:r w:rsidRPr="00611B89">
              <w:t>14%</w:t>
            </w:r>
          </w:p>
        </w:tc>
        <w:tc>
          <w:tcPr>
            <w:tcW w:w="1110" w:type="dxa"/>
            <w:vAlign w:val="center"/>
          </w:tcPr>
          <w:p w14:paraId="33367381" w14:textId="77777777" w:rsidR="00FC67BD" w:rsidRPr="00611B89" w:rsidRDefault="00FC67BD" w:rsidP="007D7F51">
            <w:pPr>
              <w:jc w:val="center"/>
            </w:pPr>
          </w:p>
        </w:tc>
        <w:tc>
          <w:tcPr>
            <w:tcW w:w="1032" w:type="dxa"/>
            <w:vAlign w:val="center"/>
          </w:tcPr>
          <w:p w14:paraId="4AF9DD33" w14:textId="77777777" w:rsidR="00FC67BD" w:rsidRPr="00611B89" w:rsidRDefault="00FC67BD" w:rsidP="007D7F51">
            <w:pPr>
              <w:jc w:val="center"/>
            </w:pPr>
          </w:p>
        </w:tc>
        <w:tc>
          <w:tcPr>
            <w:tcW w:w="1032" w:type="dxa"/>
            <w:vAlign w:val="center"/>
          </w:tcPr>
          <w:p w14:paraId="6EA7D659" w14:textId="77777777" w:rsidR="00FC67BD" w:rsidRPr="00611B89" w:rsidRDefault="00FC67BD" w:rsidP="007D7F51">
            <w:pPr>
              <w:jc w:val="center"/>
            </w:pPr>
          </w:p>
        </w:tc>
        <w:tc>
          <w:tcPr>
            <w:tcW w:w="1032" w:type="dxa"/>
            <w:vAlign w:val="center"/>
          </w:tcPr>
          <w:p w14:paraId="37D718F5" w14:textId="77777777" w:rsidR="00FC67BD" w:rsidRPr="00611B89" w:rsidRDefault="00FC67BD" w:rsidP="007D7F51">
            <w:pPr>
              <w:jc w:val="center"/>
            </w:pPr>
          </w:p>
        </w:tc>
        <w:tc>
          <w:tcPr>
            <w:tcW w:w="1032" w:type="dxa"/>
            <w:vAlign w:val="center"/>
          </w:tcPr>
          <w:p w14:paraId="51E535F6" w14:textId="77777777" w:rsidR="00FC67BD" w:rsidRPr="00611B89" w:rsidRDefault="00932698" w:rsidP="007D7F51">
            <w:pPr>
              <w:jc w:val="center"/>
            </w:pPr>
            <w:r w:rsidRPr="00611B89">
              <w:t>47%</w:t>
            </w:r>
          </w:p>
        </w:tc>
      </w:tr>
      <w:tr w:rsidR="00FC67BD" w:rsidRPr="00611B89" w14:paraId="788EB028" w14:textId="77777777" w:rsidTr="00FB151A">
        <w:trPr>
          <w:trHeight w:val="389"/>
          <w:jc w:val="center"/>
        </w:trPr>
        <w:tc>
          <w:tcPr>
            <w:tcW w:w="1513" w:type="dxa"/>
            <w:vAlign w:val="center"/>
          </w:tcPr>
          <w:p w14:paraId="6D79FA05" w14:textId="77777777" w:rsidR="00FC67BD" w:rsidRPr="00611B89" w:rsidRDefault="00FC67BD" w:rsidP="007D7F51">
            <w:pPr>
              <w:jc w:val="center"/>
            </w:pPr>
            <w:r w:rsidRPr="00611B89">
              <w:t>15</w:t>
            </w:r>
          </w:p>
        </w:tc>
        <w:tc>
          <w:tcPr>
            <w:tcW w:w="1030" w:type="dxa"/>
            <w:vAlign w:val="center"/>
          </w:tcPr>
          <w:p w14:paraId="7B7974B8" w14:textId="77777777" w:rsidR="00FC67BD" w:rsidRPr="00611B89" w:rsidRDefault="003D3909" w:rsidP="007D7F51">
            <w:pPr>
              <w:jc w:val="center"/>
            </w:pPr>
            <w:r w:rsidRPr="00611B89">
              <w:t>32</w:t>
            </w:r>
            <w:r w:rsidR="00932698" w:rsidRPr="00611B89">
              <w:t>%</w:t>
            </w:r>
          </w:p>
        </w:tc>
        <w:tc>
          <w:tcPr>
            <w:tcW w:w="1082" w:type="dxa"/>
            <w:vAlign w:val="center"/>
          </w:tcPr>
          <w:p w14:paraId="7D7FAE0D" w14:textId="77777777" w:rsidR="00FC67BD" w:rsidRPr="00611B89" w:rsidRDefault="00932698" w:rsidP="007D7F51">
            <w:pPr>
              <w:jc w:val="center"/>
            </w:pPr>
            <w:r w:rsidRPr="00611B89">
              <w:t>15%</w:t>
            </w:r>
          </w:p>
        </w:tc>
        <w:tc>
          <w:tcPr>
            <w:tcW w:w="1110" w:type="dxa"/>
            <w:vAlign w:val="center"/>
          </w:tcPr>
          <w:p w14:paraId="264528A1" w14:textId="77777777" w:rsidR="00FC67BD" w:rsidRPr="00611B89" w:rsidRDefault="00932698" w:rsidP="007D7F51">
            <w:pPr>
              <w:jc w:val="center"/>
            </w:pPr>
            <w:r w:rsidRPr="00611B89">
              <w:t>10%</w:t>
            </w:r>
          </w:p>
        </w:tc>
        <w:tc>
          <w:tcPr>
            <w:tcW w:w="1032" w:type="dxa"/>
            <w:vAlign w:val="center"/>
          </w:tcPr>
          <w:p w14:paraId="46345E5D" w14:textId="77777777" w:rsidR="00FC67BD" w:rsidRPr="00611B89" w:rsidRDefault="00FC67BD" w:rsidP="007D7F51">
            <w:pPr>
              <w:jc w:val="center"/>
            </w:pPr>
          </w:p>
        </w:tc>
        <w:tc>
          <w:tcPr>
            <w:tcW w:w="1032" w:type="dxa"/>
            <w:vAlign w:val="center"/>
          </w:tcPr>
          <w:p w14:paraId="6214E043" w14:textId="77777777" w:rsidR="00FC67BD" w:rsidRPr="00611B89" w:rsidRDefault="00FC67BD" w:rsidP="007D7F51">
            <w:pPr>
              <w:jc w:val="center"/>
            </w:pPr>
          </w:p>
        </w:tc>
        <w:tc>
          <w:tcPr>
            <w:tcW w:w="1032" w:type="dxa"/>
            <w:vAlign w:val="center"/>
          </w:tcPr>
          <w:p w14:paraId="55EC594F" w14:textId="77777777" w:rsidR="00FC67BD" w:rsidRPr="00611B89" w:rsidRDefault="00FC67BD" w:rsidP="007D7F51">
            <w:pPr>
              <w:jc w:val="center"/>
            </w:pPr>
          </w:p>
        </w:tc>
        <w:tc>
          <w:tcPr>
            <w:tcW w:w="1032" w:type="dxa"/>
            <w:vAlign w:val="center"/>
          </w:tcPr>
          <w:p w14:paraId="672B05E9" w14:textId="77777777" w:rsidR="00FC67BD" w:rsidRPr="00611B89" w:rsidRDefault="00932698" w:rsidP="007D7F51">
            <w:pPr>
              <w:jc w:val="center"/>
            </w:pPr>
            <w:r w:rsidRPr="00611B89">
              <w:t>43%</w:t>
            </w:r>
          </w:p>
        </w:tc>
      </w:tr>
      <w:tr w:rsidR="00FC67BD" w:rsidRPr="00611B89" w14:paraId="3BE3EF14" w14:textId="77777777" w:rsidTr="00FB151A">
        <w:trPr>
          <w:trHeight w:val="389"/>
          <w:jc w:val="center"/>
        </w:trPr>
        <w:tc>
          <w:tcPr>
            <w:tcW w:w="1513" w:type="dxa"/>
            <w:vAlign w:val="center"/>
          </w:tcPr>
          <w:p w14:paraId="1508D9AF" w14:textId="77777777" w:rsidR="00FC67BD" w:rsidRPr="00611B89" w:rsidRDefault="00FC67BD" w:rsidP="007D7F51">
            <w:pPr>
              <w:jc w:val="center"/>
            </w:pPr>
            <w:r w:rsidRPr="00611B89">
              <w:t>16</w:t>
            </w:r>
          </w:p>
        </w:tc>
        <w:tc>
          <w:tcPr>
            <w:tcW w:w="1030" w:type="dxa"/>
            <w:vAlign w:val="center"/>
          </w:tcPr>
          <w:p w14:paraId="0F93B876" w14:textId="77777777" w:rsidR="00FC67BD" w:rsidRPr="00611B89" w:rsidRDefault="00932698" w:rsidP="007D7F51">
            <w:pPr>
              <w:jc w:val="center"/>
            </w:pPr>
            <w:r w:rsidRPr="00611B89">
              <w:t>32%</w:t>
            </w:r>
          </w:p>
        </w:tc>
        <w:tc>
          <w:tcPr>
            <w:tcW w:w="1082" w:type="dxa"/>
            <w:vAlign w:val="center"/>
          </w:tcPr>
          <w:p w14:paraId="31184EF3" w14:textId="77777777" w:rsidR="00FC67BD" w:rsidRPr="00611B89" w:rsidRDefault="00932698" w:rsidP="007D7F51">
            <w:pPr>
              <w:jc w:val="center"/>
            </w:pPr>
            <w:r w:rsidRPr="00611B89">
              <w:t>13%</w:t>
            </w:r>
          </w:p>
        </w:tc>
        <w:tc>
          <w:tcPr>
            <w:tcW w:w="1110" w:type="dxa"/>
            <w:vAlign w:val="center"/>
          </w:tcPr>
          <w:p w14:paraId="0C999014" w14:textId="77777777" w:rsidR="00FC67BD" w:rsidRPr="00611B89" w:rsidRDefault="00932698" w:rsidP="007D7F51">
            <w:pPr>
              <w:jc w:val="center"/>
            </w:pPr>
            <w:r w:rsidRPr="00611B89">
              <w:t>13%</w:t>
            </w:r>
          </w:p>
        </w:tc>
        <w:tc>
          <w:tcPr>
            <w:tcW w:w="1032" w:type="dxa"/>
            <w:vAlign w:val="center"/>
          </w:tcPr>
          <w:p w14:paraId="7A3913E6" w14:textId="77777777" w:rsidR="00FC67BD" w:rsidRPr="00611B89" w:rsidRDefault="00932698" w:rsidP="007D7F51">
            <w:pPr>
              <w:jc w:val="center"/>
            </w:pPr>
            <w:r w:rsidRPr="00611B89">
              <w:t>11%</w:t>
            </w:r>
          </w:p>
        </w:tc>
        <w:tc>
          <w:tcPr>
            <w:tcW w:w="1032" w:type="dxa"/>
            <w:vAlign w:val="center"/>
          </w:tcPr>
          <w:p w14:paraId="7ABD4714" w14:textId="77777777" w:rsidR="00FC67BD" w:rsidRPr="00611B89" w:rsidRDefault="00FC67BD" w:rsidP="007D7F51">
            <w:pPr>
              <w:jc w:val="center"/>
            </w:pPr>
          </w:p>
        </w:tc>
        <w:tc>
          <w:tcPr>
            <w:tcW w:w="1032" w:type="dxa"/>
            <w:vAlign w:val="center"/>
          </w:tcPr>
          <w:p w14:paraId="4A5CB317" w14:textId="77777777" w:rsidR="00FC67BD" w:rsidRPr="00611B89" w:rsidRDefault="00FC67BD" w:rsidP="007D7F51">
            <w:pPr>
              <w:jc w:val="center"/>
            </w:pPr>
          </w:p>
        </w:tc>
        <w:tc>
          <w:tcPr>
            <w:tcW w:w="1032" w:type="dxa"/>
            <w:vAlign w:val="center"/>
          </w:tcPr>
          <w:p w14:paraId="614F57B0" w14:textId="77777777" w:rsidR="00FC67BD" w:rsidRPr="00611B89" w:rsidRDefault="00932698" w:rsidP="007D7F51">
            <w:pPr>
              <w:jc w:val="center"/>
            </w:pPr>
            <w:r w:rsidRPr="00611B89">
              <w:t>31%</w:t>
            </w:r>
          </w:p>
        </w:tc>
      </w:tr>
      <w:tr w:rsidR="00FC67BD" w:rsidRPr="00611B89" w14:paraId="692A23EB" w14:textId="77777777" w:rsidTr="00FB151A">
        <w:trPr>
          <w:trHeight w:val="389"/>
          <w:jc w:val="center"/>
        </w:trPr>
        <w:tc>
          <w:tcPr>
            <w:tcW w:w="1513" w:type="dxa"/>
            <w:vAlign w:val="center"/>
          </w:tcPr>
          <w:p w14:paraId="32579A93" w14:textId="77777777" w:rsidR="00FC67BD" w:rsidRPr="00611B89" w:rsidRDefault="00FC67BD" w:rsidP="007D7F51">
            <w:pPr>
              <w:jc w:val="center"/>
            </w:pPr>
            <w:r w:rsidRPr="00611B89">
              <w:t>17</w:t>
            </w:r>
          </w:p>
        </w:tc>
        <w:tc>
          <w:tcPr>
            <w:tcW w:w="1030" w:type="dxa"/>
            <w:vAlign w:val="center"/>
          </w:tcPr>
          <w:p w14:paraId="65D1B7BE" w14:textId="77777777" w:rsidR="00FC67BD" w:rsidRPr="00611B89" w:rsidRDefault="00932698" w:rsidP="007D7F51">
            <w:pPr>
              <w:jc w:val="center"/>
            </w:pPr>
            <w:r w:rsidRPr="00611B89">
              <w:t>27%</w:t>
            </w:r>
          </w:p>
        </w:tc>
        <w:tc>
          <w:tcPr>
            <w:tcW w:w="1082" w:type="dxa"/>
            <w:vAlign w:val="center"/>
          </w:tcPr>
          <w:p w14:paraId="3982D2A9" w14:textId="77777777" w:rsidR="00FC67BD" w:rsidRPr="00611B89" w:rsidRDefault="00932698" w:rsidP="007D7F51">
            <w:pPr>
              <w:jc w:val="center"/>
            </w:pPr>
            <w:r w:rsidRPr="00611B89">
              <w:t>11%</w:t>
            </w:r>
          </w:p>
        </w:tc>
        <w:tc>
          <w:tcPr>
            <w:tcW w:w="1110" w:type="dxa"/>
            <w:vAlign w:val="center"/>
          </w:tcPr>
          <w:p w14:paraId="6AD860AE" w14:textId="77777777" w:rsidR="00FC67BD" w:rsidRPr="00611B89" w:rsidRDefault="00932698" w:rsidP="007D7F51">
            <w:pPr>
              <w:jc w:val="center"/>
            </w:pPr>
            <w:r w:rsidRPr="00611B89">
              <w:t>13%</w:t>
            </w:r>
          </w:p>
        </w:tc>
        <w:tc>
          <w:tcPr>
            <w:tcW w:w="1032" w:type="dxa"/>
            <w:vAlign w:val="center"/>
          </w:tcPr>
          <w:p w14:paraId="0A01D166" w14:textId="77777777" w:rsidR="00FC67BD" w:rsidRPr="00611B89" w:rsidRDefault="00932698" w:rsidP="007D7F51">
            <w:pPr>
              <w:jc w:val="center"/>
            </w:pPr>
            <w:r w:rsidRPr="00611B89">
              <w:t>14%</w:t>
            </w:r>
          </w:p>
        </w:tc>
        <w:tc>
          <w:tcPr>
            <w:tcW w:w="1032" w:type="dxa"/>
            <w:vAlign w:val="center"/>
          </w:tcPr>
          <w:p w14:paraId="02CAF5F9" w14:textId="77777777" w:rsidR="00FC67BD" w:rsidRPr="00611B89" w:rsidRDefault="00932698" w:rsidP="007D7F51">
            <w:pPr>
              <w:jc w:val="center"/>
            </w:pPr>
            <w:r w:rsidRPr="00611B89">
              <w:t>6%</w:t>
            </w:r>
          </w:p>
        </w:tc>
        <w:tc>
          <w:tcPr>
            <w:tcW w:w="1032" w:type="dxa"/>
            <w:vAlign w:val="center"/>
          </w:tcPr>
          <w:p w14:paraId="3F4B029C" w14:textId="77777777" w:rsidR="00FC67BD" w:rsidRPr="00611B89" w:rsidRDefault="00FC67BD" w:rsidP="007D7F51">
            <w:pPr>
              <w:jc w:val="center"/>
            </w:pPr>
          </w:p>
        </w:tc>
        <w:tc>
          <w:tcPr>
            <w:tcW w:w="1032" w:type="dxa"/>
            <w:vAlign w:val="center"/>
          </w:tcPr>
          <w:p w14:paraId="3BAFFA82" w14:textId="77777777" w:rsidR="00FC67BD" w:rsidRPr="00611B89" w:rsidRDefault="00932698" w:rsidP="007D7F51">
            <w:pPr>
              <w:jc w:val="center"/>
            </w:pPr>
            <w:r w:rsidRPr="00611B89">
              <w:t>29%</w:t>
            </w:r>
          </w:p>
        </w:tc>
      </w:tr>
      <w:tr w:rsidR="00FC67BD" w:rsidRPr="00611B89" w14:paraId="7050F415" w14:textId="77777777" w:rsidTr="00FB151A">
        <w:trPr>
          <w:trHeight w:val="389"/>
          <w:jc w:val="center"/>
        </w:trPr>
        <w:tc>
          <w:tcPr>
            <w:tcW w:w="1513" w:type="dxa"/>
            <w:vAlign w:val="center"/>
          </w:tcPr>
          <w:p w14:paraId="10B0CE48" w14:textId="77777777" w:rsidR="00FC67BD" w:rsidRPr="00611B89" w:rsidRDefault="00FC67BD" w:rsidP="007D7F51">
            <w:pPr>
              <w:jc w:val="center"/>
            </w:pPr>
            <w:r w:rsidRPr="00611B89">
              <w:t>18</w:t>
            </w:r>
          </w:p>
        </w:tc>
        <w:tc>
          <w:tcPr>
            <w:tcW w:w="1030" w:type="dxa"/>
            <w:vAlign w:val="center"/>
          </w:tcPr>
          <w:p w14:paraId="69E666D0" w14:textId="77777777" w:rsidR="00FC67BD" w:rsidRPr="00611B89" w:rsidRDefault="00932698" w:rsidP="007D7F51">
            <w:pPr>
              <w:jc w:val="center"/>
            </w:pPr>
            <w:r w:rsidRPr="00611B89">
              <w:t>33%</w:t>
            </w:r>
          </w:p>
        </w:tc>
        <w:tc>
          <w:tcPr>
            <w:tcW w:w="1082" w:type="dxa"/>
            <w:vAlign w:val="center"/>
          </w:tcPr>
          <w:p w14:paraId="47031E6A" w14:textId="77777777" w:rsidR="00FC67BD" w:rsidRPr="00611B89" w:rsidRDefault="00932698" w:rsidP="007D7F51">
            <w:pPr>
              <w:jc w:val="center"/>
            </w:pPr>
            <w:r w:rsidRPr="00611B89">
              <w:t>10%</w:t>
            </w:r>
          </w:p>
        </w:tc>
        <w:tc>
          <w:tcPr>
            <w:tcW w:w="1110" w:type="dxa"/>
            <w:vAlign w:val="center"/>
          </w:tcPr>
          <w:p w14:paraId="5DB2B514" w14:textId="77777777" w:rsidR="00FC67BD" w:rsidRPr="00611B89" w:rsidRDefault="00932698" w:rsidP="007D7F51">
            <w:pPr>
              <w:jc w:val="center"/>
            </w:pPr>
            <w:r w:rsidRPr="00611B89">
              <w:t>11%</w:t>
            </w:r>
          </w:p>
        </w:tc>
        <w:tc>
          <w:tcPr>
            <w:tcW w:w="1032" w:type="dxa"/>
            <w:vAlign w:val="center"/>
          </w:tcPr>
          <w:p w14:paraId="2BD9A1AD" w14:textId="77777777" w:rsidR="00FC67BD" w:rsidRPr="00611B89" w:rsidRDefault="00932698" w:rsidP="007D7F51">
            <w:pPr>
              <w:jc w:val="center"/>
            </w:pPr>
            <w:r w:rsidRPr="00611B89">
              <w:t>15%</w:t>
            </w:r>
          </w:p>
        </w:tc>
        <w:tc>
          <w:tcPr>
            <w:tcW w:w="1032" w:type="dxa"/>
            <w:vAlign w:val="center"/>
          </w:tcPr>
          <w:p w14:paraId="571C226B" w14:textId="77777777" w:rsidR="00FC67BD" w:rsidRPr="00611B89" w:rsidRDefault="00932698" w:rsidP="007D7F51">
            <w:pPr>
              <w:jc w:val="center"/>
            </w:pPr>
            <w:r w:rsidRPr="00611B89">
              <w:t>17%</w:t>
            </w:r>
          </w:p>
        </w:tc>
        <w:tc>
          <w:tcPr>
            <w:tcW w:w="1032" w:type="dxa"/>
            <w:vAlign w:val="center"/>
          </w:tcPr>
          <w:p w14:paraId="6D614207" w14:textId="77777777" w:rsidR="00FC67BD" w:rsidRPr="00611B89" w:rsidRDefault="00932698" w:rsidP="007D7F51">
            <w:pPr>
              <w:jc w:val="center"/>
            </w:pPr>
            <w:r w:rsidRPr="00611B89">
              <w:t>0%</w:t>
            </w:r>
          </w:p>
        </w:tc>
        <w:tc>
          <w:tcPr>
            <w:tcW w:w="1032" w:type="dxa"/>
            <w:vAlign w:val="center"/>
          </w:tcPr>
          <w:p w14:paraId="472EFA9B" w14:textId="77777777" w:rsidR="00FC67BD" w:rsidRPr="00611B89" w:rsidRDefault="00932698" w:rsidP="007D7F51">
            <w:pPr>
              <w:jc w:val="center"/>
            </w:pPr>
            <w:r w:rsidRPr="00611B89">
              <w:t>14%</w:t>
            </w:r>
          </w:p>
        </w:tc>
      </w:tr>
    </w:tbl>
    <w:p w14:paraId="6CB0B96B" w14:textId="77777777" w:rsidR="008834D5" w:rsidRPr="00611B89" w:rsidRDefault="008834D5" w:rsidP="00874A17"/>
    <w:p w14:paraId="52C63E5F" w14:textId="0FDD63EF" w:rsidR="0015185F" w:rsidRPr="00611B89" w:rsidRDefault="00531C87" w:rsidP="00874A17">
      <w:r w:rsidRPr="00611B89">
        <w:t xml:space="preserve">We used </w:t>
      </w:r>
      <w:r w:rsidR="00CE1369" w:rsidRPr="00611B89">
        <w:t>approximate</w:t>
      </w:r>
      <w:r w:rsidRPr="00611B89">
        <w:t xml:space="preserve"> Bayesian computation </w:t>
      </w:r>
      <w:r w:rsidR="00AA5770" w:rsidRPr="00611B89">
        <w:t xml:space="preserve">(ABC) </w:t>
      </w:r>
      <w:r w:rsidRPr="00611B89">
        <w:t xml:space="preserve">to find the values of our two parameters that, when simulated with the selected population entry rates above, would come closest to generating this matrix of retrospective debut times in a population interviewed at these ages.  </w:t>
      </w:r>
      <w:r w:rsidR="001E30FA" w:rsidRPr="00611B89">
        <w:t>We used the Beaumont method for sequential ABC, as implem</w:t>
      </w:r>
      <w:r w:rsidR="00C06D1F" w:rsidRPr="00611B89">
        <w:t xml:space="preserve">ented in the R package </w:t>
      </w:r>
      <w:r w:rsidR="00C06D1F" w:rsidRPr="00611B89">
        <w:rPr>
          <w:i/>
        </w:rPr>
        <w:t>EasyABC</w:t>
      </w:r>
      <w:r w:rsidR="00C06D1F" w:rsidRPr="00611B89">
        <w:t xml:space="preserve">, with </w:t>
      </w:r>
      <w:r w:rsidR="001865D1" w:rsidRPr="00611B89">
        <w:t xml:space="preserve">uniform priors on the range (0,1) and (0, 0.002) for our two parameters, and </w:t>
      </w:r>
      <w:r w:rsidR="00C06D1F" w:rsidRPr="00611B89">
        <w:t>tolerance levels 1000, 100, and 75.</w:t>
      </w:r>
      <w:r w:rsidR="001865D1" w:rsidRPr="00611B89">
        <w:t xml:space="preserve"> </w:t>
      </w:r>
      <w:r w:rsidR="007A4DDA" w:rsidRPr="00611B89">
        <w:t xml:space="preserve">We used the mean of all non-rejected parameters </w:t>
      </w:r>
      <w:r w:rsidR="00BE10BD" w:rsidRPr="00611B89">
        <w:t>values</w:t>
      </w:r>
      <w:r w:rsidR="007A3E0F" w:rsidRPr="00611B89">
        <w:t xml:space="preserve"> </w:t>
      </w:r>
      <w:r w:rsidR="00603218" w:rsidRPr="00611B89">
        <w:t xml:space="preserve">as our final estimate, yielding a probability of AI debut at </w:t>
      </w:r>
      <w:r w:rsidR="00CE1369" w:rsidRPr="00611B89">
        <w:t>population</w:t>
      </w:r>
      <w:r w:rsidR="00603218" w:rsidRPr="00611B89">
        <w:t xml:space="preserve"> entry of 50.6%, and a weekly probability </w:t>
      </w:r>
      <w:r w:rsidR="00CE1369" w:rsidRPr="00611B89">
        <w:t>of</w:t>
      </w:r>
      <w:r w:rsidR="00603218" w:rsidRPr="00611B89">
        <w:t xml:space="preserve"> debut thereafter at 0.34%.</w:t>
      </w:r>
    </w:p>
    <w:p w14:paraId="1A53B022" w14:textId="77777777" w:rsidR="00603218" w:rsidRPr="00611B89" w:rsidRDefault="00603218" w:rsidP="00874A17"/>
    <w:p w14:paraId="1798D83A" w14:textId="289AACA8" w:rsidR="005E0CA3" w:rsidRPr="00611B89" w:rsidRDefault="00673EE6" w:rsidP="00874A17">
      <w:pPr>
        <w:pStyle w:val="Heading2"/>
        <w:numPr>
          <w:ilvl w:val="1"/>
          <w:numId w:val="1"/>
        </w:numPr>
        <w:spacing w:before="0" w:line="240" w:lineRule="auto"/>
        <w:rPr>
          <w:rFonts w:cs="Arial"/>
          <w:b/>
          <w:i w:val="0"/>
          <w:szCs w:val="22"/>
        </w:rPr>
      </w:pPr>
      <w:bookmarkStart w:id="6" w:name="_Toc479764835"/>
      <w:bookmarkStart w:id="7" w:name="_Toc479765048"/>
      <w:bookmarkStart w:id="8" w:name="_Toc479765560"/>
      <w:r w:rsidRPr="00611B89">
        <w:rPr>
          <w:rFonts w:cs="Arial"/>
          <w:b/>
          <w:i w:val="0"/>
          <w:szCs w:val="22"/>
        </w:rPr>
        <w:lastRenderedPageBreak/>
        <w:t>Sexual network</w:t>
      </w:r>
      <w:r w:rsidR="00141658" w:rsidRPr="00611B89">
        <w:rPr>
          <w:rFonts w:cs="Arial"/>
          <w:b/>
          <w:i w:val="0"/>
          <w:szCs w:val="22"/>
        </w:rPr>
        <w:t>s</w:t>
      </w:r>
      <w:bookmarkEnd w:id="6"/>
      <w:bookmarkEnd w:id="7"/>
      <w:bookmarkEnd w:id="8"/>
    </w:p>
    <w:p w14:paraId="5DABF4AC" w14:textId="77777777" w:rsidR="00903600" w:rsidRPr="00611B89" w:rsidRDefault="00903600" w:rsidP="00874A17"/>
    <w:p w14:paraId="28D64EE4" w14:textId="77777777" w:rsidR="001A00AF" w:rsidRPr="00611B89" w:rsidRDefault="002E7B98" w:rsidP="00874A17">
      <w:r w:rsidRPr="00611B89">
        <w:t>We reduced the number of different rel</w:t>
      </w:r>
      <w:r w:rsidR="00512DFB" w:rsidRPr="00611B89">
        <w:t>a</w:t>
      </w:r>
      <w:r w:rsidRPr="00611B89">
        <w:t xml:space="preserve">tional networks being modeled from three to one.  </w:t>
      </w:r>
      <w:r w:rsidR="0034194E" w:rsidRPr="00611B89">
        <w:t xml:space="preserve">Sections 1.2.1 – 1.2.3 describe specific </w:t>
      </w:r>
      <w:r w:rsidR="000302DB" w:rsidRPr="00611B89">
        <w:t xml:space="preserve">features and </w:t>
      </w:r>
      <w:r w:rsidR="0034194E" w:rsidRPr="00611B89">
        <w:t xml:space="preserve">parameters pertaining to </w:t>
      </w:r>
      <w:r w:rsidR="007C148F" w:rsidRPr="00611B89">
        <w:t xml:space="preserve">the structure of this </w:t>
      </w:r>
      <w:r w:rsidR="0034194E" w:rsidRPr="00611B89">
        <w:t>network.</w:t>
      </w:r>
    </w:p>
    <w:p w14:paraId="409D4397" w14:textId="77777777" w:rsidR="00655B52" w:rsidRPr="00611B89" w:rsidRDefault="00655B52" w:rsidP="00874A17">
      <w:pPr>
        <w:pStyle w:val="Heading3"/>
        <w:spacing w:before="0"/>
        <w:rPr>
          <w:rFonts w:ascii="Arial" w:hAnsi="Arial" w:cs="Arial"/>
          <w:i/>
          <w:color w:val="000000" w:themeColor="text1"/>
          <w:sz w:val="22"/>
          <w:szCs w:val="22"/>
        </w:rPr>
      </w:pPr>
    </w:p>
    <w:p w14:paraId="68A71FCB" w14:textId="2BFFC6B2" w:rsidR="00FC5C77" w:rsidRPr="00611B89" w:rsidRDefault="00FC5C77">
      <w:pPr>
        <w:rPr>
          <w:rFonts w:eastAsiaTheme="majorEastAsia"/>
          <w:b/>
          <w:color w:val="000000" w:themeColor="text1"/>
        </w:rPr>
      </w:pPr>
      <w:bookmarkStart w:id="9" w:name="_Toc479764836"/>
      <w:bookmarkStart w:id="10" w:name="_Toc479765049"/>
      <w:bookmarkStart w:id="11" w:name="_Toc479765561"/>
    </w:p>
    <w:p w14:paraId="6C36CB9F" w14:textId="11439490" w:rsidR="001A00AF" w:rsidRPr="00611B89" w:rsidRDefault="00655B52" w:rsidP="00874A17">
      <w:pPr>
        <w:pStyle w:val="Heading3"/>
        <w:spacing w:before="0"/>
        <w:rPr>
          <w:rFonts w:ascii="Arial" w:hAnsi="Arial" w:cs="Arial"/>
          <w:b/>
          <w:sz w:val="22"/>
          <w:szCs w:val="22"/>
        </w:rPr>
      </w:pPr>
      <w:r w:rsidRPr="00611B89">
        <w:rPr>
          <w:rFonts w:ascii="Arial" w:hAnsi="Arial" w:cs="Arial"/>
          <w:b/>
          <w:color w:val="000000" w:themeColor="text1"/>
          <w:sz w:val="22"/>
          <w:szCs w:val="22"/>
        </w:rPr>
        <w:t xml:space="preserve">1.2.1 </w:t>
      </w:r>
      <w:r w:rsidR="0034194E" w:rsidRPr="00611B89">
        <w:rPr>
          <w:rFonts w:ascii="Arial" w:hAnsi="Arial" w:cs="Arial"/>
          <w:b/>
          <w:color w:val="000000" w:themeColor="text1"/>
          <w:sz w:val="22"/>
          <w:szCs w:val="22"/>
        </w:rPr>
        <w:t>Momentary degree</w:t>
      </w:r>
      <w:bookmarkEnd w:id="9"/>
      <w:bookmarkEnd w:id="10"/>
      <w:bookmarkEnd w:id="11"/>
    </w:p>
    <w:p w14:paraId="0D2E95D1" w14:textId="77777777" w:rsidR="00655B52" w:rsidRPr="00611B89" w:rsidRDefault="00655B52" w:rsidP="00874A17"/>
    <w:p w14:paraId="4F361A90" w14:textId="3DC06987" w:rsidR="00141658" w:rsidRPr="00611B89" w:rsidRDefault="002E47F9" w:rsidP="003E4F12">
      <w:r w:rsidRPr="00611B89">
        <w:t xml:space="preserve">The model is expressed in terms of momentary degrees (number of </w:t>
      </w:r>
      <w:r w:rsidR="00AB096D" w:rsidRPr="00611B89">
        <w:t xml:space="preserve">ASMM </w:t>
      </w:r>
      <w:r w:rsidRPr="00611B89">
        <w:t xml:space="preserve">partners </w:t>
      </w:r>
      <w:r w:rsidR="001E509F" w:rsidRPr="00611B89">
        <w:t xml:space="preserve">per person </w:t>
      </w:r>
      <w:r w:rsidRPr="00611B89">
        <w:t>at a given point in time)</w:t>
      </w:r>
      <w:r w:rsidR="004F66F8" w:rsidRPr="00611B89">
        <w:t>.  Based on reports from Halkitis 2013</w:t>
      </w:r>
      <w:r w:rsidR="00AC14A8">
        <w:t xml:space="preserve"> </w:t>
      </w:r>
      <w:r w:rsidR="00535095" w:rsidRPr="00611B89">
        <w:fldChar w:fldCharType="begin">
          <w:fldData xml:space="preserve">PEVuZE5vdGU+PENpdGU+PEF1dGhvcj5IYWxraXRpczwvQXV0aG9yPjxZZWFyPjIwMTM8L1llYXI+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</w:fldData>
        </w:fldChar>
      </w:r>
      <w:r w:rsidR="003E4F12">
        <w:instrText xml:space="preserve"> ADDIN EN.CITE </w:instrText>
      </w:r>
      <w:r w:rsidR="003E4F12">
        <w:fldChar w:fldCharType="begin">
          <w:fldData xml:space="preserve">PEVuZE5vdGU+PENpdGU+PEF1dGhvcj5IYWxraXRpczwvQXV0aG9yPjxZZWFyPjIwMTM8L1llYXI+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</w:fldData>
        </w:fldChar>
      </w:r>
      <w:r w:rsidR="003E4F12">
        <w:instrText xml:space="preserve"> ADDIN EN.CITE.DATA </w:instrText>
      </w:r>
      <w:r w:rsidR="003E4F12">
        <w:fldChar w:fldCharType="end"/>
      </w:r>
      <w:r w:rsidR="00535095" w:rsidRPr="00611B89">
        <w:fldChar w:fldCharType="separate"/>
      </w:r>
      <w:r w:rsidR="003E4F12">
        <w:rPr>
          <w:noProof/>
        </w:rPr>
        <w:t>(3)</w:t>
      </w:r>
      <w:r w:rsidR="00535095" w:rsidRPr="00611B89">
        <w:fldChar w:fldCharType="end"/>
      </w:r>
      <w:r w:rsidR="00AC14A8">
        <w:t>,</w:t>
      </w:r>
      <w:r w:rsidR="004F66F8" w:rsidRPr="00611B89">
        <w:t xml:space="preserve"> 27% of </w:t>
      </w:r>
      <w:r w:rsidR="00D22BA4" w:rsidRPr="00611B89">
        <w:t xml:space="preserve">sexually active </w:t>
      </w:r>
      <w:r w:rsidR="004F66F8" w:rsidRPr="00611B89">
        <w:t>ASMM are in a male-male relations</w:t>
      </w:r>
      <w:r w:rsidR="00D22BA4" w:rsidRPr="00611B89">
        <w:t xml:space="preserve">hips at any given time.  The </w:t>
      </w:r>
      <w:r w:rsidR="00076E47" w:rsidRPr="00611B89">
        <w:t>0</w:t>
      </w:r>
      <w:r w:rsidR="00D22BA4" w:rsidRPr="00611B89">
        <w:t>.27</w:t>
      </w:r>
      <w:r w:rsidR="004F66F8" w:rsidRPr="00611B89">
        <w:t xml:space="preserve"> </w:t>
      </w:r>
      <w:r w:rsidR="00D22BA4" w:rsidRPr="00611B89">
        <w:t xml:space="preserve">mean degree </w:t>
      </w:r>
      <w:r w:rsidR="004F66F8" w:rsidRPr="00611B89">
        <w:t>set the target mean degree</w:t>
      </w:r>
      <w:r w:rsidR="00D22BA4" w:rsidRPr="00611B89">
        <w:t xml:space="preserve"> for sexually active ASMM.  In this model of adolescents not all member</w:t>
      </w:r>
      <w:r w:rsidR="004C7F92" w:rsidRPr="00611B89">
        <w:t>s</w:t>
      </w:r>
      <w:r w:rsidR="00D22BA4" w:rsidRPr="00611B89">
        <w:t xml:space="preserve"> of the population are active (see section 1.1).  Thus, at the population level, including the proportion </w:t>
      </w:r>
      <w:r w:rsidR="000038F1" w:rsidRPr="00611B89">
        <w:t xml:space="preserve">of ASMM </w:t>
      </w:r>
      <w:r w:rsidR="00D22BA4" w:rsidRPr="00611B89">
        <w:t xml:space="preserve">that are not sexually active, the </w:t>
      </w:r>
      <w:r w:rsidR="004C7F92" w:rsidRPr="00611B89">
        <w:t xml:space="preserve">adjusted </w:t>
      </w:r>
      <w:r w:rsidR="00D22BA4" w:rsidRPr="00611B89">
        <w:t xml:space="preserve">mean degree is </w:t>
      </w:r>
      <w:r w:rsidR="00076E47" w:rsidRPr="00611B89">
        <w:t>0</w:t>
      </w:r>
      <w:r w:rsidR="00D22BA4" w:rsidRPr="00611B89">
        <w:t xml:space="preserve">.162.  </w:t>
      </w:r>
      <w:r w:rsidR="004F66F8" w:rsidRPr="00611B89">
        <w:t>In order to account for heterogeneity in sexual activity</w:t>
      </w:r>
      <w:r w:rsidR="00B1403A" w:rsidRPr="00611B89">
        <w:t xml:space="preserve">, we model five </w:t>
      </w:r>
      <w:r w:rsidR="00357A2A" w:rsidRPr="00611B89">
        <w:t xml:space="preserve">risk </w:t>
      </w:r>
      <w:r w:rsidR="00B1403A" w:rsidRPr="00611B89">
        <w:t xml:space="preserve">groups, consistent with </w:t>
      </w:r>
      <w:r w:rsidR="00711ACA" w:rsidRPr="00611B89">
        <w:t xml:space="preserve">our previously published </w:t>
      </w:r>
      <w:r w:rsidR="00AC14A8">
        <w:t xml:space="preserve">adult model </w:t>
      </w:r>
      <w:r w:rsidR="00D72FFE" w:rsidRPr="00611B89">
        <w:fldChar w:fldCharType="begin"/>
      </w:r>
      <w:r w:rsidR="00D016FA">
        <w:instrText xml:space="preserve"> ADDIN EN.CITE &lt;EndNote&gt;&lt;Cite&gt;&lt;Author&gt;Jenness&lt;/Author&gt;&lt;Year&gt;2016&lt;/Year&gt;&lt;RecNum&gt;13&lt;/RecNum&gt;&lt;DisplayText&gt;(1)&lt;/DisplayText&gt;&lt;record&gt;&lt;rec-number&gt;13&lt;/rec-number&gt;&lt;foreign-keys&gt;&lt;key app="EN" db-id="xvdv2sspezx5x4ew22qv2waqev0p25tsetrx" timestamp="0"&gt;13&lt;/key&gt;&lt;/foreign-keys&gt;&lt;ref-type name="Journal Article"&gt;17&lt;/ref-type&gt;&lt;contributors&gt;&lt;authors&gt;&lt;author&gt;Jenness, S. M.&lt;/author&gt;&lt;author&gt;Goodreau, S. M.&lt;/author&gt;&lt;author&gt;Rosenberg, E.&lt;/author&gt;&lt;author&gt;Beylerian, E. N.&lt;/author&gt;&lt;author&gt;Hoover, K. W.&lt;/author&gt;&lt;author&gt;Smith, D. K.&lt;/author&gt;&lt;author&gt;Sullivan, P.&lt;/author&gt;&lt;/authors&gt;&lt;/contributors&gt;&lt;auth-address&gt;Department of Epidemiology.&amp;#xD;Department of Anthropology.&amp;#xD;Center for Studies in Demography and Ecology, University of Washington, Seattle.&amp;#xD;Division of HIV/AIDS Prevention, Centers for Disease Control and Prevention, Atlanta, Georgia.&amp;#xD;Department of Epidemiology Department of Global Health, Emory University.&lt;/auth-address&gt;&lt;titles&gt;&lt;title&gt;Impact of the Centers for Disease Control&amp;apos;s HIV Preexposure Prophylaxis Guidelines for Men Who Have Sex With Men in the United States&lt;/title&gt;&lt;secondary-title&gt;J Infect Dis&lt;/secondary-title&gt;&lt;alt-title&gt;The Journal of infectious diseases&lt;/alt-title&gt;&lt;/titles&gt;&lt;periodical&gt;&lt;full-title&gt;J Infect Dis&lt;/full-title&gt;&lt;/periodical&gt;&lt;dates&gt;&lt;year&gt;2016&lt;/year&gt;&lt;pub-dates&gt;&lt;date&gt;Jul 14&lt;/date&gt;&lt;/pub-dates&gt;&lt;/dates&gt;&lt;isbn&gt;1537-6613 (Electronic)&amp;#xD;0022-1899 (Linking)&lt;/isbn&gt;&lt;accession-num&gt;27418048&lt;/accession-num&gt;&lt;urls&gt;&lt;related-urls&gt;&lt;url&gt;http://www.ncbi.nlm.nih.gov/pubmed/27418048&lt;/url&gt;&lt;/related-urls&gt;&lt;/urls&gt;&lt;electronic-resource-num&gt;10.1093/infdis/jiw223&lt;/electronic-resource-num&gt;&lt;/record&gt;&lt;/Cite&gt;&lt;/EndNote&gt;</w:instrText>
      </w:r>
      <w:r w:rsidR="00D72FFE" w:rsidRPr="00611B89">
        <w:fldChar w:fldCharType="separate"/>
      </w:r>
      <w:r w:rsidR="00D016FA">
        <w:rPr>
          <w:noProof/>
        </w:rPr>
        <w:t>(1)</w:t>
      </w:r>
      <w:r w:rsidR="00D72FFE" w:rsidRPr="00611B89">
        <w:fldChar w:fldCharType="end"/>
      </w:r>
      <w:r w:rsidR="00AC14A8">
        <w:t>.</w:t>
      </w:r>
      <w:r w:rsidR="004F66F8" w:rsidRPr="00611B89">
        <w:t xml:space="preserve"> </w:t>
      </w:r>
      <w:r w:rsidR="00A858E1" w:rsidRPr="00611B89">
        <w:t>For these, t</w:t>
      </w:r>
      <w:r w:rsidR="004F66F8" w:rsidRPr="00611B89">
        <w:t xml:space="preserve">he </w:t>
      </w:r>
      <w:r w:rsidR="00EE41AC" w:rsidRPr="00611B89">
        <w:t>propensity to form p</w:t>
      </w:r>
      <w:r w:rsidR="004F66F8" w:rsidRPr="00611B89">
        <w:t>artnership</w:t>
      </w:r>
      <w:r w:rsidR="00EE41AC" w:rsidRPr="00611B89">
        <w:t>s</w:t>
      </w:r>
      <w:r w:rsidR="004F66F8" w:rsidRPr="00611B89">
        <w:t xml:space="preserve"> was weighted </w:t>
      </w:r>
      <w:r w:rsidR="00E31620" w:rsidRPr="00611B89">
        <w:t xml:space="preserve">by </w:t>
      </w:r>
      <w:r w:rsidR="00EE41AC" w:rsidRPr="00611B89">
        <w:t xml:space="preserve">the </w:t>
      </w:r>
      <w:r w:rsidR="004F66F8" w:rsidRPr="00611B89">
        <w:t xml:space="preserve">quintile distribution of </w:t>
      </w:r>
      <w:r w:rsidR="00771484" w:rsidRPr="00611B89">
        <w:t xml:space="preserve">the </w:t>
      </w:r>
      <w:r w:rsidR="004F66F8" w:rsidRPr="00611B89">
        <w:t xml:space="preserve">number of anal sex partners reported in the last year </w:t>
      </w:r>
      <w:r w:rsidR="00E74BE4" w:rsidRPr="00611B89">
        <w:t xml:space="preserve">by ASMM </w:t>
      </w:r>
      <w:r w:rsidR="004F66F8" w:rsidRPr="00611B89">
        <w:t>in the A</w:t>
      </w:r>
      <w:r w:rsidR="001F767C" w:rsidRPr="00611B89">
        <w:t xml:space="preserve">merican </w:t>
      </w:r>
      <w:r w:rsidR="004F66F8" w:rsidRPr="00611B89">
        <w:t>M</w:t>
      </w:r>
      <w:r w:rsidR="001F767C" w:rsidRPr="00611B89">
        <w:t xml:space="preserve">en’s </w:t>
      </w:r>
      <w:r w:rsidR="004F66F8" w:rsidRPr="00611B89">
        <w:t>I</w:t>
      </w:r>
      <w:r w:rsidR="001F767C" w:rsidRPr="00611B89">
        <w:t xml:space="preserve">nternet </w:t>
      </w:r>
      <w:r w:rsidR="004F66F8" w:rsidRPr="00611B89">
        <w:t>S</w:t>
      </w:r>
      <w:r w:rsidR="001F767C" w:rsidRPr="00611B89">
        <w:t>urvey</w:t>
      </w:r>
      <w:r w:rsidR="00AC14A8">
        <w:t xml:space="preserve">, or AMIS </w:t>
      </w:r>
      <w:r w:rsidR="00CA6DDD" w:rsidRPr="00611B89">
        <w:fldChar w:fldCharType="begin"/>
      </w:r>
      <w:r w:rsidR="00D016FA">
        <w:instrText xml:space="preserve"> ADDIN EN.CITE &lt;EndNote&gt;&lt;Cite&gt;&lt;Author&gt;Sanchez&lt;/Author&gt;&lt;Year&gt;2016&lt;/Year&gt;&lt;RecNum&gt;21&lt;/RecNum&gt;&lt;DisplayText&gt;(4)&lt;/DisplayText&gt;&lt;record&gt;&lt;rec-number&gt;21&lt;/rec-number&gt;&lt;foreign-keys&gt;&lt;key app="EN" db-id="xvdv2sspezx5x4ew22qv2waqev0p25tsetrx" timestamp="0"&gt;21&lt;/key&gt;&lt;/foreign-keys&gt;&lt;ref-type name="Journal Article"&gt;17&lt;/ref-type&gt;&lt;contributors&gt;&lt;authors&gt;&lt;author&gt;Sanchez, T.&lt;/author&gt;&lt;author&gt;Zlotorzynska, M.&lt;/author&gt;&lt;author&gt;Sineath, C.&lt;/author&gt;&lt;author&gt;Kahle, E.&lt;/author&gt;&lt;author&gt;Sullivan, P.&lt;/author&gt;&lt;/authors&gt;&lt;/contributors&gt;&lt;auth-address&gt;Emory University, Rollins School of Public Health, Atlanta, GA, United States. Travis.Sanchez@emory.edu.&lt;/auth-address&gt;&lt;titles&gt;&lt;title&gt;The Annual American Men&amp;apos;s Internet Survey of Behaviors of Men Who have Sex with Men in the United States: 2014 Key Indicators Report&lt;/title&gt;&lt;secondary-title&gt;JMIR Public Health Surveill&lt;/secondary-title&gt;&lt;/titles&gt;&lt;periodical&gt;&lt;full-title&gt;JMIR Public Health Surveill&lt;/full-title&gt;&lt;/periodical&gt;&lt;pages&gt;e23&lt;/pages&gt;&lt;volume&gt;2&lt;/volume&gt;&lt;number&gt;1&lt;/number&gt;&lt;keywords&gt;&lt;keyword&gt;Hiv&lt;/keyword&gt;&lt;keyword&gt;Internet&lt;/keyword&gt;&lt;keyword&gt;Msm&lt;/keyword&gt;&lt;keyword&gt;Std&lt;/keyword&gt;&lt;keyword&gt;bisexual&lt;/keyword&gt;&lt;keyword&gt;gay&lt;/keyword&gt;&lt;keyword&gt;homosexual&lt;/keyword&gt;&lt;keyword&gt;surveillance&lt;/keyword&gt;&lt;keyword&gt;survey&lt;/keyword&gt;&lt;/keywords&gt;&lt;dates&gt;&lt;year&gt;2016&lt;/year&gt;&lt;/dates&gt;&lt;isbn&gt;2369-2960 (Electronic)&amp;#xD;2369-2960 (Linking)&lt;/isbn&gt;&lt;accession-num&gt;27244770&lt;/accession-num&gt;&lt;urls&gt;&lt;related-urls&gt;&lt;url&gt;http://www.ncbi.nlm.nih.gov/pubmed/27244770&lt;/url&gt;&lt;/related-urls&gt;&lt;/urls&gt;&lt;custom2&gt;PMC4909387&lt;/custom2&gt;&lt;electronic-resource-num&gt;10.2196/publichealth.5476&lt;/electronic-resource-num&gt;&lt;/record&gt;&lt;/Cite&gt;&lt;/EndNote&gt;</w:instrText>
      </w:r>
      <w:r w:rsidR="00CA6DDD" w:rsidRPr="00611B89">
        <w:fldChar w:fldCharType="separate"/>
      </w:r>
      <w:r w:rsidR="00D016FA">
        <w:rPr>
          <w:noProof/>
        </w:rPr>
        <w:t>(4)</w:t>
      </w:r>
      <w:r w:rsidR="00CA6DDD" w:rsidRPr="00611B89">
        <w:fldChar w:fldCharType="end"/>
      </w:r>
      <w:r w:rsidR="00AC14A8">
        <w:t>,</w:t>
      </w:r>
      <w:r w:rsidR="00D846F5" w:rsidRPr="00611B89">
        <w:t xml:space="preserve"> </w:t>
      </w:r>
      <w:r w:rsidR="004F66F8" w:rsidRPr="00611B89">
        <w:t>T</w:t>
      </w:r>
      <w:r w:rsidR="00141658" w:rsidRPr="00611B89">
        <w:t>he par</w:t>
      </w:r>
      <w:r w:rsidR="004A459F" w:rsidRPr="00611B89">
        <w:t>a</w:t>
      </w:r>
      <w:r w:rsidR="00141658" w:rsidRPr="00611B89">
        <w:t xml:space="preserve">meters </w:t>
      </w:r>
      <w:r w:rsidR="001021C7" w:rsidRPr="00611B89">
        <w:t xml:space="preserve">for momentary degree among </w:t>
      </w:r>
      <w:r w:rsidR="00CE1369" w:rsidRPr="00611B89">
        <w:t>sexually</w:t>
      </w:r>
      <w:r w:rsidR="001021C7" w:rsidRPr="00611B89">
        <w:t xml:space="preserve"> active ASMM </w:t>
      </w:r>
      <w:r w:rsidR="00514D63" w:rsidRPr="00611B89">
        <w:t xml:space="preserve">guiding </w:t>
      </w:r>
      <w:r w:rsidR="00141658" w:rsidRPr="00611B89">
        <w:t>t</w:t>
      </w:r>
      <w:r w:rsidR="00305F2D" w:rsidRPr="00611B89">
        <w:t>his model are</w:t>
      </w:r>
      <w:r w:rsidR="00CC4A3F" w:rsidRPr="00611B89">
        <w:t>:</w:t>
      </w:r>
    </w:p>
    <w:p w14:paraId="6E7B9386" w14:textId="77777777" w:rsidR="00FC5C77" w:rsidRPr="00611B89" w:rsidRDefault="00FC5C77" w:rsidP="00874A17"/>
    <w:p w14:paraId="2207F394" w14:textId="002E2857" w:rsidR="007045DC" w:rsidRPr="00611B89" w:rsidRDefault="007045DC" w:rsidP="00CC4A3F">
      <w:pPr>
        <w:rPr>
          <w:b/>
        </w:rPr>
      </w:pPr>
    </w:p>
    <w:tbl>
      <w:tblPr>
        <w:tblStyle w:val="TableGrid"/>
        <w:tblW w:w="4720" w:type="dxa"/>
        <w:jc w:val="center"/>
        <w:tblLook w:val="04A0" w:firstRow="1" w:lastRow="0" w:firstColumn="1" w:lastColumn="0" w:noHBand="0" w:noVBand="1"/>
      </w:tblPr>
      <w:tblGrid>
        <w:gridCol w:w="1890"/>
        <w:gridCol w:w="2830"/>
      </w:tblGrid>
      <w:tr w:rsidR="004C7F92" w:rsidRPr="00611B89" w14:paraId="7804DFE6" w14:textId="77777777" w:rsidTr="007D7F51">
        <w:trPr>
          <w:trHeight w:val="389"/>
          <w:jc w:val="center"/>
        </w:trPr>
        <w:tc>
          <w:tcPr>
            <w:tcW w:w="1890" w:type="dxa"/>
            <w:shd w:val="clear" w:color="auto" w:fill="F2F2F2" w:themeFill="background1" w:themeFillShade="F2"/>
            <w:vAlign w:val="center"/>
          </w:tcPr>
          <w:p w14:paraId="26182D7D" w14:textId="77777777" w:rsidR="004C7F92" w:rsidRPr="00611B89" w:rsidRDefault="004C7F92" w:rsidP="007D7F51">
            <w:pPr>
              <w:jc w:val="center"/>
              <w:rPr>
                <w:b/>
              </w:rPr>
            </w:pPr>
            <w:r w:rsidRPr="00611B89">
              <w:rPr>
                <w:b/>
              </w:rPr>
              <w:t>Quintile</w:t>
            </w:r>
          </w:p>
        </w:tc>
        <w:tc>
          <w:tcPr>
            <w:tcW w:w="2830" w:type="dxa"/>
            <w:shd w:val="clear" w:color="auto" w:fill="F2F2F2" w:themeFill="background1" w:themeFillShade="F2"/>
            <w:vAlign w:val="center"/>
          </w:tcPr>
          <w:p w14:paraId="0895DB25" w14:textId="1C25BE66" w:rsidR="004C7F92" w:rsidRPr="00611B89" w:rsidRDefault="004C7F92" w:rsidP="007D7F51">
            <w:pPr>
              <w:jc w:val="center"/>
              <w:rPr>
                <w:b/>
              </w:rPr>
            </w:pPr>
            <w:r w:rsidRPr="00611B89">
              <w:rPr>
                <w:b/>
              </w:rPr>
              <w:t>Mean m</w:t>
            </w:r>
            <w:r w:rsidR="00EB06F7" w:rsidRPr="00611B89">
              <w:rPr>
                <w:b/>
              </w:rPr>
              <w:t>omen</w:t>
            </w:r>
            <w:r w:rsidRPr="00611B89">
              <w:rPr>
                <w:b/>
              </w:rPr>
              <w:t>tary degree</w:t>
            </w:r>
          </w:p>
        </w:tc>
      </w:tr>
      <w:tr w:rsidR="004C7F92" w:rsidRPr="00611B89" w14:paraId="4366C9AC" w14:textId="77777777" w:rsidTr="00270F45">
        <w:trPr>
          <w:trHeight w:val="389"/>
          <w:jc w:val="center"/>
        </w:trPr>
        <w:tc>
          <w:tcPr>
            <w:tcW w:w="1890" w:type="dxa"/>
            <w:shd w:val="clear" w:color="auto" w:fill="auto"/>
            <w:vAlign w:val="center"/>
          </w:tcPr>
          <w:p w14:paraId="6E0E6301" w14:textId="77777777" w:rsidR="004C7F92" w:rsidRPr="00611B89" w:rsidRDefault="004C7F92" w:rsidP="007D7F51">
            <w:pPr>
              <w:jc w:val="center"/>
            </w:pPr>
            <w:r w:rsidRPr="00611B89">
              <w:t>Lowest quintile</w:t>
            </w:r>
          </w:p>
        </w:tc>
        <w:tc>
          <w:tcPr>
            <w:tcW w:w="2830" w:type="dxa"/>
            <w:shd w:val="clear" w:color="auto" w:fill="auto"/>
            <w:vAlign w:val="center"/>
          </w:tcPr>
          <w:p w14:paraId="38F8FF4C" w14:textId="77777777" w:rsidR="004C7F92" w:rsidRPr="00611B89" w:rsidRDefault="00D95550" w:rsidP="007D7F51">
            <w:pPr>
              <w:jc w:val="center"/>
            </w:pPr>
            <w:r w:rsidRPr="00611B89">
              <w:t>0</w:t>
            </w:r>
            <w:r w:rsidR="005B16C5" w:rsidRPr="00611B89">
              <w:t>.054</w:t>
            </w:r>
          </w:p>
        </w:tc>
      </w:tr>
      <w:tr w:rsidR="004C7F92" w:rsidRPr="00611B89" w14:paraId="7EB33834" w14:textId="77777777" w:rsidTr="004C7F92">
        <w:trPr>
          <w:trHeight w:val="389"/>
          <w:jc w:val="center"/>
        </w:trPr>
        <w:tc>
          <w:tcPr>
            <w:tcW w:w="1890" w:type="dxa"/>
            <w:vAlign w:val="center"/>
          </w:tcPr>
          <w:p w14:paraId="595394C3" w14:textId="77777777" w:rsidR="004C7F92" w:rsidRPr="00611B89" w:rsidRDefault="004C7F92" w:rsidP="007D7F51">
            <w:pPr>
              <w:jc w:val="center"/>
            </w:pPr>
            <w:r w:rsidRPr="00611B89">
              <w:t>Second quintile</w:t>
            </w:r>
          </w:p>
        </w:tc>
        <w:tc>
          <w:tcPr>
            <w:tcW w:w="2830" w:type="dxa"/>
            <w:vAlign w:val="center"/>
          </w:tcPr>
          <w:p w14:paraId="767EEF67" w14:textId="77777777" w:rsidR="004C7F92" w:rsidRPr="00611B89" w:rsidRDefault="00D95550" w:rsidP="007D7F51">
            <w:pPr>
              <w:jc w:val="center"/>
            </w:pPr>
            <w:r w:rsidRPr="00611B89">
              <w:t>0</w:t>
            </w:r>
            <w:r w:rsidR="005B16C5" w:rsidRPr="00611B89">
              <w:t>.106</w:t>
            </w:r>
          </w:p>
        </w:tc>
      </w:tr>
      <w:tr w:rsidR="004C7F92" w:rsidRPr="00611B89" w14:paraId="6E5A1464" w14:textId="77777777" w:rsidTr="004C7F92">
        <w:trPr>
          <w:trHeight w:val="389"/>
          <w:jc w:val="center"/>
        </w:trPr>
        <w:tc>
          <w:tcPr>
            <w:tcW w:w="1890" w:type="dxa"/>
            <w:vAlign w:val="center"/>
          </w:tcPr>
          <w:p w14:paraId="3C801169" w14:textId="77777777" w:rsidR="004C7F92" w:rsidRPr="00611B89" w:rsidRDefault="004C7F92" w:rsidP="007D7F51">
            <w:pPr>
              <w:jc w:val="center"/>
            </w:pPr>
            <w:r w:rsidRPr="00611B89">
              <w:t>Third quintile</w:t>
            </w:r>
          </w:p>
        </w:tc>
        <w:tc>
          <w:tcPr>
            <w:tcW w:w="2830" w:type="dxa"/>
            <w:vAlign w:val="center"/>
          </w:tcPr>
          <w:p w14:paraId="1828BFFD" w14:textId="77777777" w:rsidR="004C7F92" w:rsidRPr="00611B89" w:rsidRDefault="00D95550" w:rsidP="007D7F51">
            <w:pPr>
              <w:jc w:val="center"/>
            </w:pPr>
            <w:r w:rsidRPr="00611B89">
              <w:t>0</w:t>
            </w:r>
            <w:r w:rsidR="005B16C5" w:rsidRPr="00611B89">
              <w:t>.161</w:t>
            </w:r>
          </w:p>
        </w:tc>
      </w:tr>
      <w:tr w:rsidR="004C7F92" w:rsidRPr="00611B89" w14:paraId="34701B8B" w14:textId="77777777" w:rsidTr="00192F66">
        <w:trPr>
          <w:trHeight w:val="389"/>
          <w:jc w:val="center"/>
        </w:trPr>
        <w:tc>
          <w:tcPr>
            <w:tcW w:w="1890" w:type="dxa"/>
            <w:tcBorders>
              <w:bottom w:val="single" w:sz="4" w:space="0" w:color="auto"/>
            </w:tcBorders>
            <w:vAlign w:val="center"/>
          </w:tcPr>
          <w:p w14:paraId="10CD251C" w14:textId="77777777" w:rsidR="004C7F92" w:rsidRPr="00611B89" w:rsidRDefault="004C7F92" w:rsidP="007D7F51">
            <w:pPr>
              <w:jc w:val="center"/>
            </w:pPr>
            <w:r w:rsidRPr="00611B89">
              <w:t>Fourth quintile</w:t>
            </w:r>
          </w:p>
        </w:tc>
        <w:tc>
          <w:tcPr>
            <w:tcW w:w="2830" w:type="dxa"/>
            <w:tcBorders>
              <w:bottom w:val="single" w:sz="4" w:space="0" w:color="auto"/>
            </w:tcBorders>
            <w:vAlign w:val="center"/>
          </w:tcPr>
          <w:p w14:paraId="2915627D" w14:textId="77777777" w:rsidR="004C7F92" w:rsidRPr="00611B89" w:rsidRDefault="00D95550" w:rsidP="007D7F51">
            <w:pPr>
              <w:jc w:val="center"/>
            </w:pPr>
            <w:r w:rsidRPr="00611B89">
              <w:t>0</w:t>
            </w:r>
            <w:r w:rsidR="005B16C5" w:rsidRPr="00611B89">
              <w:t>.247</w:t>
            </w:r>
          </w:p>
        </w:tc>
      </w:tr>
      <w:tr w:rsidR="004C7F92" w:rsidRPr="00611B89" w14:paraId="0FA1C287" w14:textId="77777777" w:rsidTr="00192F66">
        <w:trPr>
          <w:trHeight w:val="389"/>
          <w:jc w:val="center"/>
        </w:trPr>
        <w:tc>
          <w:tcPr>
            <w:tcW w:w="1890" w:type="dxa"/>
            <w:tcBorders>
              <w:bottom w:val="single" w:sz="12" w:space="0" w:color="auto"/>
            </w:tcBorders>
            <w:vAlign w:val="center"/>
          </w:tcPr>
          <w:p w14:paraId="4BDD7DEF" w14:textId="77777777" w:rsidR="004C7F92" w:rsidRPr="00611B89" w:rsidRDefault="004C7F92" w:rsidP="007D7F51">
            <w:pPr>
              <w:jc w:val="center"/>
            </w:pPr>
            <w:r w:rsidRPr="00611B89">
              <w:t>Highest quintile</w:t>
            </w:r>
          </w:p>
        </w:tc>
        <w:tc>
          <w:tcPr>
            <w:tcW w:w="2830" w:type="dxa"/>
            <w:tcBorders>
              <w:bottom w:val="single" w:sz="12" w:space="0" w:color="auto"/>
            </w:tcBorders>
            <w:vAlign w:val="center"/>
          </w:tcPr>
          <w:p w14:paraId="0B351CE2" w14:textId="77777777" w:rsidR="005B16C5" w:rsidRPr="00611B89" w:rsidRDefault="00D95550" w:rsidP="007D7F51">
            <w:pPr>
              <w:jc w:val="center"/>
            </w:pPr>
            <w:r w:rsidRPr="00611B89">
              <w:t>0</w:t>
            </w:r>
            <w:r w:rsidR="005B16C5" w:rsidRPr="00611B89">
              <w:t>.782</w:t>
            </w:r>
          </w:p>
        </w:tc>
      </w:tr>
      <w:tr w:rsidR="00D95550" w:rsidRPr="00611B89" w14:paraId="0B1A3CE0" w14:textId="77777777" w:rsidTr="00192F66">
        <w:trPr>
          <w:trHeight w:val="389"/>
          <w:jc w:val="center"/>
        </w:trPr>
        <w:tc>
          <w:tcPr>
            <w:tcW w:w="1890" w:type="dxa"/>
            <w:tcBorders>
              <w:top w:val="single" w:sz="12" w:space="0" w:color="auto"/>
            </w:tcBorders>
            <w:vAlign w:val="center"/>
          </w:tcPr>
          <w:p w14:paraId="4BB05FE7" w14:textId="77777777" w:rsidR="00D95550" w:rsidRPr="00611B89" w:rsidRDefault="00D95550" w:rsidP="007D7F51">
            <w:pPr>
              <w:jc w:val="center"/>
            </w:pPr>
            <w:r w:rsidRPr="00611B89">
              <w:t>Mean</w:t>
            </w:r>
          </w:p>
        </w:tc>
        <w:tc>
          <w:tcPr>
            <w:tcW w:w="2830" w:type="dxa"/>
            <w:tcBorders>
              <w:top w:val="single" w:sz="12" w:space="0" w:color="auto"/>
            </w:tcBorders>
            <w:vAlign w:val="center"/>
          </w:tcPr>
          <w:p w14:paraId="485BF6DC" w14:textId="77777777" w:rsidR="00D95550" w:rsidRPr="00611B89" w:rsidRDefault="00D95550" w:rsidP="007D7F51">
            <w:pPr>
              <w:jc w:val="center"/>
            </w:pPr>
            <w:r w:rsidRPr="00611B89">
              <w:t>0.270</w:t>
            </w:r>
          </w:p>
        </w:tc>
      </w:tr>
    </w:tbl>
    <w:p w14:paraId="089E26E2" w14:textId="77777777" w:rsidR="00A52DBA" w:rsidRPr="00611B89" w:rsidRDefault="00A52DBA" w:rsidP="00270F45"/>
    <w:p w14:paraId="6AF33D13" w14:textId="77777777" w:rsidR="00AA5030" w:rsidRPr="00611B89" w:rsidRDefault="00AA5030" w:rsidP="00874A17"/>
    <w:p w14:paraId="364666D9" w14:textId="705AEBE7" w:rsidR="007C4171" w:rsidRPr="00611B89" w:rsidRDefault="00BE1806" w:rsidP="00874A17">
      <w:pPr>
        <w:pStyle w:val="Heading3"/>
        <w:spacing w:before="0"/>
        <w:rPr>
          <w:rFonts w:ascii="Arial" w:hAnsi="Arial" w:cs="Arial"/>
          <w:b/>
          <w:color w:val="000000" w:themeColor="text1"/>
          <w:sz w:val="22"/>
          <w:szCs w:val="22"/>
        </w:rPr>
      </w:pPr>
      <w:bookmarkStart w:id="12" w:name="_Toc479764837"/>
      <w:bookmarkStart w:id="13" w:name="_Toc479765050"/>
      <w:bookmarkStart w:id="14" w:name="_Toc479765562"/>
      <w:r w:rsidRPr="00611B89">
        <w:rPr>
          <w:rFonts w:ascii="Arial" w:hAnsi="Arial" w:cs="Arial"/>
          <w:b/>
          <w:color w:val="000000" w:themeColor="text1"/>
          <w:sz w:val="22"/>
          <w:szCs w:val="22"/>
        </w:rPr>
        <w:t>1.2.</w:t>
      </w:r>
      <w:r w:rsidR="00EE41AC" w:rsidRPr="00611B89">
        <w:rPr>
          <w:rFonts w:ascii="Arial" w:hAnsi="Arial" w:cs="Arial"/>
          <w:b/>
          <w:color w:val="000000" w:themeColor="text1"/>
          <w:sz w:val="22"/>
          <w:szCs w:val="22"/>
        </w:rPr>
        <w:t>2</w:t>
      </w:r>
      <w:r w:rsidRPr="00611B89">
        <w:rPr>
          <w:rFonts w:ascii="Arial" w:hAnsi="Arial" w:cs="Arial"/>
          <w:b/>
          <w:color w:val="000000" w:themeColor="text1"/>
          <w:sz w:val="22"/>
          <w:szCs w:val="22"/>
        </w:rPr>
        <w:t xml:space="preserve">. </w:t>
      </w:r>
      <w:r w:rsidR="00C3586A" w:rsidRPr="00611B89">
        <w:rPr>
          <w:rFonts w:ascii="Arial" w:hAnsi="Arial" w:cs="Arial"/>
          <w:b/>
          <w:color w:val="000000" w:themeColor="text1"/>
          <w:sz w:val="22"/>
          <w:szCs w:val="22"/>
        </w:rPr>
        <w:t>Age mixing</w:t>
      </w:r>
      <w:bookmarkEnd w:id="12"/>
      <w:bookmarkEnd w:id="13"/>
      <w:bookmarkEnd w:id="14"/>
    </w:p>
    <w:p w14:paraId="45E455E5" w14:textId="77777777" w:rsidR="007C4171" w:rsidRPr="00611B89" w:rsidRDefault="007C4171" w:rsidP="00874A17">
      <w:pPr>
        <w:rPr>
          <w:color w:val="000000" w:themeColor="text1"/>
        </w:rPr>
      </w:pPr>
    </w:p>
    <w:p w14:paraId="63BFFB78" w14:textId="77777777" w:rsidR="004C7F92" w:rsidRPr="00611B89" w:rsidRDefault="004C7F92" w:rsidP="00874A17">
      <w:pPr>
        <w:rPr>
          <w:color w:val="000000" w:themeColor="text1"/>
        </w:rPr>
      </w:pPr>
      <w:r w:rsidRPr="00611B89">
        <w:rPr>
          <w:color w:val="000000" w:themeColor="text1"/>
        </w:rPr>
        <w:t xml:space="preserve">Age mixing </w:t>
      </w:r>
      <w:r w:rsidR="000F5A1B" w:rsidRPr="00611B89">
        <w:rPr>
          <w:color w:val="000000" w:themeColor="text1"/>
        </w:rPr>
        <w:t xml:space="preserve">within the cohort of interest </w:t>
      </w:r>
      <w:r w:rsidRPr="00611B89">
        <w:rPr>
          <w:color w:val="000000" w:themeColor="text1"/>
        </w:rPr>
        <w:t>was not explicitly included in the model.  However, the likelihood of entering the ASMM population and the likelihood of sexual debut were both a function of age</w:t>
      </w:r>
      <w:r w:rsidR="003843D8" w:rsidRPr="00611B89">
        <w:rPr>
          <w:color w:val="000000" w:themeColor="text1"/>
        </w:rPr>
        <w:t>, resulting in a strong</w:t>
      </w:r>
      <w:r w:rsidRPr="00611B89">
        <w:rPr>
          <w:color w:val="000000" w:themeColor="text1"/>
        </w:rPr>
        <w:t xml:space="preserve"> incre</w:t>
      </w:r>
      <w:r w:rsidR="003843D8" w:rsidRPr="00611B89">
        <w:rPr>
          <w:color w:val="000000" w:themeColor="text1"/>
        </w:rPr>
        <w:t xml:space="preserve">ase in sexual activity with age and ensuring that most contacts were between two males </w:t>
      </w:r>
      <w:r w:rsidR="00DF28C8" w:rsidRPr="00611B89">
        <w:rPr>
          <w:color w:val="000000" w:themeColor="text1"/>
        </w:rPr>
        <w:t xml:space="preserve">both </w:t>
      </w:r>
      <w:r w:rsidR="003843D8" w:rsidRPr="00611B89">
        <w:rPr>
          <w:color w:val="000000" w:themeColor="text1"/>
        </w:rPr>
        <w:t>16-18.</w:t>
      </w:r>
    </w:p>
    <w:p w14:paraId="571F1D28" w14:textId="77777777" w:rsidR="00A06A24" w:rsidRPr="00611B89" w:rsidRDefault="00A06A24" w:rsidP="00874A17">
      <w:pPr>
        <w:rPr>
          <w:color w:val="000000" w:themeColor="text1"/>
        </w:rPr>
      </w:pPr>
    </w:p>
    <w:p w14:paraId="5FAE7D51" w14:textId="6AD5F2AE" w:rsidR="00536519" w:rsidRPr="00611B89" w:rsidRDefault="0025768E" w:rsidP="00874A17">
      <w:pPr>
        <w:pStyle w:val="Heading3"/>
        <w:spacing w:before="0"/>
        <w:rPr>
          <w:rFonts w:ascii="Arial" w:hAnsi="Arial" w:cs="Arial"/>
          <w:b/>
          <w:color w:val="000000" w:themeColor="text1"/>
          <w:sz w:val="22"/>
          <w:szCs w:val="22"/>
        </w:rPr>
      </w:pPr>
      <w:bookmarkStart w:id="15" w:name="_Toc479764838"/>
      <w:bookmarkStart w:id="16" w:name="_Toc479765051"/>
      <w:bookmarkStart w:id="17" w:name="_Toc479765563"/>
      <w:r w:rsidRPr="00611B89">
        <w:rPr>
          <w:rFonts w:ascii="Arial" w:hAnsi="Arial" w:cs="Arial"/>
          <w:b/>
          <w:color w:val="000000" w:themeColor="text1"/>
          <w:sz w:val="22"/>
          <w:szCs w:val="22"/>
        </w:rPr>
        <w:t>1.2.</w:t>
      </w:r>
      <w:r w:rsidR="00111BC7" w:rsidRPr="00611B89">
        <w:rPr>
          <w:rFonts w:ascii="Arial" w:hAnsi="Arial" w:cs="Arial"/>
          <w:b/>
          <w:color w:val="000000" w:themeColor="text1"/>
          <w:sz w:val="22"/>
          <w:szCs w:val="22"/>
        </w:rPr>
        <w:t>3</w:t>
      </w:r>
      <w:r w:rsidRPr="00611B89">
        <w:rPr>
          <w:rFonts w:ascii="Arial" w:hAnsi="Arial" w:cs="Arial"/>
          <w:b/>
          <w:color w:val="000000" w:themeColor="text1"/>
          <w:sz w:val="22"/>
          <w:szCs w:val="22"/>
        </w:rPr>
        <w:t>. Relational durations</w:t>
      </w:r>
      <w:bookmarkEnd w:id="15"/>
      <w:bookmarkEnd w:id="16"/>
      <w:bookmarkEnd w:id="17"/>
    </w:p>
    <w:p w14:paraId="440A7AF2" w14:textId="77777777" w:rsidR="00F41748" w:rsidRPr="00611B89" w:rsidRDefault="00F41748" w:rsidP="00874A17"/>
    <w:p w14:paraId="611B6CAE" w14:textId="5142DA90" w:rsidR="00FC6DFC" w:rsidRPr="00611B89" w:rsidRDefault="003578EA" w:rsidP="00874A17">
      <w:r w:rsidRPr="00611B89">
        <w:t>Following previous methods [</w:t>
      </w:r>
      <w:r w:rsidR="00206829" w:rsidRPr="00611B89">
        <w:t xml:space="preserve">cite </w:t>
      </w:r>
      <w:r w:rsidR="001B0CA3" w:rsidRPr="00611B89">
        <w:t xml:space="preserve">to be inserted </w:t>
      </w:r>
      <w:r w:rsidR="00972A3B" w:rsidRPr="00611B89">
        <w:t>whe</w:t>
      </w:r>
      <w:r w:rsidR="001B0CA3" w:rsidRPr="00611B89">
        <w:t>n available</w:t>
      </w:r>
      <w:r w:rsidRPr="00611B89">
        <w:t xml:space="preserve">], we matched the median duration of </w:t>
      </w:r>
      <w:r w:rsidR="00F6773A" w:rsidRPr="00611B89">
        <w:t>ongoing</w:t>
      </w:r>
      <w:r w:rsidRPr="00611B89">
        <w:t xml:space="preserve"> </w:t>
      </w:r>
      <w:r w:rsidR="00F6773A" w:rsidRPr="00611B89">
        <w:t>relationships</w:t>
      </w:r>
      <w:r w:rsidRPr="00611B89">
        <w:t xml:space="preserve"> from </w:t>
      </w:r>
      <w:r w:rsidR="009F384A" w:rsidRPr="00611B89">
        <w:t xml:space="preserve">source </w:t>
      </w:r>
      <w:r w:rsidRPr="00611B89">
        <w:t xml:space="preserve">data. </w:t>
      </w:r>
      <w:r w:rsidR="009F384A" w:rsidRPr="00611B89">
        <w:t xml:space="preserve">We examined data from </w:t>
      </w:r>
      <w:r w:rsidR="00974FF2">
        <w:t xml:space="preserve">AMIS </w:t>
      </w:r>
      <w:r w:rsidR="0040303B" w:rsidRPr="00611B89">
        <w:fldChar w:fldCharType="begin"/>
      </w:r>
      <w:r w:rsidR="00D016FA">
        <w:instrText xml:space="preserve"> ADDIN EN.CITE &lt;EndNote&gt;&lt;Cite&gt;&lt;Author&gt;Sanchez&lt;/Author&gt;&lt;Year&gt;2016&lt;/Year&gt;&lt;RecNum&gt;21&lt;/RecNum&gt;&lt;DisplayText&gt;(4)&lt;/DisplayText&gt;&lt;record&gt;&lt;rec-number&gt;21&lt;/rec-number&gt;&lt;foreign-keys&gt;&lt;key app="EN" db-id="xvdv2sspezx5x4ew22qv2waqev0p25tsetrx" timestamp="0"&gt;21&lt;/key&gt;&lt;/foreign-keys&gt;&lt;ref-type name="Journal Article"&gt;17&lt;/ref-type&gt;&lt;contributors&gt;&lt;authors&gt;&lt;author&gt;Sanchez, T.&lt;/author&gt;&lt;author&gt;Zlotorzynska, M.&lt;/author&gt;&lt;author&gt;Sineath, C.&lt;/author&gt;&lt;author&gt;Kahle, E.&lt;/author&gt;&lt;author&gt;Sullivan, P.&lt;/author&gt;&lt;/authors&gt;&lt;/contributors&gt;&lt;auth-address&gt;Emory University, Rollins School of Public Health, Atlanta, GA, United States. Travis.Sanchez@emory.edu.&lt;/auth-address&gt;&lt;titles&gt;&lt;title&gt;The Annual American Men&amp;apos;s Internet Survey of Behaviors of Men Who have Sex with Men in the United States: 2014 Key Indicators Report&lt;/title&gt;&lt;secondary-title&gt;JMIR Public Health Surveill&lt;/secondary-title&gt;&lt;/titles&gt;&lt;periodical&gt;&lt;full-title&gt;JMIR Public Health Surveill&lt;/full-title&gt;&lt;/periodical&gt;&lt;pages&gt;e23&lt;/pages&gt;&lt;volume&gt;2&lt;/volume&gt;&lt;number&gt;1&lt;/number&gt;&lt;keywords&gt;&lt;keyword&gt;Hiv&lt;/keyword&gt;&lt;keyword&gt;Internet&lt;/keyword&gt;&lt;keyword&gt;Msm&lt;/keyword&gt;&lt;keyword&gt;Std&lt;/keyword&gt;&lt;keyword&gt;bisexual&lt;/keyword&gt;&lt;keyword&gt;gay&lt;/keyword&gt;&lt;keyword&gt;homosexual&lt;/keyword&gt;&lt;keyword&gt;surveillance&lt;/keyword&gt;&lt;keyword&gt;survey&lt;/keyword&gt;&lt;/keywords&gt;&lt;dates&gt;&lt;year&gt;2016&lt;/year&gt;&lt;/dates&gt;&lt;isbn&gt;2369-2960 (Electronic)&amp;#xD;2369-2960 (Linking)&lt;/isbn&gt;&lt;accession-num&gt;27244770&lt;/accession-num&gt;&lt;urls&gt;&lt;related-urls&gt;&lt;url&gt;http://www.ncbi.nlm.nih.gov/pubmed/27244770&lt;/url&gt;&lt;/related-urls&gt;&lt;/urls&gt;&lt;custom2&gt;PMC4909387&lt;/custom2&gt;&lt;electronic-resource-num&gt;10.2196/publichealth.5476&lt;/electronic-resource-num&gt;&lt;/record&gt;&lt;/Cite&gt;&lt;/EndNote&gt;</w:instrText>
      </w:r>
      <w:r w:rsidR="0040303B" w:rsidRPr="00611B89">
        <w:fldChar w:fldCharType="separate"/>
      </w:r>
      <w:r w:rsidR="00D016FA">
        <w:rPr>
          <w:noProof/>
        </w:rPr>
        <w:t>(4)</w:t>
      </w:r>
      <w:r w:rsidR="0040303B" w:rsidRPr="00611B89">
        <w:fldChar w:fldCharType="end"/>
      </w:r>
      <w:r w:rsidR="001F10F9">
        <w:t>,</w:t>
      </w:r>
      <w:r w:rsidR="009F384A" w:rsidRPr="00611B89">
        <w:t xml:space="preserve"> limiting to respondents 18 or younger led to </w:t>
      </w:r>
      <w:r w:rsidR="00206829" w:rsidRPr="00611B89">
        <w:t xml:space="preserve">an estimate </w:t>
      </w:r>
      <w:r w:rsidR="009F384A" w:rsidRPr="00611B89">
        <w:t>of</w:t>
      </w:r>
      <w:r w:rsidR="000038F1" w:rsidRPr="00611B89">
        <w:t xml:space="preserve"> 14 days.  </w:t>
      </w:r>
      <w:r w:rsidR="00641BEE" w:rsidRPr="00611B89">
        <w:t xml:space="preserve">Our model structure implies that relational dissolution follows a memoryless process, and thus relational durations follow a geometric distribution. </w:t>
      </w:r>
      <w:r w:rsidR="000038F1" w:rsidRPr="00611B89">
        <w:t xml:space="preserve">Converting </w:t>
      </w:r>
      <w:r w:rsidR="00641BEE" w:rsidRPr="00611B89">
        <w:t xml:space="preserve">our median to </w:t>
      </w:r>
      <w:r w:rsidR="00971C0E" w:rsidRPr="00611B89">
        <w:t>the corresponding</w:t>
      </w:r>
      <w:r w:rsidR="00641BEE" w:rsidRPr="00611B89">
        <w:t xml:space="preserve"> mean </w:t>
      </w:r>
      <w:r w:rsidR="00971C0E" w:rsidRPr="00611B89">
        <w:t xml:space="preserve">for the geometric distrubition yielded average relational durations </w:t>
      </w:r>
      <w:r w:rsidR="00B0443D" w:rsidRPr="00611B89">
        <w:t>of 20.2 day</w:t>
      </w:r>
      <w:r w:rsidR="00267212" w:rsidRPr="00611B89">
        <w:t>s</w:t>
      </w:r>
      <w:r w:rsidR="0008086C" w:rsidRPr="00611B89">
        <w:t xml:space="preserve"> </w:t>
      </w:r>
      <w:r w:rsidR="00267212" w:rsidRPr="00611B89">
        <w:t>(</w:t>
      </w:r>
      <w:r w:rsidR="0008086C" w:rsidRPr="00611B89">
        <w:t>2.89 weeks</w:t>
      </w:r>
      <w:r w:rsidR="00267212" w:rsidRPr="00611B89">
        <w:t>)</w:t>
      </w:r>
      <w:r w:rsidR="00F50266" w:rsidRPr="00611B89">
        <w:t>.</w:t>
      </w:r>
      <w:r w:rsidR="00903600" w:rsidRPr="00611B89">
        <w:t xml:space="preserve"> </w:t>
      </w:r>
      <w:r w:rsidR="00CE1369" w:rsidRPr="00611B89">
        <w:t xml:space="preserve">The </w:t>
      </w:r>
      <w:r w:rsidR="0067010A" w:rsidRPr="00611B89">
        <w:t xml:space="preserve">adopted values </w:t>
      </w:r>
      <w:r w:rsidR="0067010A" w:rsidRPr="00611B89">
        <w:lastRenderedPageBreak/>
        <w:t xml:space="preserve">for momentary degree and relational durations together imply a mean number of partners per year of 4.9, </w:t>
      </w:r>
      <w:r w:rsidR="007C5681" w:rsidRPr="00611B89">
        <w:t xml:space="preserve">qualitatively </w:t>
      </w:r>
      <w:r w:rsidR="0067010A" w:rsidRPr="00611B89">
        <w:t>similar to the value of 4.2 found in AMIS.</w:t>
      </w:r>
    </w:p>
    <w:p w14:paraId="58FBD989" w14:textId="77777777" w:rsidR="00E1180B" w:rsidRPr="00611B89" w:rsidRDefault="00E1180B" w:rsidP="00874A17"/>
    <w:p w14:paraId="5298D2E4" w14:textId="6F699ABC" w:rsidR="00424DF4" w:rsidRPr="00611B89" w:rsidRDefault="00F23FC1" w:rsidP="00874A17">
      <w:pPr>
        <w:pStyle w:val="Heading2"/>
        <w:numPr>
          <w:ilvl w:val="1"/>
          <w:numId w:val="1"/>
        </w:numPr>
        <w:spacing w:before="0" w:line="240" w:lineRule="auto"/>
        <w:rPr>
          <w:rFonts w:cs="Arial"/>
          <w:b/>
          <w:i w:val="0"/>
          <w:szCs w:val="22"/>
        </w:rPr>
      </w:pPr>
      <w:bookmarkStart w:id="18" w:name="_Toc479764839"/>
      <w:bookmarkStart w:id="19" w:name="_Toc479765052"/>
      <w:bookmarkStart w:id="20" w:name="_Toc479765564"/>
      <w:r w:rsidRPr="00611B89">
        <w:rPr>
          <w:rFonts w:cs="Arial"/>
          <w:b/>
          <w:i w:val="0"/>
          <w:szCs w:val="22"/>
        </w:rPr>
        <w:t>Anal intercourse (</w:t>
      </w:r>
      <w:r w:rsidR="00E31AE3" w:rsidRPr="00611B89">
        <w:rPr>
          <w:rFonts w:cs="Arial"/>
          <w:b/>
          <w:i w:val="0"/>
          <w:szCs w:val="22"/>
        </w:rPr>
        <w:t>AI</w:t>
      </w:r>
      <w:r w:rsidRPr="00611B89">
        <w:rPr>
          <w:rFonts w:cs="Arial"/>
          <w:b/>
          <w:i w:val="0"/>
          <w:szCs w:val="22"/>
        </w:rPr>
        <w:t>)</w:t>
      </w:r>
      <w:r w:rsidR="00E31AE3" w:rsidRPr="00611B89">
        <w:rPr>
          <w:rFonts w:cs="Arial"/>
          <w:b/>
          <w:i w:val="0"/>
          <w:szCs w:val="22"/>
        </w:rPr>
        <w:t xml:space="preserve"> frequencies</w:t>
      </w:r>
      <w:bookmarkEnd w:id="18"/>
      <w:bookmarkEnd w:id="19"/>
      <w:bookmarkEnd w:id="20"/>
    </w:p>
    <w:p w14:paraId="4BDF5A0E" w14:textId="77777777" w:rsidR="00903600" w:rsidRPr="00611B89" w:rsidRDefault="00903600" w:rsidP="00874A17"/>
    <w:p w14:paraId="528EB422" w14:textId="45C11BE9" w:rsidR="00E31AE3" w:rsidRPr="00611B89" w:rsidRDefault="00266F19" w:rsidP="00874A17">
      <w:r w:rsidRPr="00611B89">
        <w:t xml:space="preserve">The baseline frequency of AI </w:t>
      </w:r>
      <w:r w:rsidR="00D00D22" w:rsidRPr="00611B89">
        <w:t>within ongoing relationships was derived from Rotheram-Borus</w:t>
      </w:r>
      <w:r w:rsidRPr="00611B89">
        <w:t xml:space="preserve"> </w:t>
      </w:r>
      <w:r w:rsidR="00535095" w:rsidRPr="00611B89">
        <w:t>et al</w:t>
      </w:r>
      <w:r w:rsidR="00D00D22" w:rsidRPr="00611B89">
        <w:t>.</w:t>
      </w:r>
      <w:r w:rsidR="00E67CFA">
        <w:t xml:space="preserve"> 1994 </w:t>
      </w:r>
      <w:r w:rsidR="00535095" w:rsidRPr="00611B89">
        <w:fldChar w:fldCharType="begin"/>
      </w:r>
      <w:r w:rsidR="00D016FA">
        <w:instrText xml:space="preserve"> ADDIN EN.CITE &lt;EndNote&gt;&lt;Cite&gt;&lt;Author&gt;Rotheram-Borus&lt;/Author&gt;&lt;Year&gt;1994&lt;/Year&gt;&lt;RecNum&gt;15&lt;/RecNum&gt;&lt;DisplayText&gt;(5)&lt;/DisplayText&gt;&lt;record&gt;&lt;rec-number&gt;15&lt;/rec-number&gt;&lt;foreign-keys&gt;&lt;key app="EN" db-id="xvdv2sspezx5x4ew22qv2waqev0p25tsetrx" timestamp="0"&gt;15&lt;/key&gt;&lt;/foreign-keys&gt;&lt;ref-type name="Journal Article"&gt;17&lt;/ref-type&gt;&lt;contributors&gt;&lt;authors&gt;&lt;author&gt;Rotheram-Borus, M. J.&lt;/author&gt;&lt;author&gt;Reid, H.&lt;/author&gt;&lt;author&gt;Rosario, M.&lt;/author&gt;&lt;/authors&gt;&lt;/contributors&gt;&lt;auth-address&gt;HIV Center for Clinical and Behavioral Studies, Columbia-Presbyterian Medical Center, New York State Psychiatric Institute, NY.&lt;/auth-address&gt;&lt;titles&gt;&lt;title&gt;Factors mediating changes in sexual HIV risk behaviors among gay and bisexual male adolescents&lt;/title&gt;&lt;secondary-title&gt;Am J Public Health&lt;/secondary-title&gt;&lt;/titles&gt;&lt;periodical&gt;&lt;full-title&gt;Am J Public Health&lt;/full-title&gt;&lt;/periodical&gt;&lt;pages&gt;1938-46&lt;/pages&gt;&lt;volume&gt;84&lt;/volume&gt;&lt;number&gt;12&lt;/number&gt;&lt;keywords&gt;&lt;keyword&gt;Adolescent&lt;/keyword&gt;&lt;keyword&gt;*Bisexuality&lt;/keyword&gt;&lt;keyword&gt;HIV Infections/*prevention &amp;amp; control/transmission&lt;/keyword&gt;&lt;keyword&gt;*Homosexuality, Male&lt;/keyword&gt;&lt;keyword&gt;Humans&lt;/keyword&gt;&lt;keyword&gt;Male&lt;/keyword&gt;&lt;keyword&gt;Risk-Taking&lt;/keyword&gt;&lt;keyword&gt;Sexual Behavior&lt;/keyword&gt;&lt;/keywords&gt;&lt;dates&gt;&lt;year&gt;1994&lt;/year&gt;&lt;pub-dates&gt;&lt;date&gt;Dec&lt;/date&gt;&lt;/pub-dates&gt;&lt;/dates&gt;&lt;isbn&gt;0090-0036 (Print)&amp;#xD;0090-0036 (Linking)&lt;/isbn&gt;&lt;accession-num&gt;7998634&lt;/accession-num&gt;&lt;urls&gt;&lt;related-urls&gt;&lt;url&gt;http://www.ncbi.nlm.nih.gov/pubmed/7998634&lt;/url&gt;&lt;/related-urls&gt;&lt;/urls&gt;&lt;custom2&gt;PMC1615388&lt;/custom2&gt;&lt;/record&gt;&lt;/Cite&gt;&lt;/EndNote&gt;</w:instrText>
      </w:r>
      <w:r w:rsidR="00535095" w:rsidRPr="00611B89">
        <w:fldChar w:fldCharType="separate"/>
      </w:r>
      <w:r w:rsidR="00D016FA">
        <w:rPr>
          <w:noProof/>
        </w:rPr>
        <w:t>(5)</w:t>
      </w:r>
      <w:r w:rsidR="00535095" w:rsidRPr="00611B89">
        <w:fldChar w:fldCharType="end"/>
      </w:r>
      <w:r w:rsidR="00E67CFA">
        <w:t>,</w:t>
      </w:r>
      <w:r w:rsidR="00B92881" w:rsidRPr="00611B89">
        <w:t xml:space="preserve"> </w:t>
      </w:r>
      <w:r w:rsidR="00F72AB8" w:rsidRPr="00611B89">
        <w:t xml:space="preserve">who </w:t>
      </w:r>
      <w:r w:rsidRPr="00611B89">
        <w:t>reported a mean of 3.5 acts of AI over a three month period</w:t>
      </w:r>
      <w:r w:rsidR="003A699B" w:rsidRPr="00611B89">
        <w:t>,</w:t>
      </w:r>
      <w:r w:rsidRPr="00611B89">
        <w:t xml:space="preserve"> or </w:t>
      </w:r>
      <w:r w:rsidR="003A699B" w:rsidRPr="00611B89">
        <w:t>0</w:t>
      </w:r>
      <w:r w:rsidRPr="00611B89">
        <w:t xml:space="preserve">.038 acts per day.  AI frequency was </w:t>
      </w:r>
      <w:r w:rsidR="00B95946" w:rsidRPr="00611B89">
        <w:t>one of tw</w:t>
      </w:r>
      <w:r w:rsidR="00F322ED" w:rsidRPr="00611B89">
        <w:t>o</w:t>
      </w:r>
      <w:r w:rsidR="00B95946" w:rsidRPr="00611B89">
        <w:t xml:space="preserve"> parameters </w:t>
      </w:r>
      <w:r w:rsidRPr="00611B89">
        <w:t xml:space="preserve">adjusted using Approximate Bayesian Computation to fit </w:t>
      </w:r>
      <w:r w:rsidR="00C35B6C">
        <w:t xml:space="preserve">the </w:t>
      </w:r>
      <w:r w:rsidRPr="00611B89">
        <w:t>HIV prevalence</w:t>
      </w:r>
      <w:r w:rsidR="00C35B6C">
        <w:t xml:space="preserve"> </w:t>
      </w:r>
      <w:r w:rsidR="003E10C0">
        <w:t>v</w:t>
      </w:r>
      <w:r w:rsidR="00C35B6C">
        <w:t>alue chosen as our calibration parameter</w:t>
      </w:r>
      <w:r w:rsidRPr="00611B89">
        <w:t xml:space="preserve">.  </w:t>
      </w:r>
      <w:r w:rsidR="00A2790E" w:rsidRPr="00611B89">
        <w:t>See section 2.</w:t>
      </w:r>
    </w:p>
    <w:p w14:paraId="47A16F84" w14:textId="77777777" w:rsidR="00903600" w:rsidRPr="00611B89" w:rsidRDefault="00903600" w:rsidP="00874A17">
      <w:pPr>
        <w:rPr>
          <w:b/>
        </w:rPr>
      </w:pPr>
    </w:p>
    <w:p w14:paraId="173FFBC3" w14:textId="3CAA986B" w:rsidR="00F90C22" w:rsidRPr="00611B89" w:rsidRDefault="007924F2" w:rsidP="00874A17">
      <w:pPr>
        <w:pStyle w:val="Heading2"/>
        <w:numPr>
          <w:ilvl w:val="1"/>
          <w:numId w:val="1"/>
        </w:numPr>
        <w:spacing w:before="0" w:line="240" w:lineRule="auto"/>
        <w:rPr>
          <w:rFonts w:cs="Arial"/>
          <w:b/>
          <w:i w:val="0"/>
          <w:szCs w:val="22"/>
        </w:rPr>
      </w:pPr>
      <w:bookmarkStart w:id="21" w:name="_Toc479764840"/>
      <w:bookmarkStart w:id="22" w:name="_Toc479765053"/>
      <w:bookmarkStart w:id="23" w:name="_Toc479765565"/>
      <w:r w:rsidRPr="00611B89">
        <w:rPr>
          <w:rFonts w:cs="Arial"/>
          <w:b/>
          <w:i w:val="0"/>
          <w:szCs w:val="22"/>
        </w:rPr>
        <w:t>Condom use</w:t>
      </w:r>
      <w:bookmarkEnd w:id="21"/>
      <w:bookmarkEnd w:id="22"/>
      <w:bookmarkEnd w:id="23"/>
    </w:p>
    <w:p w14:paraId="0CAA3565" w14:textId="77777777" w:rsidR="00903600" w:rsidRPr="00611B89" w:rsidRDefault="00903600" w:rsidP="00874A17"/>
    <w:p w14:paraId="78CF1717" w14:textId="525A8708" w:rsidR="00450CF3" w:rsidRPr="00611B89" w:rsidRDefault="00266F19" w:rsidP="003E4F12">
      <w:r w:rsidRPr="00611B89">
        <w:t xml:space="preserve">The rate of condom use was 54% based on reports of unprotected anal sex </w:t>
      </w:r>
      <w:r w:rsidR="001D3AE9" w:rsidRPr="00611B89">
        <w:t>over a 6-</w:t>
      </w:r>
      <w:r w:rsidR="000F5579" w:rsidRPr="00611B89">
        <w:t>week period among those reporti</w:t>
      </w:r>
      <w:r w:rsidR="00E67CFA">
        <w:t xml:space="preserve">ng any AI in Hidalgo et al 2015 </w:t>
      </w:r>
      <w:r w:rsidR="006434C6" w:rsidRPr="00611B89">
        <w:fldChar w:fldCharType="begin">
          <w:fldData xml:space="preserve">PEVuZE5vdGU+PENpdGU+PEF1dGhvcj5IaWRhbGdvPC9BdXRob3I+PFllYXI+MjAxNTwvWWVhcj48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</w:fldData>
        </w:fldChar>
      </w:r>
      <w:r w:rsidR="003E4F12">
        <w:instrText xml:space="preserve"> ADDIN EN.CITE </w:instrText>
      </w:r>
      <w:r w:rsidR="003E4F12">
        <w:fldChar w:fldCharType="begin">
          <w:fldData xml:space="preserve">PEVuZE5vdGU+PENpdGU+PEF1dGhvcj5IaWRhbGdvPC9BdXRob3I+PFllYXI+MjAxNTwvWWVhcj48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</w:fldData>
        </w:fldChar>
      </w:r>
      <w:r w:rsidR="003E4F12">
        <w:instrText xml:space="preserve"> ADDIN EN.CITE.DATA </w:instrText>
      </w:r>
      <w:r w:rsidR="003E4F12">
        <w:fldChar w:fldCharType="end"/>
      </w:r>
      <w:r w:rsidR="006434C6" w:rsidRPr="00611B89">
        <w:fldChar w:fldCharType="separate"/>
      </w:r>
      <w:r w:rsidR="003E4F12">
        <w:rPr>
          <w:noProof/>
        </w:rPr>
        <w:t>(6)</w:t>
      </w:r>
      <w:r w:rsidR="006434C6" w:rsidRPr="00611B89">
        <w:fldChar w:fldCharType="end"/>
      </w:r>
      <w:r w:rsidR="00E67CFA">
        <w:t>.</w:t>
      </w:r>
      <w:r w:rsidR="000F5579" w:rsidRPr="00611B89">
        <w:t xml:space="preserve">  This was found to be </w:t>
      </w:r>
      <w:r w:rsidR="00047412" w:rsidRPr="00611B89">
        <w:t xml:space="preserve">highly </w:t>
      </w:r>
      <w:r w:rsidR="000F5579" w:rsidRPr="00611B89">
        <w:t>consistent with repo</w:t>
      </w:r>
      <w:r w:rsidR="00E67CFA">
        <w:t xml:space="preserve">rts from multiple other sources </w:t>
      </w:r>
      <w:r w:rsidR="00535095" w:rsidRPr="00611B89">
        <w:fldChar w:fldCharType="begin">
          <w:fldData xml:space="preserve">PEVuZE5vdGU+PENpdGU+PEF1dGhvcj5TaWZha2lzPC9BdXRob3I+PFllYXI+MjAwNzwvWWVhcj48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</w:fldData>
        </w:fldChar>
      </w:r>
      <w:r w:rsidR="00D016FA" w:rsidRPr="00E67CFA">
        <w:instrText xml:space="preserve"> ADDIN EN.CITE </w:instrText>
      </w:r>
      <w:r w:rsidR="00D016FA" w:rsidRPr="00E67CFA">
        <w:fldChar w:fldCharType="begin">
          <w:fldData xml:space="preserve">PEVuZE5vdGU+PENpdGU+PEF1dGhvcj5TaWZha2lzPC9BdXRob3I+PFllYXI+MjAwNzwvWWVhcj48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</w:fldData>
        </w:fldChar>
      </w:r>
      <w:r w:rsidR="00D016FA" w:rsidRPr="00E67CFA">
        <w:instrText xml:space="preserve"> ADDIN EN.CITE.DATA </w:instrText>
      </w:r>
      <w:r w:rsidR="00D016FA" w:rsidRPr="00E67CFA">
        <w:fldChar w:fldCharType="end"/>
      </w:r>
      <w:r w:rsidR="00535095" w:rsidRPr="00611B89">
        <w:fldChar w:fldCharType="separate"/>
      </w:r>
      <w:r w:rsidR="00D016FA">
        <w:rPr>
          <w:noProof/>
        </w:rPr>
        <w:t>(7-9)</w:t>
      </w:r>
      <w:r w:rsidR="00535095" w:rsidRPr="00611B89">
        <w:fldChar w:fldCharType="end"/>
      </w:r>
      <w:r w:rsidR="00E67CFA">
        <w:t>.</w:t>
      </w:r>
      <w:r w:rsidR="000F5579" w:rsidRPr="00611B89">
        <w:t xml:space="preserve"> The condom use rate applied to the entire population</w:t>
      </w:r>
      <w:r w:rsidR="00431922" w:rsidRPr="00611B89">
        <w:t>;</w:t>
      </w:r>
      <w:r w:rsidR="00EE41AC" w:rsidRPr="00611B89">
        <w:t xml:space="preserve"> n</w:t>
      </w:r>
      <w:r w:rsidR="000F5579" w:rsidRPr="00611B89">
        <w:t xml:space="preserve">o fixed proportion of the population always used condoms. </w:t>
      </w:r>
      <w:r w:rsidRPr="00611B89">
        <w:t xml:space="preserve"> </w:t>
      </w:r>
    </w:p>
    <w:p w14:paraId="3BB5BE6C" w14:textId="77777777" w:rsidR="00903600" w:rsidRPr="00611B89" w:rsidRDefault="00903600" w:rsidP="00874A17"/>
    <w:p w14:paraId="465712D2" w14:textId="6E682127" w:rsidR="00F90C22" w:rsidRPr="00611B89" w:rsidRDefault="00A32B5C" w:rsidP="00874A17">
      <w:pPr>
        <w:pStyle w:val="Heading2"/>
        <w:numPr>
          <w:ilvl w:val="1"/>
          <w:numId w:val="1"/>
        </w:numPr>
        <w:spacing w:before="0" w:line="240" w:lineRule="auto"/>
        <w:rPr>
          <w:rFonts w:cs="Arial"/>
          <w:b/>
          <w:i w:val="0"/>
          <w:szCs w:val="22"/>
        </w:rPr>
      </w:pPr>
      <w:bookmarkStart w:id="24" w:name="_Toc479764841"/>
      <w:bookmarkStart w:id="25" w:name="_Toc479765054"/>
      <w:bookmarkStart w:id="26" w:name="_Toc479765566"/>
      <w:r w:rsidRPr="00611B89">
        <w:rPr>
          <w:rFonts w:cs="Arial"/>
          <w:b/>
          <w:i w:val="0"/>
          <w:szCs w:val="22"/>
        </w:rPr>
        <w:t>Role</w:t>
      </w:r>
      <w:bookmarkEnd w:id="24"/>
      <w:bookmarkEnd w:id="25"/>
      <w:bookmarkEnd w:id="26"/>
    </w:p>
    <w:p w14:paraId="1579D71C" w14:textId="77777777" w:rsidR="00903600" w:rsidRPr="00611B89" w:rsidRDefault="00903600" w:rsidP="00874A17"/>
    <w:p w14:paraId="7E3E1852" w14:textId="673E2B08" w:rsidR="00A32B5C" w:rsidRPr="00611B89" w:rsidRDefault="00266F19" w:rsidP="00874A17">
      <w:pPr>
        <w:pStyle w:val="ListParagraph"/>
        <w:ind w:left="0"/>
        <w:contextualSpacing w:val="0"/>
        <w:rPr>
          <w:color w:val="000000" w:themeColor="text1"/>
        </w:rPr>
      </w:pPr>
      <w:r w:rsidRPr="00611B89">
        <w:rPr>
          <w:color w:val="000000" w:themeColor="text1"/>
        </w:rPr>
        <w:t xml:space="preserve">Based on estimates from </w:t>
      </w:r>
      <w:r w:rsidR="00A830C2" w:rsidRPr="00611B89">
        <w:rPr>
          <w:color w:val="000000" w:themeColor="text1"/>
        </w:rPr>
        <w:t xml:space="preserve">the American </w:t>
      </w:r>
      <w:r w:rsidR="00FE62B8" w:rsidRPr="00611B89">
        <w:rPr>
          <w:color w:val="000000" w:themeColor="text1"/>
        </w:rPr>
        <w:t>M</w:t>
      </w:r>
      <w:r w:rsidR="00A830C2" w:rsidRPr="00611B89">
        <w:rPr>
          <w:color w:val="000000" w:themeColor="text1"/>
        </w:rPr>
        <w:t>en’s Internet Su</w:t>
      </w:r>
      <w:r w:rsidR="005121EF" w:rsidRPr="00611B89">
        <w:rPr>
          <w:color w:val="000000" w:themeColor="text1"/>
        </w:rPr>
        <w:t>r</w:t>
      </w:r>
      <w:r w:rsidR="00A830C2" w:rsidRPr="00611B89">
        <w:rPr>
          <w:color w:val="000000" w:themeColor="text1"/>
        </w:rPr>
        <w:t>vey (</w:t>
      </w:r>
      <w:r w:rsidRPr="00611B89">
        <w:rPr>
          <w:color w:val="000000" w:themeColor="text1"/>
        </w:rPr>
        <w:t>AMIS</w:t>
      </w:r>
      <w:r w:rsidR="00A830C2" w:rsidRPr="00611B89">
        <w:rPr>
          <w:color w:val="000000" w:themeColor="text1"/>
        </w:rPr>
        <w:t>)</w:t>
      </w:r>
      <w:r w:rsidR="005121EF" w:rsidRPr="00611B89">
        <w:rPr>
          <w:color w:val="000000" w:themeColor="text1"/>
        </w:rPr>
        <w:t>,</w:t>
      </w:r>
      <w:r w:rsidRPr="00611B89">
        <w:rPr>
          <w:color w:val="000000" w:themeColor="text1"/>
        </w:rPr>
        <w:t xml:space="preserve"> 14.5% of the population were exclusively insertive, 28.2% were exclusively receptive and 57.3% were versatile (</w:t>
      </w:r>
      <w:r w:rsidR="005E427A" w:rsidRPr="00611B89">
        <w:rPr>
          <w:color w:val="000000" w:themeColor="text1"/>
        </w:rPr>
        <w:t xml:space="preserve">both insertive and receptive). Partnering between two ASMM who were exclusively receptive or exclusively insertive was forbidden in the relational model. </w:t>
      </w:r>
    </w:p>
    <w:p w14:paraId="2F38091C" w14:textId="77777777" w:rsidR="00903600" w:rsidRPr="00611B89" w:rsidRDefault="00903600" w:rsidP="00874A17">
      <w:pPr>
        <w:pStyle w:val="ListParagraph"/>
        <w:ind w:left="0"/>
        <w:contextualSpacing w:val="0"/>
        <w:rPr>
          <w:color w:val="000000" w:themeColor="text1"/>
        </w:rPr>
      </w:pPr>
    </w:p>
    <w:p w14:paraId="13C252D0" w14:textId="48316E5B" w:rsidR="00A32B5C" w:rsidRPr="00611B89" w:rsidRDefault="002D1868" w:rsidP="00874A17">
      <w:pPr>
        <w:pStyle w:val="Heading2"/>
        <w:numPr>
          <w:ilvl w:val="1"/>
          <w:numId w:val="1"/>
        </w:numPr>
        <w:spacing w:before="0" w:line="240" w:lineRule="auto"/>
        <w:rPr>
          <w:rFonts w:cs="Arial"/>
          <w:b/>
          <w:i w:val="0"/>
          <w:szCs w:val="22"/>
        </w:rPr>
      </w:pPr>
      <w:bookmarkStart w:id="27" w:name="_Toc479764842"/>
      <w:bookmarkStart w:id="28" w:name="_Toc479765055"/>
      <w:bookmarkStart w:id="29" w:name="_Toc479765567"/>
      <w:r w:rsidRPr="00611B89">
        <w:rPr>
          <w:rFonts w:cs="Arial"/>
          <w:b/>
          <w:i w:val="0"/>
          <w:szCs w:val="22"/>
        </w:rPr>
        <w:t>Testing</w:t>
      </w:r>
      <w:bookmarkEnd w:id="27"/>
      <w:bookmarkEnd w:id="28"/>
      <w:bookmarkEnd w:id="29"/>
    </w:p>
    <w:p w14:paraId="20EFAEA9" w14:textId="77777777" w:rsidR="00903600" w:rsidRPr="00611B89" w:rsidRDefault="00903600" w:rsidP="00874A17"/>
    <w:p w14:paraId="260C4C9B" w14:textId="6405B112" w:rsidR="004860CC" w:rsidRPr="00611B89" w:rsidRDefault="001302B3" w:rsidP="00874A17">
      <w:r w:rsidRPr="00611B89">
        <w:t xml:space="preserve">Sharma </w:t>
      </w:r>
      <w:r w:rsidR="00693DB1" w:rsidRPr="00611B89">
        <w:t>et al.</w:t>
      </w:r>
      <w:r w:rsidR="004640BA">
        <w:t xml:space="preserve"> </w:t>
      </w:r>
      <w:r w:rsidR="008E2531" w:rsidRPr="00611B89">
        <w:fldChar w:fldCharType="begin"/>
      </w:r>
      <w:r w:rsidR="00D016FA">
        <w:instrText xml:space="preserve"> ADDIN EN.CITE &lt;EndNote&gt;&lt;Cite&gt;&lt;Author&gt;Sharma&lt;/Author&gt;&lt;Year&gt;2016&lt;/Year&gt;&lt;RecNum&gt;23&lt;/RecNum&gt;&lt;DisplayText&gt;(2)&lt;/DisplayText&gt;&lt;record&gt;&lt;rec-number&gt;23&lt;/rec-number&gt;&lt;foreign-keys&gt;&lt;key app="EN" db-id="xvdv2sspezx5x4ew22qv2waqev0p25tsetrx" timestamp="0"&gt;23&lt;/key&gt;&lt;/foreign-keys&gt;&lt;ref-type name="Journal Article"&gt;17&lt;/ref-type&gt;&lt;contributors&gt;&lt;authors&gt;&lt;author&gt;Sharma, Akshay&lt;/author&gt;&lt;author&gt;Wang, Li Yan&lt;/author&gt;&lt;author&gt;Dunville, Richard&lt;/author&gt;&lt;author&gt;Kearns, Rachel&lt;/author&gt;&lt;author&gt;Rosenberg, Eli&lt;/author&gt;&lt;author&gt;Sullivan, Patrick&lt;/author&gt;&lt;/authors&gt;&lt;/contributors&gt;&lt;titles&gt;&lt;title&gt;HIV and STD Testing Behavior among Young Men Who Have Sex With Men: Analysis of Pooled Youth Risk Behavior Survey Data, 2005-2013&lt;/title&gt;&lt;secondary-title&gt;Journal of Adolescent Health&lt;/secondary-title&gt;&lt;/titles&gt;&lt;pages&gt;S80&lt;/pages&gt;&lt;volume&gt;58&lt;/volume&gt;&lt;number&gt;2&lt;/number&gt;&lt;dates&gt;&lt;year&gt;2016&lt;/year&gt;&lt;/dates&gt;&lt;isbn&gt;1054-139X&lt;/isbn&gt;&lt;urls&gt;&lt;/urls&gt;&lt;/record&gt;&lt;/Cite&gt;&lt;/EndNote&gt;</w:instrText>
      </w:r>
      <w:r w:rsidR="008E2531" w:rsidRPr="00611B89">
        <w:fldChar w:fldCharType="separate"/>
      </w:r>
      <w:r w:rsidR="00D016FA">
        <w:rPr>
          <w:noProof/>
        </w:rPr>
        <w:t>(2)</w:t>
      </w:r>
      <w:r w:rsidR="008E2531" w:rsidRPr="00611B89">
        <w:fldChar w:fldCharType="end"/>
      </w:r>
      <w:r w:rsidR="008E2531" w:rsidRPr="00611B89">
        <w:t xml:space="preserve"> </w:t>
      </w:r>
      <w:r w:rsidR="00693DB1" w:rsidRPr="00611B89">
        <w:t xml:space="preserve">explore HIV </w:t>
      </w:r>
      <w:r w:rsidR="00DF3440" w:rsidRPr="00611B89">
        <w:t xml:space="preserve">testing </w:t>
      </w:r>
      <w:r w:rsidR="00693DB1" w:rsidRPr="00611B89">
        <w:t>among</w:t>
      </w:r>
      <w:r w:rsidR="00DF3440" w:rsidRPr="00611B89">
        <w:t xml:space="preserve"> ASMM</w:t>
      </w:r>
      <w:r w:rsidR="00FE19CA" w:rsidRPr="00611B89">
        <w:t>. In an additional</w:t>
      </w:r>
      <w:r w:rsidR="003B0092" w:rsidRPr="00611B89">
        <w:t xml:space="preserve"> </w:t>
      </w:r>
      <w:r w:rsidR="002F06E2" w:rsidRPr="00611B89">
        <w:t xml:space="preserve">unpublished </w:t>
      </w:r>
      <w:r w:rsidR="003B0092" w:rsidRPr="00611B89">
        <w:t>analysi</w:t>
      </w:r>
      <w:r w:rsidR="00FE19CA" w:rsidRPr="00611B89">
        <w:t>s for this model, they found</w:t>
      </w:r>
      <w:r w:rsidR="00693DB1" w:rsidRPr="00611B89">
        <w:t xml:space="preserve"> </w:t>
      </w:r>
      <w:r w:rsidRPr="00611B89">
        <w:t xml:space="preserve">that 29.2% of sexually experience </w:t>
      </w:r>
      <w:r w:rsidR="00EC4D0A" w:rsidRPr="00611B89">
        <w:t xml:space="preserve">18-year-old </w:t>
      </w:r>
      <w:r w:rsidRPr="00611B89">
        <w:t>ASMM had tested for HIV at</w:t>
      </w:r>
      <w:r w:rsidR="00A86F80" w:rsidRPr="00611B89">
        <w:t xml:space="preserve"> least once in their lifetime. </w:t>
      </w:r>
      <w:r w:rsidR="00A30CE2" w:rsidRPr="00611B89">
        <w:t xml:space="preserve">We simulated multiple weekly testing hazards until obtaining a value that yielded </w:t>
      </w:r>
      <w:r w:rsidR="009F5AF8" w:rsidRPr="00611B89">
        <w:t>this</w:t>
      </w:r>
      <w:r w:rsidR="00A30CE2" w:rsidRPr="00611B89">
        <w:t xml:space="preserve"> outcome.  This final selection was for a constant weekly hazard for testing of 0.00238, which corresponds to a </w:t>
      </w:r>
      <w:r w:rsidRPr="00611B89">
        <w:t>mean test interval of 2</w:t>
      </w:r>
      <w:r w:rsidR="00A30CE2" w:rsidRPr="00611B89">
        <w:t>,</w:t>
      </w:r>
      <w:r w:rsidRPr="00611B89">
        <w:t>900 days</w:t>
      </w:r>
      <w:r w:rsidR="00A30CE2" w:rsidRPr="00611B89">
        <w:t>.</w:t>
      </w:r>
    </w:p>
    <w:p w14:paraId="40E3AD87" w14:textId="77777777" w:rsidR="004860CC" w:rsidRPr="00611B89" w:rsidRDefault="004860CC" w:rsidP="00874A17"/>
    <w:p w14:paraId="7984D800" w14:textId="0B2BC1DF" w:rsidR="00966BFA" w:rsidRPr="00611B89" w:rsidRDefault="004860CC" w:rsidP="00874A17">
      <w:r w:rsidRPr="00611B89">
        <w:t xml:space="preserve">Rates for progression through the care cascade conditional on testing were </w:t>
      </w:r>
      <w:r w:rsidR="00E91B23" w:rsidRPr="00611B89">
        <w:t>carried over from the adult model</w:t>
      </w:r>
      <w:r w:rsidR="00BF50C1">
        <w:t xml:space="preserve"> </w:t>
      </w:r>
      <w:r w:rsidR="00A321A4" w:rsidRPr="00611B89">
        <w:fldChar w:fldCharType="begin"/>
      </w:r>
      <w:r w:rsidR="00D016FA">
        <w:instrText xml:space="preserve"> ADDIN EN.CITE &lt;EndNote&gt;&lt;Cite&gt;&lt;Author&gt;Jenness&lt;/Author&gt;&lt;Year&gt;2016&lt;/Year&gt;&lt;RecNum&gt;13&lt;/RecNum&gt;&lt;DisplayText&gt;(1)&lt;/DisplayText&gt;&lt;record&gt;&lt;rec-number&gt;13&lt;/rec-number&gt;&lt;foreign-keys&gt;&lt;key app="EN" db-id="xvdv2sspezx5x4ew22qv2waqev0p25tsetrx" timestamp="0"&gt;13&lt;/key&gt;&lt;/foreign-keys&gt;&lt;ref-type name="Journal Article"&gt;17&lt;/ref-type&gt;&lt;contributors&gt;&lt;authors&gt;&lt;author&gt;Jenness, S. M.&lt;/author&gt;&lt;author&gt;Goodreau, S. M.&lt;/author&gt;&lt;author&gt;Rosenberg, E.&lt;/author&gt;&lt;author&gt;Beylerian, E. N.&lt;/author&gt;&lt;author&gt;Hoover, K. W.&lt;/author&gt;&lt;author&gt;Smith, D. K.&lt;/author&gt;&lt;author&gt;Sullivan, P.&lt;/author&gt;&lt;/authors&gt;&lt;/contributors&gt;&lt;auth-address&gt;Department of Epidemiology.&amp;#xD;Department of Anthropology.&amp;#xD;Center for Studies in Demography and Ecology, University of Washington, Seattle.&amp;#xD;Division of HIV/AIDS Prevention, Centers for Disease Control and Prevention, Atlanta, Georgia.&amp;#xD;Department of Epidemiology Department of Global Health, Emory University.&lt;/auth-address&gt;&lt;titles&gt;&lt;title&gt;Impact of the Centers for Disease Control&amp;apos;s HIV Preexposure Prophylaxis Guidelines for Men Who Have Sex With Men in the United States&lt;/title&gt;&lt;secondary-title&gt;J Infect Dis&lt;/secondary-title&gt;&lt;alt-title&gt;The Journal of infectious diseases&lt;/alt-title&gt;&lt;/titles&gt;&lt;periodical&gt;&lt;full-title&gt;J Infect Dis&lt;/full-title&gt;&lt;/periodical&gt;&lt;dates&gt;&lt;year&gt;2016&lt;/year&gt;&lt;pub-dates&gt;&lt;date&gt;Jul 14&lt;/date&gt;&lt;/pub-dates&gt;&lt;/dates&gt;&lt;isbn&gt;1537-6613 (Electronic)&amp;#xD;0022-1899 (Linking)&lt;/isbn&gt;&lt;accession-num&gt;27418048&lt;/accession-num&gt;&lt;urls&gt;&lt;related-urls&gt;&lt;url&gt;http://www.ncbi.nlm.nih.gov/pubmed/27418048&lt;/url&gt;&lt;/related-urls&gt;&lt;/urls&gt;&lt;electronic-resource-num&gt;10.1093/infdis/jiw223&lt;/electronic-resource-num&gt;&lt;/record&gt;&lt;/Cite&gt;&lt;/EndNote&gt;</w:instrText>
      </w:r>
      <w:r w:rsidR="00A321A4" w:rsidRPr="00611B89">
        <w:fldChar w:fldCharType="separate"/>
      </w:r>
      <w:r w:rsidR="00D016FA">
        <w:rPr>
          <w:noProof/>
        </w:rPr>
        <w:t>(1)</w:t>
      </w:r>
      <w:r w:rsidR="00A321A4" w:rsidRPr="00611B89">
        <w:fldChar w:fldCharType="end"/>
      </w:r>
      <w:r w:rsidR="00BF50C1">
        <w:t>,</w:t>
      </w:r>
      <w:r w:rsidR="00E91B23" w:rsidRPr="00611B89">
        <w:t xml:space="preserve"> in the absence of large-scale ASMM-specific data parametrized as needed for the model. However, given the very low rate of testing in this </w:t>
      </w:r>
      <w:r w:rsidR="009F5AF8" w:rsidRPr="00611B89">
        <w:t>population</w:t>
      </w:r>
      <w:r w:rsidR="00E91B23" w:rsidRPr="00611B89">
        <w:t xml:space="preserve">, treatment is </w:t>
      </w:r>
      <w:r w:rsidR="00A6025E" w:rsidRPr="00611B89">
        <w:t xml:space="preserve">not widespread, so that the exact details of treatment </w:t>
      </w:r>
      <w:r w:rsidR="00A808B3" w:rsidRPr="00611B89">
        <w:t xml:space="preserve">uptake and adherence given testing </w:t>
      </w:r>
      <w:r w:rsidR="00A6025E" w:rsidRPr="00611B89">
        <w:t>are unlikely to have a large effect on our model.</w:t>
      </w:r>
    </w:p>
    <w:p w14:paraId="785F6E89" w14:textId="77777777" w:rsidR="00F912A1" w:rsidRPr="00611B89" w:rsidRDefault="00F912A1" w:rsidP="00874A17"/>
    <w:p w14:paraId="00206566" w14:textId="2DA78F59" w:rsidR="00314971" w:rsidRPr="00611B89" w:rsidRDefault="009A7AF4" w:rsidP="00874A17">
      <w:pPr>
        <w:pStyle w:val="Heading2"/>
        <w:numPr>
          <w:ilvl w:val="1"/>
          <w:numId w:val="1"/>
        </w:numPr>
        <w:spacing w:before="0" w:line="240" w:lineRule="auto"/>
        <w:rPr>
          <w:rFonts w:cs="Arial"/>
          <w:b/>
          <w:i w:val="0"/>
          <w:szCs w:val="22"/>
        </w:rPr>
      </w:pPr>
      <w:bookmarkStart w:id="30" w:name="_Toc479764843"/>
      <w:bookmarkStart w:id="31" w:name="_Toc479765056"/>
      <w:bookmarkStart w:id="32" w:name="_Toc479765568"/>
      <w:r w:rsidRPr="00611B89">
        <w:rPr>
          <w:rFonts w:cs="Arial"/>
          <w:b/>
          <w:i w:val="0"/>
          <w:szCs w:val="22"/>
        </w:rPr>
        <w:t>Contact outside the population</w:t>
      </w:r>
      <w:bookmarkEnd w:id="30"/>
      <w:bookmarkEnd w:id="31"/>
      <w:bookmarkEnd w:id="32"/>
    </w:p>
    <w:p w14:paraId="75DEB59F" w14:textId="77777777" w:rsidR="00F912A1" w:rsidRPr="00611B89" w:rsidRDefault="00F912A1" w:rsidP="00874A17"/>
    <w:p w14:paraId="7BEA7E1C" w14:textId="1C589FA0" w:rsidR="0032047C" w:rsidRPr="00611B89" w:rsidRDefault="00CC4CEA" w:rsidP="00874A17">
      <w:r w:rsidRPr="00611B89">
        <w:t xml:space="preserve">Transmission of HIV from partners outside the modeled population was </w:t>
      </w:r>
      <w:r w:rsidR="00A2790E" w:rsidRPr="00611B89">
        <w:t xml:space="preserve">modeled using a </w:t>
      </w:r>
      <w:r w:rsidR="00E20D95" w:rsidRPr="00611B89">
        <w:t xml:space="preserve">weekly hazard, which varied </w:t>
      </w:r>
      <w:r w:rsidR="00225C78" w:rsidRPr="00611B89">
        <w:t xml:space="preserve">as a function of age and risk </w:t>
      </w:r>
      <w:r w:rsidR="00A86F50" w:rsidRPr="00611B89">
        <w:t>quintile</w:t>
      </w:r>
      <w:r w:rsidR="00225C78" w:rsidRPr="00611B89">
        <w:t>.</w:t>
      </w:r>
      <w:r w:rsidR="008B3360" w:rsidRPr="00611B89">
        <w:t xml:space="preserve"> The first component of this hazard was the probability of contact outside the </w:t>
      </w:r>
      <w:r w:rsidR="008B1039" w:rsidRPr="00611B89">
        <w:t xml:space="preserve">explicitly </w:t>
      </w:r>
      <w:r w:rsidR="008B3360" w:rsidRPr="00611B89">
        <w:t>modeled population</w:t>
      </w:r>
      <w:r w:rsidR="00685969" w:rsidRPr="00611B89">
        <w:t>:</w:t>
      </w:r>
    </w:p>
    <w:p w14:paraId="289ED989" w14:textId="5D8802AA" w:rsidR="007045DC" w:rsidRPr="00611B89" w:rsidRDefault="007045DC" w:rsidP="00685969">
      <w:pPr>
        <w:rPr>
          <w:b/>
        </w:rPr>
      </w:pPr>
    </w:p>
    <w:tbl>
      <w:tblPr>
        <w:tblStyle w:val="TableGrid"/>
        <w:tblW w:w="0" w:type="auto"/>
        <w:jc w:val="center"/>
        <w:tblLook w:val="04A0" w:firstRow="1" w:lastRow="0" w:firstColumn="1" w:lastColumn="0" w:noHBand="0" w:noVBand="1"/>
      </w:tblPr>
      <w:tblGrid>
        <w:gridCol w:w="1197"/>
        <w:gridCol w:w="1197"/>
        <w:gridCol w:w="1197"/>
        <w:gridCol w:w="1197"/>
        <w:gridCol w:w="1197"/>
        <w:gridCol w:w="1197"/>
        <w:gridCol w:w="1197"/>
      </w:tblGrid>
      <w:tr w:rsidR="0032047C" w:rsidRPr="00611B89" w14:paraId="49FDAAF1" w14:textId="77777777" w:rsidTr="00FC5C77">
        <w:trPr>
          <w:jc w:val="center"/>
        </w:trPr>
        <w:tc>
          <w:tcPr>
            <w:tcW w:w="1197" w:type="dxa"/>
            <w:vMerge w:val="restart"/>
            <w:shd w:val="clear" w:color="auto" w:fill="F2F2F2" w:themeFill="background1" w:themeFillShade="F2"/>
          </w:tcPr>
          <w:p w14:paraId="710C267F" w14:textId="77777777" w:rsidR="0032047C" w:rsidRPr="00611B89" w:rsidRDefault="0032047C" w:rsidP="00874A17">
            <w:pPr>
              <w:rPr>
                <w:b/>
              </w:rPr>
            </w:pPr>
            <w:r w:rsidRPr="00611B89">
              <w:rPr>
                <w:b/>
              </w:rPr>
              <w:t>Risk Quintile</w:t>
            </w:r>
          </w:p>
        </w:tc>
        <w:tc>
          <w:tcPr>
            <w:tcW w:w="7182" w:type="dxa"/>
            <w:gridSpan w:val="6"/>
            <w:shd w:val="clear" w:color="auto" w:fill="F2F2F2" w:themeFill="background1" w:themeFillShade="F2"/>
          </w:tcPr>
          <w:p w14:paraId="7A2DCC25" w14:textId="77777777" w:rsidR="0032047C" w:rsidRPr="00611B89" w:rsidRDefault="0032047C" w:rsidP="00874A17">
            <w:pPr>
              <w:jc w:val="center"/>
              <w:rPr>
                <w:b/>
              </w:rPr>
            </w:pPr>
            <w:r w:rsidRPr="00611B89">
              <w:rPr>
                <w:b/>
              </w:rPr>
              <w:t>Age</w:t>
            </w:r>
          </w:p>
        </w:tc>
      </w:tr>
      <w:tr w:rsidR="0032047C" w:rsidRPr="00611B89" w14:paraId="410C4E89" w14:textId="77777777" w:rsidTr="00FC5C77">
        <w:trPr>
          <w:jc w:val="center"/>
        </w:trPr>
        <w:tc>
          <w:tcPr>
            <w:tcW w:w="1197" w:type="dxa"/>
            <w:vMerge/>
            <w:shd w:val="clear" w:color="auto" w:fill="F2F2F2" w:themeFill="background1" w:themeFillShade="F2"/>
          </w:tcPr>
          <w:p w14:paraId="2393B100" w14:textId="77777777" w:rsidR="0032047C" w:rsidRPr="00611B89" w:rsidRDefault="0032047C" w:rsidP="00874A17"/>
        </w:tc>
        <w:tc>
          <w:tcPr>
            <w:tcW w:w="1197" w:type="dxa"/>
            <w:shd w:val="clear" w:color="auto" w:fill="F2F2F2" w:themeFill="background1" w:themeFillShade="F2"/>
          </w:tcPr>
          <w:p w14:paraId="73FA117B" w14:textId="77777777" w:rsidR="0032047C" w:rsidRPr="00611B89" w:rsidRDefault="0032047C" w:rsidP="00874A17">
            <w:pPr>
              <w:jc w:val="center"/>
              <w:rPr>
                <w:b/>
              </w:rPr>
            </w:pPr>
            <w:r w:rsidRPr="00611B89">
              <w:rPr>
                <w:b/>
              </w:rPr>
              <w:t>13</w:t>
            </w:r>
          </w:p>
        </w:tc>
        <w:tc>
          <w:tcPr>
            <w:tcW w:w="1197" w:type="dxa"/>
            <w:shd w:val="clear" w:color="auto" w:fill="F2F2F2" w:themeFill="background1" w:themeFillShade="F2"/>
          </w:tcPr>
          <w:p w14:paraId="5B7D9CA2" w14:textId="77777777" w:rsidR="0032047C" w:rsidRPr="00611B89" w:rsidRDefault="0032047C" w:rsidP="00874A17">
            <w:pPr>
              <w:jc w:val="center"/>
              <w:rPr>
                <w:b/>
              </w:rPr>
            </w:pPr>
            <w:r w:rsidRPr="00611B89">
              <w:rPr>
                <w:b/>
              </w:rPr>
              <w:t>14</w:t>
            </w:r>
          </w:p>
        </w:tc>
        <w:tc>
          <w:tcPr>
            <w:tcW w:w="1197" w:type="dxa"/>
            <w:shd w:val="clear" w:color="auto" w:fill="F2F2F2" w:themeFill="background1" w:themeFillShade="F2"/>
          </w:tcPr>
          <w:p w14:paraId="7CEEE3EA" w14:textId="77777777" w:rsidR="0032047C" w:rsidRPr="00611B89" w:rsidRDefault="0032047C" w:rsidP="00874A17">
            <w:pPr>
              <w:jc w:val="center"/>
              <w:rPr>
                <w:b/>
              </w:rPr>
            </w:pPr>
            <w:r w:rsidRPr="00611B89">
              <w:rPr>
                <w:b/>
              </w:rPr>
              <w:t>15</w:t>
            </w:r>
          </w:p>
        </w:tc>
        <w:tc>
          <w:tcPr>
            <w:tcW w:w="1197" w:type="dxa"/>
            <w:shd w:val="clear" w:color="auto" w:fill="F2F2F2" w:themeFill="background1" w:themeFillShade="F2"/>
          </w:tcPr>
          <w:p w14:paraId="73AA8BE1" w14:textId="77777777" w:rsidR="0032047C" w:rsidRPr="00611B89" w:rsidRDefault="0032047C" w:rsidP="00874A17">
            <w:pPr>
              <w:jc w:val="center"/>
              <w:rPr>
                <w:b/>
              </w:rPr>
            </w:pPr>
            <w:r w:rsidRPr="00611B89">
              <w:rPr>
                <w:b/>
              </w:rPr>
              <w:t>16</w:t>
            </w:r>
          </w:p>
        </w:tc>
        <w:tc>
          <w:tcPr>
            <w:tcW w:w="1197" w:type="dxa"/>
            <w:shd w:val="clear" w:color="auto" w:fill="F2F2F2" w:themeFill="background1" w:themeFillShade="F2"/>
          </w:tcPr>
          <w:p w14:paraId="70C52AF3" w14:textId="77777777" w:rsidR="0032047C" w:rsidRPr="00611B89" w:rsidRDefault="0032047C" w:rsidP="00874A17">
            <w:pPr>
              <w:jc w:val="center"/>
              <w:rPr>
                <w:b/>
              </w:rPr>
            </w:pPr>
            <w:r w:rsidRPr="00611B89">
              <w:rPr>
                <w:b/>
              </w:rPr>
              <w:t>17</w:t>
            </w:r>
          </w:p>
        </w:tc>
        <w:tc>
          <w:tcPr>
            <w:tcW w:w="1197" w:type="dxa"/>
            <w:shd w:val="clear" w:color="auto" w:fill="F2F2F2" w:themeFill="background1" w:themeFillShade="F2"/>
          </w:tcPr>
          <w:p w14:paraId="570DA1FD" w14:textId="77777777" w:rsidR="0032047C" w:rsidRPr="00611B89" w:rsidRDefault="0032047C" w:rsidP="00874A17">
            <w:pPr>
              <w:jc w:val="center"/>
              <w:rPr>
                <w:b/>
              </w:rPr>
            </w:pPr>
            <w:r w:rsidRPr="00611B89">
              <w:rPr>
                <w:b/>
              </w:rPr>
              <w:t>18</w:t>
            </w:r>
          </w:p>
        </w:tc>
      </w:tr>
      <w:tr w:rsidR="0032047C" w:rsidRPr="00611B89" w14:paraId="7632F82D" w14:textId="77777777" w:rsidTr="00FC5C77">
        <w:trPr>
          <w:jc w:val="center"/>
        </w:trPr>
        <w:tc>
          <w:tcPr>
            <w:tcW w:w="1197" w:type="dxa"/>
            <w:shd w:val="clear" w:color="auto" w:fill="auto"/>
          </w:tcPr>
          <w:p w14:paraId="102DBFA1" w14:textId="77777777" w:rsidR="0032047C" w:rsidRPr="00611B89" w:rsidRDefault="0032047C" w:rsidP="00874A17">
            <w:pPr>
              <w:rPr>
                <w:b/>
              </w:rPr>
            </w:pPr>
            <w:r w:rsidRPr="00611B89">
              <w:rPr>
                <w:b/>
              </w:rPr>
              <w:t>Risk q1</w:t>
            </w:r>
          </w:p>
        </w:tc>
        <w:tc>
          <w:tcPr>
            <w:tcW w:w="1197" w:type="dxa"/>
            <w:shd w:val="clear" w:color="auto" w:fill="auto"/>
          </w:tcPr>
          <w:p w14:paraId="461D3F81" w14:textId="77777777" w:rsidR="0032047C" w:rsidRPr="00611B89" w:rsidRDefault="00BF0F0B" w:rsidP="007D7F51">
            <w:pPr>
              <w:jc w:val="center"/>
            </w:pPr>
            <w:r w:rsidRPr="00611B89">
              <w:t>.0022</w:t>
            </w:r>
          </w:p>
        </w:tc>
        <w:tc>
          <w:tcPr>
            <w:tcW w:w="1197" w:type="dxa"/>
            <w:shd w:val="clear" w:color="auto" w:fill="auto"/>
          </w:tcPr>
          <w:p w14:paraId="6B1A24A8" w14:textId="77777777" w:rsidR="0032047C" w:rsidRPr="00611B89" w:rsidRDefault="00BF0F0B" w:rsidP="007D7F51">
            <w:pPr>
              <w:jc w:val="center"/>
            </w:pPr>
            <w:r w:rsidRPr="00611B89">
              <w:t>.0046</w:t>
            </w:r>
          </w:p>
        </w:tc>
        <w:tc>
          <w:tcPr>
            <w:tcW w:w="1197" w:type="dxa"/>
            <w:shd w:val="clear" w:color="auto" w:fill="auto"/>
          </w:tcPr>
          <w:p w14:paraId="64FD3757" w14:textId="77777777" w:rsidR="0032047C" w:rsidRPr="00611B89" w:rsidRDefault="00BF0F0B" w:rsidP="007D7F51">
            <w:pPr>
              <w:jc w:val="center"/>
            </w:pPr>
            <w:r w:rsidRPr="00611B89">
              <w:t>.0068</w:t>
            </w:r>
          </w:p>
        </w:tc>
        <w:tc>
          <w:tcPr>
            <w:tcW w:w="1197" w:type="dxa"/>
            <w:shd w:val="clear" w:color="auto" w:fill="auto"/>
          </w:tcPr>
          <w:p w14:paraId="6140FD9D" w14:textId="77777777" w:rsidR="0032047C" w:rsidRPr="00611B89" w:rsidRDefault="00BF0F0B" w:rsidP="007D7F51">
            <w:pPr>
              <w:jc w:val="center"/>
            </w:pPr>
            <w:r w:rsidRPr="00611B89">
              <w:t>.0092</w:t>
            </w:r>
          </w:p>
        </w:tc>
        <w:tc>
          <w:tcPr>
            <w:tcW w:w="1197" w:type="dxa"/>
            <w:shd w:val="clear" w:color="auto" w:fill="auto"/>
          </w:tcPr>
          <w:p w14:paraId="154E574A" w14:textId="77777777" w:rsidR="0032047C" w:rsidRPr="00611B89" w:rsidRDefault="00BF0F0B" w:rsidP="007D7F51">
            <w:pPr>
              <w:jc w:val="center"/>
            </w:pPr>
            <w:r w:rsidRPr="00611B89">
              <w:t>.0114</w:t>
            </w:r>
          </w:p>
        </w:tc>
        <w:tc>
          <w:tcPr>
            <w:tcW w:w="1197" w:type="dxa"/>
            <w:shd w:val="clear" w:color="auto" w:fill="auto"/>
          </w:tcPr>
          <w:p w14:paraId="797770E5" w14:textId="77777777" w:rsidR="0032047C" w:rsidRPr="00611B89" w:rsidRDefault="00BF0F0B" w:rsidP="007D7F51">
            <w:pPr>
              <w:jc w:val="center"/>
            </w:pPr>
            <w:r w:rsidRPr="00611B89">
              <w:t>.0136</w:t>
            </w:r>
          </w:p>
        </w:tc>
      </w:tr>
      <w:tr w:rsidR="0032047C" w:rsidRPr="00611B89" w14:paraId="4ADB33F7" w14:textId="77777777" w:rsidTr="00FC5C77">
        <w:trPr>
          <w:jc w:val="center"/>
        </w:trPr>
        <w:tc>
          <w:tcPr>
            <w:tcW w:w="1197" w:type="dxa"/>
            <w:shd w:val="clear" w:color="auto" w:fill="auto"/>
          </w:tcPr>
          <w:p w14:paraId="1C67C146" w14:textId="77777777" w:rsidR="0032047C" w:rsidRPr="00611B89" w:rsidRDefault="0032047C" w:rsidP="00874A17">
            <w:pPr>
              <w:rPr>
                <w:b/>
              </w:rPr>
            </w:pPr>
            <w:r w:rsidRPr="00611B89">
              <w:rPr>
                <w:b/>
              </w:rPr>
              <w:t>Risk q2</w:t>
            </w:r>
          </w:p>
        </w:tc>
        <w:tc>
          <w:tcPr>
            <w:tcW w:w="1197" w:type="dxa"/>
            <w:shd w:val="clear" w:color="auto" w:fill="auto"/>
          </w:tcPr>
          <w:p w14:paraId="536E55B2" w14:textId="77777777" w:rsidR="0032047C" w:rsidRPr="00611B89" w:rsidRDefault="00BF0F0B" w:rsidP="007D7F51">
            <w:pPr>
              <w:jc w:val="center"/>
            </w:pPr>
            <w:r w:rsidRPr="00611B89">
              <w:t>.0046</w:t>
            </w:r>
          </w:p>
        </w:tc>
        <w:tc>
          <w:tcPr>
            <w:tcW w:w="1197" w:type="dxa"/>
            <w:shd w:val="clear" w:color="auto" w:fill="auto"/>
          </w:tcPr>
          <w:p w14:paraId="4ADA8181" w14:textId="77777777" w:rsidR="0032047C" w:rsidRPr="00611B89" w:rsidRDefault="00BF0F0B" w:rsidP="007D7F51">
            <w:pPr>
              <w:jc w:val="center"/>
            </w:pPr>
            <w:r w:rsidRPr="00611B89">
              <w:t>.0092</w:t>
            </w:r>
          </w:p>
        </w:tc>
        <w:tc>
          <w:tcPr>
            <w:tcW w:w="1197" w:type="dxa"/>
            <w:shd w:val="clear" w:color="auto" w:fill="auto"/>
          </w:tcPr>
          <w:p w14:paraId="3BA704A9" w14:textId="77777777" w:rsidR="0032047C" w:rsidRPr="00611B89" w:rsidRDefault="00BF0F0B" w:rsidP="007D7F51">
            <w:pPr>
              <w:jc w:val="center"/>
            </w:pPr>
            <w:r w:rsidRPr="00611B89">
              <w:t>.0136</w:t>
            </w:r>
          </w:p>
        </w:tc>
        <w:tc>
          <w:tcPr>
            <w:tcW w:w="1197" w:type="dxa"/>
            <w:shd w:val="clear" w:color="auto" w:fill="auto"/>
          </w:tcPr>
          <w:p w14:paraId="116A9639" w14:textId="77777777" w:rsidR="0032047C" w:rsidRPr="00611B89" w:rsidRDefault="00BF0F0B" w:rsidP="007D7F51">
            <w:pPr>
              <w:jc w:val="center"/>
            </w:pPr>
            <w:r w:rsidRPr="00611B89">
              <w:t>.0182</w:t>
            </w:r>
          </w:p>
        </w:tc>
        <w:tc>
          <w:tcPr>
            <w:tcW w:w="1197" w:type="dxa"/>
            <w:shd w:val="clear" w:color="auto" w:fill="auto"/>
          </w:tcPr>
          <w:p w14:paraId="4111BF7B" w14:textId="77777777" w:rsidR="0032047C" w:rsidRPr="00611B89" w:rsidRDefault="00BF0F0B" w:rsidP="007D7F51">
            <w:pPr>
              <w:jc w:val="center"/>
            </w:pPr>
            <w:r w:rsidRPr="00611B89">
              <w:t>.0228</w:t>
            </w:r>
          </w:p>
        </w:tc>
        <w:tc>
          <w:tcPr>
            <w:tcW w:w="1197" w:type="dxa"/>
            <w:shd w:val="clear" w:color="auto" w:fill="auto"/>
          </w:tcPr>
          <w:p w14:paraId="60EBA30E" w14:textId="77777777" w:rsidR="0032047C" w:rsidRPr="00611B89" w:rsidRDefault="00BF0F0B" w:rsidP="007D7F51">
            <w:pPr>
              <w:jc w:val="center"/>
            </w:pPr>
            <w:r w:rsidRPr="00611B89">
              <w:t>.0274</w:t>
            </w:r>
          </w:p>
        </w:tc>
      </w:tr>
      <w:tr w:rsidR="0032047C" w:rsidRPr="00611B89" w14:paraId="74456362" w14:textId="77777777" w:rsidTr="00FC5C77">
        <w:trPr>
          <w:jc w:val="center"/>
        </w:trPr>
        <w:tc>
          <w:tcPr>
            <w:tcW w:w="1197" w:type="dxa"/>
            <w:shd w:val="clear" w:color="auto" w:fill="auto"/>
          </w:tcPr>
          <w:p w14:paraId="56656970" w14:textId="77777777" w:rsidR="0032047C" w:rsidRPr="00611B89" w:rsidRDefault="0032047C" w:rsidP="00874A17">
            <w:pPr>
              <w:rPr>
                <w:b/>
              </w:rPr>
            </w:pPr>
            <w:r w:rsidRPr="00611B89">
              <w:rPr>
                <w:b/>
              </w:rPr>
              <w:t>Risk q3</w:t>
            </w:r>
          </w:p>
        </w:tc>
        <w:tc>
          <w:tcPr>
            <w:tcW w:w="1197" w:type="dxa"/>
            <w:shd w:val="clear" w:color="auto" w:fill="auto"/>
          </w:tcPr>
          <w:p w14:paraId="0B8ADE4F" w14:textId="77777777" w:rsidR="0032047C" w:rsidRPr="00611B89" w:rsidRDefault="00BF0F0B" w:rsidP="007D7F51">
            <w:pPr>
              <w:jc w:val="center"/>
            </w:pPr>
            <w:r w:rsidRPr="00611B89">
              <w:t>.0068</w:t>
            </w:r>
          </w:p>
        </w:tc>
        <w:tc>
          <w:tcPr>
            <w:tcW w:w="1197" w:type="dxa"/>
            <w:shd w:val="clear" w:color="auto" w:fill="auto"/>
          </w:tcPr>
          <w:p w14:paraId="697F3066" w14:textId="77777777" w:rsidR="0032047C" w:rsidRPr="00611B89" w:rsidRDefault="00BF0F0B" w:rsidP="007D7F51">
            <w:pPr>
              <w:jc w:val="center"/>
            </w:pPr>
            <w:r w:rsidRPr="00611B89">
              <w:t>.0136</w:t>
            </w:r>
          </w:p>
        </w:tc>
        <w:tc>
          <w:tcPr>
            <w:tcW w:w="1197" w:type="dxa"/>
            <w:shd w:val="clear" w:color="auto" w:fill="auto"/>
          </w:tcPr>
          <w:p w14:paraId="4F709FA2" w14:textId="77777777" w:rsidR="0032047C" w:rsidRPr="00611B89" w:rsidRDefault="00BF0F0B" w:rsidP="007D7F51">
            <w:pPr>
              <w:jc w:val="center"/>
            </w:pPr>
            <w:r w:rsidRPr="00611B89">
              <w:t>.0206</w:t>
            </w:r>
          </w:p>
        </w:tc>
        <w:tc>
          <w:tcPr>
            <w:tcW w:w="1197" w:type="dxa"/>
            <w:shd w:val="clear" w:color="auto" w:fill="auto"/>
          </w:tcPr>
          <w:p w14:paraId="2EA8D6E1" w14:textId="77777777" w:rsidR="0032047C" w:rsidRPr="00611B89" w:rsidRDefault="00BF0F0B" w:rsidP="007D7F51">
            <w:pPr>
              <w:jc w:val="center"/>
            </w:pPr>
            <w:r w:rsidRPr="00611B89">
              <w:t>.0274</w:t>
            </w:r>
          </w:p>
        </w:tc>
        <w:tc>
          <w:tcPr>
            <w:tcW w:w="1197" w:type="dxa"/>
            <w:shd w:val="clear" w:color="auto" w:fill="auto"/>
          </w:tcPr>
          <w:p w14:paraId="1E484517" w14:textId="77777777" w:rsidR="0032047C" w:rsidRPr="00611B89" w:rsidRDefault="00BF0F0B" w:rsidP="007D7F51">
            <w:pPr>
              <w:jc w:val="center"/>
            </w:pPr>
            <w:r w:rsidRPr="00611B89">
              <w:t>.0342</w:t>
            </w:r>
          </w:p>
        </w:tc>
        <w:tc>
          <w:tcPr>
            <w:tcW w:w="1197" w:type="dxa"/>
            <w:shd w:val="clear" w:color="auto" w:fill="auto"/>
          </w:tcPr>
          <w:p w14:paraId="558F448B" w14:textId="77777777" w:rsidR="0032047C" w:rsidRPr="00611B89" w:rsidRDefault="00BF0F0B" w:rsidP="007D7F51">
            <w:pPr>
              <w:jc w:val="center"/>
            </w:pPr>
            <w:r w:rsidRPr="00611B89">
              <w:t>.0410</w:t>
            </w:r>
          </w:p>
        </w:tc>
      </w:tr>
      <w:tr w:rsidR="0032047C" w:rsidRPr="00611B89" w14:paraId="14E26C6C" w14:textId="77777777" w:rsidTr="00FC5C77">
        <w:trPr>
          <w:jc w:val="center"/>
        </w:trPr>
        <w:tc>
          <w:tcPr>
            <w:tcW w:w="1197" w:type="dxa"/>
            <w:shd w:val="clear" w:color="auto" w:fill="auto"/>
          </w:tcPr>
          <w:p w14:paraId="25028D1B" w14:textId="77777777" w:rsidR="0032047C" w:rsidRPr="00611B89" w:rsidRDefault="0032047C" w:rsidP="00874A17">
            <w:pPr>
              <w:rPr>
                <w:b/>
              </w:rPr>
            </w:pPr>
            <w:r w:rsidRPr="00611B89">
              <w:rPr>
                <w:b/>
              </w:rPr>
              <w:lastRenderedPageBreak/>
              <w:t>Risk q4</w:t>
            </w:r>
          </w:p>
        </w:tc>
        <w:tc>
          <w:tcPr>
            <w:tcW w:w="1197" w:type="dxa"/>
            <w:shd w:val="clear" w:color="auto" w:fill="auto"/>
          </w:tcPr>
          <w:p w14:paraId="6DEC0ADD" w14:textId="77777777" w:rsidR="0032047C" w:rsidRPr="00611B89" w:rsidRDefault="00BF0F0B" w:rsidP="007D7F51">
            <w:pPr>
              <w:jc w:val="center"/>
            </w:pPr>
            <w:r w:rsidRPr="00611B89">
              <w:t>.0106</w:t>
            </w:r>
          </w:p>
        </w:tc>
        <w:tc>
          <w:tcPr>
            <w:tcW w:w="1197" w:type="dxa"/>
            <w:shd w:val="clear" w:color="auto" w:fill="auto"/>
          </w:tcPr>
          <w:p w14:paraId="1369BA1F" w14:textId="77777777" w:rsidR="0032047C" w:rsidRPr="00611B89" w:rsidRDefault="00BF0F0B" w:rsidP="007D7F51">
            <w:pPr>
              <w:jc w:val="center"/>
            </w:pPr>
            <w:r w:rsidRPr="00611B89">
              <w:t>.0212</w:t>
            </w:r>
          </w:p>
        </w:tc>
        <w:tc>
          <w:tcPr>
            <w:tcW w:w="1197" w:type="dxa"/>
            <w:shd w:val="clear" w:color="auto" w:fill="auto"/>
          </w:tcPr>
          <w:p w14:paraId="5A15F839" w14:textId="77777777" w:rsidR="0032047C" w:rsidRPr="00611B89" w:rsidRDefault="00BF0F0B" w:rsidP="007D7F51">
            <w:pPr>
              <w:jc w:val="center"/>
            </w:pPr>
            <w:r w:rsidRPr="00611B89">
              <w:t>.0318</w:t>
            </w:r>
          </w:p>
        </w:tc>
        <w:tc>
          <w:tcPr>
            <w:tcW w:w="1197" w:type="dxa"/>
            <w:shd w:val="clear" w:color="auto" w:fill="auto"/>
          </w:tcPr>
          <w:p w14:paraId="17E08F0E" w14:textId="77777777" w:rsidR="0032047C" w:rsidRPr="00611B89" w:rsidRDefault="00BF0F0B" w:rsidP="007D7F51">
            <w:pPr>
              <w:jc w:val="center"/>
            </w:pPr>
            <w:r w:rsidRPr="00611B89">
              <w:t>.0424</w:t>
            </w:r>
          </w:p>
        </w:tc>
        <w:tc>
          <w:tcPr>
            <w:tcW w:w="1197" w:type="dxa"/>
            <w:shd w:val="clear" w:color="auto" w:fill="auto"/>
          </w:tcPr>
          <w:p w14:paraId="1CDCD897" w14:textId="77777777" w:rsidR="0032047C" w:rsidRPr="00611B89" w:rsidRDefault="00BF0F0B" w:rsidP="007D7F51">
            <w:pPr>
              <w:jc w:val="center"/>
            </w:pPr>
            <w:r w:rsidRPr="00611B89">
              <w:t>.0530</w:t>
            </w:r>
          </w:p>
        </w:tc>
        <w:tc>
          <w:tcPr>
            <w:tcW w:w="1197" w:type="dxa"/>
            <w:shd w:val="clear" w:color="auto" w:fill="auto"/>
          </w:tcPr>
          <w:p w14:paraId="5F6DDDCA" w14:textId="77777777" w:rsidR="0032047C" w:rsidRPr="00611B89" w:rsidRDefault="00BF0F0B" w:rsidP="007D7F51">
            <w:pPr>
              <w:jc w:val="center"/>
            </w:pPr>
            <w:r w:rsidRPr="00611B89">
              <w:t>.0636</w:t>
            </w:r>
          </w:p>
        </w:tc>
      </w:tr>
      <w:tr w:rsidR="0032047C" w:rsidRPr="00611B89" w14:paraId="12CDFD28" w14:textId="77777777" w:rsidTr="00FC5C77">
        <w:trPr>
          <w:jc w:val="center"/>
        </w:trPr>
        <w:tc>
          <w:tcPr>
            <w:tcW w:w="1197" w:type="dxa"/>
            <w:shd w:val="clear" w:color="auto" w:fill="auto"/>
          </w:tcPr>
          <w:p w14:paraId="4D661D23" w14:textId="77777777" w:rsidR="0032047C" w:rsidRPr="00611B89" w:rsidRDefault="0032047C" w:rsidP="00874A17">
            <w:pPr>
              <w:rPr>
                <w:b/>
              </w:rPr>
            </w:pPr>
            <w:r w:rsidRPr="00611B89">
              <w:rPr>
                <w:b/>
              </w:rPr>
              <w:t>Risk q5</w:t>
            </w:r>
          </w:p>
        </w:tc>
        <w:tc>
          <w:tcPr>
            <w:tcW w:w="1197" w:type="dxa"/>
            <w:shd w:val="clear" w:color="auto" w:fill="auto"/>
          </w:tcPr>
          <w:p w14:paraId="6178A081" w14:textId="77777777" w:rsidR="0032047C" w:rsidRPr="00611B89" w:rsidRDefault="00BF0F0B" w:rsidP="007D7F51">
            <w:pPr>
              <w:jc w:val="center"/>
            </w:pPr>
            <w:r w:rsidRPr="00611B89">
              <w:t>.0334</w:t>
            </w:r>
          </w:p>
        </w:tc>
        <w:tc>
          <w:tcPr>
            <w:tcW w:w="1197" w:type="dxa"/>
            <w:shd w:val="clear" w:color="auto" w:fill="auto"/>
          </w:tcPr>
          <w:p w14:paraId="6BB25811" w14:textId="77777777" w:rsidR="0032047C" w:rsidRPr="00611B89" w:rsidRDefault="00BF0F0B" w:rsidP="007D7F51">
            <w:pPr>
              <w:jc w:val="center"/>
            </w:pPr>
            <w:r w:rsidRPr="00611B89">
              <w:t>.0666</w:t>
            </w:r>
          </w:p>
        </w:tc>
        <w:tc>
          <w:tcPr>
            <w:tcW w:w="1197" w:type="dxa"/>
            <w:shd w:val="clear" w:color="auto" w:fill="auto"/>
          </w:tcPr>
          <w:p w14:paraId="33E970E6" w14:textId="77777777" w:rsidR="0032047C" w:rsidRPr="00611B89" w:rsidRDefault="00BF0F0B" w:rsidP="007D7F51">
            <w:pPr>
              <w:jc w:val="center"/>
            </w:pPr>
            <w:r w:rsidRPr="00611B89">
              <w:t>.1000</w:t>
            </w:r>
          </w:p>
        </w:tc>
        <w:tc>
          <w:tcPr>
            <w:tcW w:w="1197" w:type="dxa"/>
            <w:shd w:val="clear" w:color="auto" w:fill="auto"/>
          </w:tcPr>
          <w:p w14:paraId="1D9CF09D" w14:textId="77777777" w:rsidR="0032047C" w:rsidRPr="00611B89" w:rsidRDefault="00BF0F0B" w:rsidP="007D7F51">
            <w:pPr>
              <w:jc w:val="center"/>
            </w:pPr>
            <w:r w:rsidRPr="00611B89">
              <w:t>.1334</w:t>
            </w:r>
          </w:p>
        </w:tc>
        <w:tc>
          <w:tcPr>
            <w:tcW w:w="1197" w:type="dxa"/>
            <w:shd w:val="clear" w:color="auto" w:fill="auto"/>
          </w:tcPr>
          <w:p w14:paraId="28C76E55" w14:textId="77777777" w:rsidR="0032047C" w:rsidRPr="00611B89" w:rsidRDefault="00BF0F0B" w:rsidP="007D7F51">
            <w:pPr>
              <w:jc w:val="center"/>
            </w:pPr>
            <w:r w:rsidRPr="00611B89">
              <w:t>.1666</w:t>
            </w:r>
          </w:p>
        </w:tc>
        <w:tc>
          <w:tcPr>
            <w:tcW w:w="1197" w:type="dxa"/>
            <w:shd w:val="clear" w:color="auto" w:fill="auto"/>
          </w:tcPr>
          <w:p w14:paraId="05E08EAC" w14:textId="77777777" w:rsidR="0032047C" w:rsidRPr="00611B89" w:rsidRDefault="00BF0F0B" w:rsidP="007D7F51">
            <w:pPr>
              <w:jc w:val="center"/>
            </w:pPr>
            <w:r w:rsidRPr="00611B89">
              <w:t>.2000</w:t>
            </w:r>
          </w:p>
        </w:tc>
      </w:tr>
    </w:tbl>
    <w:p w14:paraId="0375A281" w14:textId="77777777" w:rsidR="0032047C" w:rsidRPr="00611B89" w:rsidRDefault="0032047C" w:rsidP="00874A17"/>
    <w:p w14:paraId="52E7E077" w14:textId="77777777" w:rsidR="004B59D0" w:rsidRPr="00611B89" w:rsidRDefault="005113AA" w:rsidP="008558DB">
      <w:r w:rsidRPr="00611B89">
        <w:t xml:space="preserve">These were derived by first </w:t>
      </w:r>
      <w:r w:rsidR="003C646D" w:rsidRPr="00611B89">
        <w:t>calculating</w:t>
      </w:r>
      <w:r w:rsidRPr="00611B89">
        <w:t xml:space="preserve"> the overall mean contact rate</w:t>
      </w:r>
      <w:r w:rsidR="00DC14A7" w:rsidRPr="00611B89">
        <w:t>,</w:t>
      </w:r>
      <w:r w:rsidRPr="00611B89">
        <w:t xml:space="preserve"> </w:t>
      </w:r>
      <w:r w:rsidR="004B59D0" w:rsidRPr="00611B89">
        <w:t>via back-calculation from</w:t>
      </w:r>
      <w:r w:rsidRPr="00611B89">
        <w:t xml:space="preserve"> data </w:t>
      </w:r>
      <w:r w:rsidR="004B59D0" w:rsidRPr="00611B89">
        <w:t xml:space="preserve">collected from </w:t>
      </w:r>
      <w:r w:rsidR="0088399D" w:rsidRPr="00611B89">
        <w:t xml:space="preserve">19-24 year-old young adult </w:t>
      </w:r>
      <w:r w:rsidR="004B59D0" w:rsidRPr="00611B89">
        <w:t>MSM</w:t>
      </w:r>
      <w:r w:rsidR="00FA2E89" w:rsidRPr="00611B89">
        <w:t xml:space="preserve"> (YAMSM)</w:t>
      </w:r>
      <w:r w:rsidR="004B59D0" w:rsidRPr="00611B89">
        <w:t xml:space="preserve">. </w:t>
      </w:r>
      <w:r w:rsidR="00417E97" w:rsidRPr="00611B89">
        <w:t>We b</w:t>
      </w:r>
      <w:r w:rsidR="00913365" w:rsidRPr="00611B89">
        <w:t xml:space="preserve">egan by </w:t>
      </w:r>
      <w:r w:rsidR="003C646D" w:rsidRPr="00611B89">
        <w:t>estimating</w:t>
      </w:r>
      <w:r w:rsidR="00913365" w:rsidRPr="00611B89">
        <w:t xml:space="preserve"> a mean of </w:t>
      </w:r>
      <w:r w:rsidR="0021461F" w:rsidRPr="00611B89">
        <w:t>6.3 AI partners in the last year</w:t>
      </w:r>
      <w:r w:rsidR="00913365" w:rsidRPr="00611B89">
        <w:t xml:space="preserve"> for this </w:t>
      </w:r>
      <w:r w:rsidR="004E2286" w:rsidRPr="00611B89">
        <w:t xml:space="preserve">YAMSM </w:t>
      </w:r>
      <w:r w:rsidR="00913365" w:rsidRPr="00611B89">
        <w:t>population</w:t>
      </w:r>
      <w:r w:rsidR="0021461F" w:rsidRPr="00611B89">
        <w:t>, derived from analyses of data from InvolveMENt</w:t>
      </w:r>
      <w:r w:rsidR="003E4F12">
        <w:t xml:space="preserve"> </w:t>
      </w:r>
      <w:r w:rsidR="0021461F" w:rsidRPr="00611B89">
        <w:fldChar w:fldCharType="begin">
          <w:fldData xml:space="preserve">PEVuZE5vdGU+PENpdGU+PEF1dGhvcj5TdWxsaXZhbjwvQXV0aG9yPjxZZWFyPjIwMTU8L1llYXI+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</w:fldData>
        </w:fldChar>
      </w:r>
      <w:r w:rsidR="008558DB" w:rsidRPr="008558DB">
        <w:instrText xml:space="preserve"> ADDIN EN.CITE </w:instrText>
      </w:r>
      <w:r w:rsidR="008558DB" w:rsidRPr="008558DB">
        <w:fldChar w:fldCharType="begin">
          <w:fldData xml:space="preserve">PEVuZE5vdGU+PENpdGU+PEF1dGhvcj5TdWxsaXZhbjwvQXV0aG9yPjxZZWFyPjIwMTU8L1llYXI+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</w:fldData>
        </w:fldChar>
      </w:r>
      <w:r w:rsidR="008558DB" w:rsidRPr="008558DB">
        <w:instrText xml:space="preserve"> ADDIN EN.CITE.DATA </w:instrText>
      </w:r>
      <w:r w:rsidR="008558DB" w:rsidRPr="008558DB">
        <w:fldChar w:fldCharType="end"/>
      </w:r>
      <w:r w:rsidR="0021461F" w:rsidRPr="00611B89">
        <w:fldChar w:fldCharType="separate"/>
      </w:r>
      <w:r w:rsidR="008558DB">
        <w:rPr>
          <w:noProof/>
        </w:rPr>
        <w:t>(10)</w:t>
      </w:r>
      <w:r w:rsidR="0021461F" w:rsidRPr="00611B89">
        <w:fldChar w:fldCharType="end"/>
      </w:r>
      <w:r w:rsidR="0021461F" w:rsidRPr="00611B89">
        <w:t xml:space="preserve"> and the MAN Project </w:t>
      </w:r>
      <w:r w:rsidR="0021461F" w:rsidRPr="00611B89">
        <w:fldChar w:fldCharType="begin"/>
      </w:r>
      <w:r w:rsidR="00D016FA">
        <w:instrText xml:space="preserve"> ADDIN EN.CITE &lt;EndNote&gt;&lt;Cite&gt;&lt;Author&gt;Hernandez-Romieu&lt;/Author&gt;&lt;Year&gt;2015&lt;/Year&gt;&lt;RecNum&gt;24&lt;/RecNum&gt;&lt;DisplayText&gt;(11)&lt;/DisplayText&gt;&lt;record&gt;&lt;rec-number&gt;24&lt;/rec-number&gt;&lt;foreign-keys&gt;&lt;key app="EN" db-id="xvdv2sspezx5x4ew22qv2waqev0p25tsetrx" timestamp="0"&gt;24&lt;/key&gt;&lt;/foreign-keys&gt;&lt;ref-type name="Journal Article"&gt;17&lt;/ref-type&gt;&lt;contributors&gt;&lt;authors&gt;&lt;author&gt;Hernandez-Romieu, A. C.&lt;/author&gt;&lt;author&gt;Sullivan, P. S.&lt;/author&gt;&lt;author&gt;Rothenberg, R.&lt;/author&gt;&lt;author&gt;Grey, J.&lt;/author&gt;&lt;author&gt;Luisi, N.&lt;/author&gt;&lt;author&gt;Kelley, C. F.&lt;/author&gt;&lt;author&gt;Rosenberg, E. S.&lt;/author&gt;&lt;/authors&gt;&lt;/contributors&gt;&lt;auth-address&gt;From the *Department of Epidemiology, Rollins School of Public Health, Emory University, Atlanta, GA; daggerDepartment of Epidemiology and Biostatistics, School of Public Health, Georgia State University, Atlanta, GA; and double daggerDivision of Infectious Diseases, School of Medicine, Emory University, Atlanta, GA.&lt;/auth-address&gt;&lt;titles&gt;&lt;title&gt;Heterogeneity of HIV Prevalence Among the Sexual Networks of Black and White Men Who Have Sex With Men in Atlanta: Illuminating a Mechanism for Increased HIV Risk for Young Black Men Who Have Sex With Men&lt;/title&gt;&lt;secondary-title&gt;Sex Transm Dis&lt;/secondary-title&gt;&lt;alt-title&gt;Sexually transmitted diseases&lt;/alt-title&gt;&lt;/titles&gt;&lt;pages&gt;505-12&lt;/pages&gt;&lt;volume&gt;42&lt;/volume&gt;&lt;number&gt;9&lt;/number&gt;&lt;dates&gt;&lt;year&gt;2015&lt;/year&gt;&lt;pub-dates&gt;&lt;date&gt;Sep&lt;/date&gt;&lt;/pub-dates&gt;&lt;/dates&gt;&lt;isbn&gt;1537-4521 (Electronic)&amp;#xD;0148-5717 (Linking)&lt;/isbn&gt;&lt;accession-num&gt;26267877&lt;/accession-num&gt;&lt;urls&gt;&lt;related-urls&gt;&lt;url&gt;http://www.ncbi.nlm.nih.gov/pubmed/26267877&lt;/url&gt;&lt;/related-urls&gt;&lt;/urls&gt;&lt;custom2&gt;4536576&lt;/custom2&gt;&lt;electronic-resource-num&gt;10.1097/OLQ.0000000000000332&lt;/electronic-resource-num&gt;&lt;/record&gt;&lt;/Cite&gt;&lt;/EndNote&gt;</w:instrText>
      </w:r>
      <w:r w:rsidR="0021461F" w:rsidRPr="00611B89">
        <w:fldChar w:fldCharType="separate"/>
      </w:r>
      <w:r w:rsidR="00D016FA">
        <w:rPr>
          <w:noProof/>
        </w:rPr>
        <w:t>(11)</w:t>
      </w:r>
      <w:r w:rsidR="0021461F" w:rsidRPr="00611B89">
        <w:fldChar w:fldCharType="end"/>
      </w:r>
      <w:r w:rsidR="0021461F" w:rsidRPr="00611B89">
        <w:t>.</w:t>
      </w:r>
      <w:r w:rsidR="00696E94" w:rsidRPr="00611B89">
        <w:t xml:space="preserve"> </w:t>
      </w:r>
      <w:r w:rsidR="004342A1" w:rsidRPr="00611B89">
        <w:t xml:space="preserve">We then derived an estimate </w:t>
      </w:r>
      <w:r w:rsidR="00267AF0" w:rsidRPr="00611B89">
        <w:t xml:space="preserve">(6.67%) </w:t>
      </w:r>
      <w:r w:rsidR="004342A1" w:rsidRPr="00611B89">
        <w:t>of the proportion of</w:t>
      </w:r>
      <w:r w:rsidR="00384BB9" w:rsidRPr="00611B89">
        <w:t xml:space="preserve"> </w:t>
      </w:r>
      <w:r w:rsidR="00AD7EF6" w:rsidRPr="00611B89">
        <w:t>YA</w:t>
      </w:r>
      <w:r w:rsidR="004342A1" w:rsidRPr="00611B89">
        <w:t xml:space="preserve">MSM </w:t>
      </w:r>
      <w:r w:rsidR="00FF37E6" w:rsidRPr="00611B89">
        <w:t xml:space="preserve">aged 19-25 </w:t>
      </w:r>
      <w:r w:rsidR="004342A1" w:rsidRPr="00611B89">
        <w:t xml:space="preserve">who report their last AI act as being with a partner </w:t>
      </w:r>
      <w:r w:rsidR="003B0F31" w:rsidRPr="00611B89">
        <w:t xml:space="preserve">aged </w:t>
      </w:r>
      <w:r w:rsidR="004342A1" w:rsidRPr="00611B89">
        <w:t xml:space="preserve">18 </w:t>
      </w:r>
      <w:r w:rsidR="003B0F31" w:rsidRPr="00611B89">
        <w:t xml:space="preserve">years </w:t>
      </w:r>
      <w:r w:rsidR="004342A1" w:rsidRPr="00611B89">
        <w:t>or young</w:t>
      </w:r>
      <w:r w:rsidR="00B5014B" w:rsidRPr="00611B89">
        <w:t>er</w:t>
      </w:r>
      <w:r w:rsidR="00E464BC">
        <w:t xml:space="preserve">, from the Checking In study </w:t>
      </w:r>
      <w:r w:rsidR="004B537B" w:rsidRPr="00611B89">
        <w:fldChar w:fldCharType="begin"/>
      </w:r>
      <w:r w:rsidR="00D016FA">
        <w:instrText xml:space="preserve"> ADDIN EN.CITE &lt;EndNote&gt;&lt;Cite&gt;&lt;Author&gt;Khosropour&lt;/Author&gt;&lt;Year&gt;2011&lt;/Year&gt;&lt;RecNum&gt;36&lt;/RecNum&gt;&lt;DisplayText&gt;(12)&lt;/DisplayText&gt;&lt;record&gt;&lt;rec-number&gt;36&lt;/rec-number&gt;&lt;foreign-keys&gt;&lt;key app="EN" db-id="xvdv2sspezx5x4ew22qv2waqev0p25tsetrx" timestamp="0"&gt;36&lt;/key&gt;&lt;/foreign-keys&gt;&lt;ref-type name="Journal Article"&gt;17&lt;/ref-type&gt;&lt;contributors&gt;&lt;authors&gt;&lt;author&gt;Khosropour, C. M.&lt;/author&gt;&lt;author&gt;Sullivan, P. S.&lt;/author&gt;&lt;/authors&gt;&lt;/contributors&gt;&lt;auth-address&gt;Rollins School of Public Health, Department of Epidemiology, Emory University, Atlanta, GA, USA.&lt;/auth-address&gt;&lt;titles&gt;&lt;title&gt;Predictors of retention in an online follow-up study of men who have sex with men&lt;/title&gt;&lt;secondary-title&gt;J Med Internet Res&lt;/secondary-title&gt;&lt;/titles&gt;&lt;pages&gt;e47&lt;/pages&gt;&lt;volume&gt;13&lt;/volume&gt;&lt;number&gt;3&lt;/number&gt;&lt;keywords&gt;&lt;keyword&gt;Adult&lt;/keyword&gt;&lt;keyword&gt;Confidence Intervals&lt;/keyword&gt;&lt;keyword&gt;Ethnic Groups/*statistics &amp;amp; numerical data&lt;/keyword&gt;&lt;keyword&gt;Follow-Up Studies&lt;/keyword&gt;&lt;keyword&gt;HIV Infections/*prevention &amp;amp; control/transmission&lt;/keyword&gt;&lt;keyword&gt;Health Promotion/*organization &amp;amp; administration&lt;/keyword&gt;&lt;keyword&gt;Homosexuality, Male/psychology/*statistics &amp;amp; numerical data&lt;/keyword&gt;&lt;keyword&gt;Humans&lt;/keyword&gt;&lt;keyword&gt;Internet/*organization &amp;amp; administration&lt;/keyword&gt;&lt;keyword&gt;Male&lt;/keyword&gt;&lt;keyword&gt;Multivariate Analysis&lt;/keyword&gt;&lt;keyword&gt;Odds Ratio&lt;/keyword&gt;&lt;keyword&gt;Prospective Studies&lt;/keyword&gt;&lt;keyword&gt;Risk-Taking&lt;/keyword&gt;&lt;keyword&gt;Sex Education/*organization &amp;amp; administration&lt;/keyword&gt;&lt;keyword&gt;Sexual Partners/*classification/psychology&lt;/keyword&gt;&lt;keyword&gt;United States&lt;/keyword&gt;&lt;keyword&gt;Young Adult&lt;/keyword&gt;&lt;/keywords&gt;&lt;dates&gt;&lt;year&gt;2011&lt;/year&gt;&lt;/dates&gt;&lt;isbn&gt;1438-8871 (Electronic)&amp;#xD;1438-8871 (Linking)&lt;/isbn&gt;&lt;accession-num&gt;21745792&lt;/accession-num&gt;&lt;urls&gt;&lt;related-urls&gt;&lt;url&gt;http://www.ncbi.nlm.nih.gov/pubmed/21745792&lt;/url&gt;&lt;/related-urls&gt;&lt;/urls&gt;&lt;custom2&gt;PMC3222173&lt;/custom2&gt;&lt;electronic-resource-num&gt;10.2196/jmir.1717&lt;/electronic-resource-num&gt;&lt;/record&gt;&lt;/Cite&gt;&lt;/EndNote&gt;</w:instrText>
      </w:r>
      <w:r w:rsidR="004B537B" w:rsidRPr="00611B89">
        <w:fldChar w:fldCharType="separate"/>
      </w:r>
      <w:r w:rsidR="00D016FA">
        <w:rPr>
          <w:noProof/>
        </w:rPr>
        <w:t>(12)</w:t>
      </w:r>
      <w:r w:rsidR="004B537B" w:rsidRPr="00611B89">
        <w:fldChar w:fldCharType="end"/>
      </w:r>
      <w:r w:rsidR="00E464BC">
        <w:t>.</w:t>
      </w:r>
      <w:r w:rsidR="004342A1" w:rsidRPr="00611B89">
        <w:t xml:space="preserve"> We focus on this study since it was conducted online (as opposed to in-</w:t>
      </w:r>
      <w:r w:rsidR="00B15B60" w:rsidRPr="00611B89">
        <w:t>p</w:t>
      </w:r>
      <w:r w:rsidR="004342A1" w:rsidRPr="00611B89">
        <w:t xml:space="preserve">erson for InvolveMENt and the MAN </w:t>
      </w:r>
      <w:r w:rsidR="009F5AF8" w:rsidRPr="00611B89">
        <w:t>Project</w:t>
      </w:r>
      <w:r w:rsidR="004342A1" w:rsidRPr="00611B89">
        <w:t xml:space="preserve">), which we suspect will reduce the </w:t>
      </w:r>
      <w:r w:rsidR="0055735E" w:rsidRPr="00611B89">
        <w:t xml:space="preserve">quite strong </w:t>
      </w:r>
      <w:r w:rsidR="004342A1" w:rsidRPr="00611B89">
        <w:t xml:space="preserve">desirability </w:t>
      </w:r>
      <w:r w:rsidR="0055735E" w:rsidRPr="00611B89">
        <w:t>working agains</w:t>
      </w:r>
      <w:r w:rsidR="00E26309" w:rsidRPr="00611B89">
        <w:t>t reporting adolescent partners by this age group.</w:t>
      </w:r>
      <w:r w:rsidR="006D4B09" w:rsidRPr="00611B89">
        <w:t xml:space="preserve"> To reverse these rates from contacts per </w:t>
      </w:r>
      <w:r w:rsidR="00AB0B1E" w:rsidRPr="00611B89">
        <w:t>YA</w:t>
      </w:r>
      <w:r w:rsidR="006D4B09" w:rsidRPr="00611B89">
        <w:t xml:space="preserve">MSM to contacts per sexually debuted ASMM, we then adjust by the relative sizes of those two </w:t>
      </w:r>
      <w:r w:rsidR="004B626D" w:rsidRPr="00611B89">
        <w:t>cohorts</w:t>
      </w:r>
      <w:r w:rsidR="006D4B09" w:rsidRPr="00611B89">
        <w:t xml:space="preserve"> (</w:t>
      </w:r>
      <w:r w:rsidR="00A66A19" w:rsidRPr="00611B89">
        <w:t xml:space="preserve">7 </w:t>
      </w:r>
      <w:r w:rsidR="006138F2" w:rsidRPr="00611B89">
        <w:t>birth-</w:t>
      </w:r>
      <w:r w:rsidR="00A66A19" w:rsidRPr="00611B89">
        <w:t xml:space="preserve">years </w:t>
      </w:r>
      <w:r w:rsidR="006138F2" w:rsidRPr="00611B89">
        <w:t xml:space="preserve">for </w:t>
      </w:r>
      <w:r w:rsidR="00F16912" w:rsidRPr="00611B89">
        <w:t>YA</w:t>
      </w:r>
      <w:r w:rsidR="006138F2" w:rsidRPr="00611B89">
        <w:t xml:space="preserve">MSM aged 19-25 vs. 6 birth-years for ASMM </w:t>
      </w:r>
      <w:r w:rsidR="006415E6" w:rsidRPr="00611B89">
        <w:t xml:space="preserve">aged </w:t>
      </w:r>
      <w:r w:rsidR="006138F2" w:rsidRPr="00611B89">
        <w:t>13-18)</w:t>
      </w:r>
      <w:r w:rsidR="006D4B09" w:rsidRPr="00611B89">
        <w:t xml:space="preserve">, and </w:t>
      </w:r>
      <w:r w:rsidR="00773CE6" w:rsidRPr="00611B89">
        <w:t xml:space="preserve">based on </w:t>
      </w:r>
      <w:r w:rsidR="006D4B09" w:rsidRPr="00611B89">
        <w:t>the proportion of adolescent ASMM who have sexually debuted (</w:t>
      </w:r>
      <w:r w:rsidR="00364096" w:rsidRPr="00611B89">
        <w:t>60%</w:t>
      </w:r>
      <w:r w:rsidR="006D4B09" w:rsidRPr="00611B89">
        <w:t>)</w:t>
      </w:r>
      <w:r w:rsidR="001C36D8" w:rsidRPr="00611B89">
        <w:t>. We also converted from a yearly to a weekly rate</w:t>
      </w:r>
      <w:r w:rsidR="00313E1E" w:rsidRPr="00611B89">
        <w:t>, and converted from an incidence of new relationships to the prevalence of relationship by multiplying by relationship length in weeks (2.89)</w:t>
      </w:r>
      <w:r w:rsidR="001C36D8" w:rsidRPr="00611B89">
        <w:t xml:space="preserve">. Together </w:t>
      </w:r>
      <w:r w:rsidR="00313E1E" w:rsidRPr="00611B89">
        <w:t xml:space="preserve">this </w:t>
      </w:r>
      <w:r w:rsidR="001C36D8" w:rsidRPr="00611B89">
        <w:t>yields:</w:t>
      </w:r>
    </w:p>
    <w:p w14:paraId="249B1883" w14:textId="77777777" w:rsidR="001C36D8" w:rsidRPr="00611B89" w:rsidRDefault="00260118" w:rsidP="00874A17">
      <w:r w:rsidRPr="00611B89">
        <w:tab/>
      </w:r>
    </w:p>
    <w:p w14:paraId="6D0826EA" w14:textId="77777777" w:rsidR="001C36D8" w:rsidRPr="00611B89" w:rsidRDefault="00260118" w:rsidP="00874A17">
      <m:oMathPara>
        <m:oMath>
          <m:r>
            <w:rPr>
              <w:rFonts w:ascii="Cambria Math" w:hAnsi="Cambria Math"/>
            </w:rPr>
            <m:t>6.3 ×0.0667 ×</m:t>
          </m:r>
          <m:f>
            <m:fPr>
              <m:ctrlPr>
                <w:rPr>
                  <w:rFonts w:ascii="Cambria Math" w:hAnsi="Cambria Math"/>
                  <w:i/>
                </w:rPr>
              </m:ctrlPr>
            </m:fPr>
            <m:num>
              <m:r>
                <w:rPr>
                  <w:rFonts w:ascii="Cambria Math" w:hAnsi="Cambria Math"/>
                </w:rPr>
                <m:t>7</m:t>
              </m:r>
            </m:num>
            <m:den>
              <m:r>
                <w:rPr>
                  <w:rFonts w:ascii="Cambria Math" w:hAnsi="Cambria Math"/>
                </w:rPr>
                <m:t>6×0.6</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52</m:t>
              </m:r>
            </m:den>
          </m:f>
          <m:r>
            <w:rPr>
              <w:rFonts w:ascii="Cambria Math" w:hAnsi="Cambria Math"/>
            </w:rPr>
            <m:t>×2.89=0.0454</m:t>
          </m:r>
        </m:oMath>
      </m:oMathPara>
    </w:p>
    <w:p w14:paraId="6CC9CA3A" w14:textId="77777777" w:rsidR="005113AA" w:rsidRPr="00611B89" w:rsidRDefault="005113AA" w:rsidP="00874A17"/>
    <w:p w14:paraId="14601094" w14:textId="77777777" w:rsidR="005C3481" w:rsidRPr="00611B89" w:rsidRDefault="005C3481" w:rsidP="00874A17"/>
    <w:p w14:paraId="4468BAD5" w14:textId="151CE4C6" w:rsidR="00CC1464" w:rsidRPr="00611B89" w:rsidRDefault="00002F46" w:rsidP="00874A17">
      <w:r w:rsidRPr="00611B89">
        <w:t xml:space="preserve">To </w:t>
      </w:r>
      <w:r w:rsidR="008E6B96" w:rsidRPr="00611B89">
        <w:t xml:space="preserve">convert from </w:t>
      </w:r>
      <w:r w:rsidR="005E08D7" w:rsidRPr="00611B89">
        <w:t xml:space="preserve">this grand mean to </w:t>
      </w:r>
      <w:r w:rsidR="00962296" w:rsidRPr="00611B89">
        <w:t xml:space="preserve">the </w:t>
      </w:r>
      <w:r w:rsidR="00F13774" w:rsidRPr="00611B89">
        <w:t>age-by-risk-quintile matrix above</w:t>
      </w:r>
      <w:r w:rsidR="00CC1464" w:rsidRPr="00611B89">
        <w:t xml:space="preserve">, we assumed a linear decrease in contact rates down to 0 as age declined, </w:t>
      </w:r>
      <w:r w:rsidR="00B106F1" w:rsidRPr="00611B89">
        <w:t xml:space="preserve">and applied the </w:t>
      </w:r>
      <w:r w:rsidR="0028007D" w:rsidRPr="00611B89">
        <w:t xml:space="preserve">same </w:t>
      </w:r>
      <w:r w:rsidR="00B106F1" w:rsidRPr="00611B89">
        <w:t>relative contac</w:t>
      </w:r>
      <w:r w:rsidR="0028007D" w:rsidRPr="00611B89">
        <w:t xml:space="preserve">t rates for the risk quintiles found in </w:t>
      </w:r>
      <w:r w:rsidR="00CD6DB2" w:rsidRPr="00611B89">
        <w:t xml:space="preserve">the table in Section 1.2.1 </w:t>
      </w:r>
      <w:r w:rsidR="00311396" w:rsidRPr="00611B89">
        <w:t>to the risk quintiles here</w:t>
      </w:r>
      <w:r w:rsidR="00071198" w:rsidRPr="00611B89">
        <w:t>, but fixing the grand mean</w:t>
      </w:r>
      <w:r w:rsidR="0028007D" w:rsidRPr="00611B89">
        <w:t>.</w:t>
      </w:r>
    </w:p>
    <w:p w14:paraId="00D458A5" w14:textId="77777777" w:rsidR="009E476F" w:rsidRPr="00611B89" w:rsidRDefault="009E476F" w:rsidP="00874A17"/>
    <w:p w14:paraId="6D596E8E" w14:textId="49A2A6D1" w:rsidR="004345DF" w:rsidRPr="00611B89" w:rsidRDefault="005925BE" w:rsidP="008558DB">
      <w:r w:rsidRPr="00611B89">
        <w:t xml:space="preserve">With weekly contact rates set, we then </w:t>
      </w:r>
      <w:r w:rsidR="00990833" w:rsidRPr="00611B89">
        <w:t>calcul</w:t>
      </w:r>
      <w:r w:rsidRPr="00611B89">
        <w:t>ate a rough in</w:t>
      </w:r>
      <w:r w:rsidR="00990833" w:rsidRPr="00611B89">
        <w:t>i</w:t>
      </w:r>
      <w:r w:rsidRPr="00611B89">
        <w:t xml:space="preserve">tial estimate of HIV infection given contact.  </w:t>
      </w:r>
      <w:r w:rsidR="00B8157D" w:rsidRPr="00611B89">
        <w:t xml:space="preserve">We set these as 10% probability of the partner being HIV+ (given estimates of HIV prevalence in the 19-25 age range from </w:t>
      </w:r>
      <w:r w:rsidR="002C79BF" w:rsidRPr="00611B89">
        <w:t>the Nationa</w:t>
      </w:r>
      <w:r w:rsidR="0046213C" w:rsidRPr="00611B89">
        <w:t>l</w:t>
      </w:r>
      <w:r w:rsidR="002C79BF" w:rsidRPr="00611B89">
        <w:t xml:space="preserve"> HIV Behavioral Surveil</w:t>
      </w:r>
      <w:r w:rsidR="0046213C" w:rsidRPr="00611B89">
        <w:t>l</w:t>
      </w:r>
      <w:r w:rsidR="002C79BF" w:rsidRPr="00611B89">
        <w:t>ance</w:t>
      </w:r>
      <w:r w:rsidR="00E464BC">
        <w:t xml:space="preserve"> </w:t>
      </w:r>
      <w:r w:rsidR="000A074D" w:rsidRPr="00611B89">
        <w:rPr>
          <w:u w:color="000000"/>
        </w:rPr>
        <w:fldChar w:fldCharType="begin">
          <w:fldData xml:space="preserve">PEVuZE5vdGU+PENpdGU+PEF1dGhvcj5XZWpuZXJ0PC9BdXRob3I+PFllYXI+MjAxMzwvWWVhcj48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</w:fldData>
        </w:fldChar>
      </w:r>
      <w:r w:rsidR="008558DB">
        <w:rPr>
          <w:u w:color="000000"/>
        </w:rPr>
        <w:instrText xml:space="preserve"> ADDIN EN.CITE </w:instrText>
      </w:r>
      <w:r w:rsidR="008558DB">
        <w:rPr>
          <w:u w:color="000000"/>
        </w:rPr>
        <w:fldChar w:fldCharType="begin">
          <w:fldData xml:space="preserve">PEVuZE5vdGU+PENpdGU+PEF1dGhvcj5XZWpuZXJ0PC9BdXRob3I+PFllYXI+MjAxMzwvWWVhcj48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</w:fldData>
        </w:fldChar>
      </w:r>
      <w:r w:rsidR="008558DB">
        <w:rPr>
          <w:u w:color="000000"/>
        </w:rPr>
        <w:instrText xml:space="preserve"> ADDIN EN.CITE.DATA </w:instrText>
      </w:r>
      <w:r w:rsidR="008558DB">
        <w:rPr>
          <w:u w:color="000000"/>
        </w:rPr>
      </w:r>
      <w:r w:rsidR="008558DB">
        <w:rPr>
          <w:u w:color="000000"/>
        </w:rPr>
        <w:fldChar w:fldCharType="end"/>
      </w:r>
      <w:r w:rsidR="000A074D" w:rsidRPr="00611B89">
        <w:rPr>
          <w:u w:color="000000"/>
        </w:rPr>
        <w:fldChar w:fldCharType="separate"/>
      </w:r>
      <w:r w:rsidR="008558DB">
        <w:rPr>
          <w:noProof/>
          <w:u w:color="000000"/>
        </w:rPr>
        <w:t>(13, 14)</w:t>
      </w:r>
      <w:r w:rsidR="000A074D" w:rsidRPr="00611B89">
        <w:rPr>
          <w:u w:color="000000"/>
        </w:rPr>
        <w:fldChar w:fldCharType="end"/>
      </w:r>
      <w:r w:rsidR="00B27A5D" w:rsidRPr="00611B89">
        <w:t xml:space="preserve"> </w:t>
      </w:r>
      <w:r w:rsidR="009561A1" w:rsidRPr="00611B89">
        <w:t>a 46% probability of not using condoms (</w:t>
      </w:r>
      <w:r w:rsidR="00180B80" w:rsidRPr="00611B89">
        <w:t>see Section 1</w:t>
      </w:r>
      <w:r w:rsidR="00CD78DD" w:rsidRPr="00611B89">
        <w:t xml:space="preserve">.4), </w:t>
      </w:r>
      <w:r w:rsidR="00FB7A8A" w:rsidRPr="00611B89">
        <w:t xml:space="preserve">and a 1% chance of transmission given </w:t>
      </w:r>
      <w:r w:rsidR="00454199" w:rsidRPr="00611B89">
        <w:t xml:space="preserve">an act with an </w:t>
      </w:r>
      <w:r w:rsidR="00FB7A8A" w:rsidRPr="00611B89">
        <w:t xml:space="preserve">HIV+ partner (meant as an </w:t>
      </w:r>
      <w:r w:rsidR="00BF0F0B" w:rsidRPr="00611B89">
        <w:t>approximate</w:t>
      </w:r>
      <w:r w:rsidR="00FB7A8A" w:rsidRPr="00611B89">
        <w:t xml:space="preserve"> </w:t>
      </w:r>
      <w:r w:rsidR="00BF0F0B" w:rsidRPr="00611B89">
        <w:t>weighted</w:t>
      </w:r>
      <w:r w:rsidR="00FB7A8A" w:rsidRPr="00611B89">
        <w:t xml:space="preserve"> average across all </w:t>
      </w:r>
      <w:r w:rsidR="000600D4" w:rsidRPr="00611B89">
        <w:t>condomless AI</w:t>
      </w:r>
      <w:r w:rsidR="009E7A5E" w:rsidRPr="00611B89">
        <w:t xml:space="preserve"> acts regardless of stage). </w:t>
      </w:r>
      <w:r w:rsidR="00AE3CF1" w:rsidRPr="00611B89">
        <w:t xml:space="preserve">The resulting estimates then entered into the Approximate </w:t>
      </w:r>
      <w:r w:rsidR="00865B98" w:rsidRPr="00611B89">
        <w:t>Bayesian C</w:t>
      </w:r>
      <w:r w:rsidR="00AE3CF1" w:rsidRPr="00611B89">
        <w:t>omputation (see Section 2).</w:t>
      </w:r>
    </w:p>
    <w:p w14:paraId="1AF33BC5" w14:textId="77777777" w:rsidR="00A2790E" w:rsidRPr="00611B89" w:rsidRDefault="00BD6C1B" w:rsidP="00874A17">
      <w:r w:rsidRPr="00611B89">
        <w:t xml:space="preserve"> </w:t>
      </w:r>
    </w:p>
    <w:p w14:paraId="291E008B" w14:textId="16353F3E" w:rsidR="00872731" w:rsidRPr="00611B89" w:rsidRDefault="007855F0" w:rsidP="00872731">
      <w:pPr>
        <w:pStyle w:val="Heading2"/>
        <w:numPr>
          <w:ilvl w:val="1"/>
          <w:numId w:val="1"/>
        </w:numPr>
        <w:spacing w:before="0" w:line="240" w:lineRule="auto"/>
        <w:rPr>
          <w:rFonts w:cs="Arial"/>
          <w:b/>
          <w:i w:val="0"/>
          <w:szCs w:val="22"/>
        </w:rPr>
      </w:pPr>
      <w:bookmarkStart w:id="33" w:name="_Toc479764844"/>
      <w:bookmarkStart w:id="34" w:name="_Toc479765057"/>
      <w:bookmarkStart w:id="35" w:name="_Toc479765569"/>
      <w:r w:rsidRPr="00611B89">
        <w:rPr>
          <w:rFonts w:cs="Arial"/>
          <w:b/>
          <w:i w:val="0"/>
          <w:szCs w:val="22"/>
        </w:rPr>
        <w:t>Pre-Exposure Prophylaxis (</w:t>
      </w:r>
      <w:r w:rsidR="001F2656" w:rsidRPr="00611B89">
        <w:rPr>
          <w:rFonts w:cs="Arial"/>
          <w:b/>
          <w:i w:val="0"/>
          <w:szCs w:val="22"/>
        </w:rPr>
        <w:t>PrEP</w:t>
      </w:r>
      <w:r w:rsidRPr="00611B89">
        <w:rPr>
          <w:rFonts w:cs="Arial"/>
          <w:b/>
          <w:i w:val="0"/>
          <w:szCs w:val="22"/>
        </w:rPr>
        <w:t>)</w:t>
      </w:r>
      <w:bookmarkEnd w:id="33"/>
      <w:bookmarkEnd w:id="34"/>
      <w:bookmarkEnd w:id="35"/>
    </w:p>
    <w:p w14:paraId="7F71B382" w14:textId="77777777" w:rsidR="00F912A1" w:rsidRPr="00611B89" w:rsidRDefault="00F912A1" w:rsidP="00874A17"/>
    <w:p w14:paraId="48007E3C" w14:textId="5E371C36" w:rsidR="00544A70" w:rsidRPr="00611B89" w:rsidRDefault="00253975" w:rsidP="008558DB">
      <w:r w:rsidRPr="00611B89">
        <w:t xml:space="preserve">We adopted the same four levels of </w:t>
      </w:r>
      <w:r w:rsidR="00211B25" w:rsidRPr="00611B89">
        <w:t xml:space="preserve">per-act transmission reduction </w:t>
      </w:r>
      <w:r w:rsidRPr="00611B89">
        <w:t xml:space="preserve">by adherence </w:t>
      </w:r>
      <w:r w:rsidR="00211B25" w:rsidRPr="00611B89">
        <w:t xml:space="preserve">level </w:t>
      </w:r>
      <w:r w:rsidRPr="00611B89">
        <w:t xml:space="preserve">from Jenness et al. </w:t>
      </w:r>
      <w:r w:rsidRPr="00611B89">
        <w:fldChar w:fldCharType="begin"/>
      </w:r>
      <w:r w:rsidR="00D016FA">
        <w:instrText xml:space="preserve"> ADDIN EN.CITE &lt;EndNote&gt;&lt;Cite&gt;&lt;Author&gt;Jenness&lt;/Author&gt;&lt;Year&gt;2016&lt;/Year&gt;&lt;RecNum&gt;13&lt;/RecNum&gt;&lt;DisplayText&gt;(1)&lt;/DisplayText&gt;&lt;record&gt;&lt;rec-number&gt;13&lt;/rec-number&gt;&lt;foreign-keys&gt;&lt;key app="EN" db-id="xvdv2sspezx5x4ew22qv2waqev0p25tsetrx" timestamp="0"&gt;13&lt;/key&gt;&lt;/foreign-keys&gt;&lt;ref-type name="Journal Article"&gt;17&lt;/ref-type&gt;&lt;contributors&gt;&lt;authors&gt;&lt;author&gt;Jenness, S. M.&lt;/author&gt;&lt;author&gt;Goodreau, S. M.&lt;/author&gt;&lt;author&gt;Rosenberg, E.&lt;/author&gt;&lt;author&gt;Beylerian, E. N.&lt;/author&gt;&lt;author&gt;Hoover, K. W.&lt;/author&gt;&lt;author&gt;Smith, D. K.&lt;/author&gt;&lt;author&gt;Sullivan, P.&lt;/author&gt;&lt;/authors&gt;&lt;/contributors&gt;&lt;auth-address&gt;Department of Epidemiology.&amp;#xD;Department of Anthropology.&amp;#xD;Center for Studies in Demography and Ecology, University of Washington, Seattle.&amp;#xD;Division of HIV/AIDS Prevention, Centers for Disease Control and Prevention, Atlanta, Georgia.&amp;#xD;Department of Epidemiology Department of Global Health, Emory University.&lt;/auth-address&gt;&lt;titles&gt;&lt;title&gt;Impact of the Centers for Disease Control&amp;apos;s HIV Preexposure Prophylaxis Guidelines for Men Who Have Sex With Men in the United States&lt;/title&gt;&lt;secondary-title&gt;J Infect Dis&lt;/secondary-title&gt;&lt;alt-title&gt;The Journal of infectious diseases&lt;/alt-title&gt;&lt;/titles&gt;&lt;periodical&gt;&lt;full-title&gt;J Infect Dis&lt;/full-title&gt;&lt;/periodical&gt;&lt;dates&gt;&lt;year&gt;2016&lt;/year&gt;&lt;pub-dates&gt;&lt;date&gt;Jul 14&lt;/date&gt;&lt;/pub-dates&gt;&lt;/dates&gt;&lt;isbn&gt;1537-6613 (Electronic)&amp;#xD;0022-1899 (Linking)&lt;/isbn&gt;&lt;accession-num&gt;27418048&lt;/accession-num&gt;&lt;urls&gt;&lt;related-urls&gt;&lt;url&gt;http://www.ncbi.nlm.nih.gov/pubmed/27418048&lt;/url&gt;&lt;/related-urls&gt;&lt;/urls&gt;&lt;electronic-resource-num&gt;10.1093/infdis/jiw223&lt;/electronic-resource-num&gt;&lt;/record&gt;&lt;/Cite&gt;&lt;/EndNote&gt;</w:instrText>
      </w:r>
      <w:r w:rsidRPr="00611B89">
        <w:fldChar w:fldCharType="separate"/>
      </w:r>
      <w:r w:rsidR="00D016FA">
        <w:rPr>
          <w:noProof/>
        </w:rPr>
        <w:t>(1)</w:t>
      </w:r>
      <w:r w:rsidRPr="00611B89">
        <w:fldChar w:fldCharType="end"/>
      </w:r>
      <w:r w:rsidRPr="00611B89">
        <w:t xml:space="preserve">, which were in turn derived from </w:t>
      </w:r>
      <w:r w:rsidR="00601335" w:rsidRPr="00611B89">
        <w:t xml:space="preserve">Table 2 and Figure 2 of </w:t>
      </w:r>
      <w:r w:rsidRPr="00611B89">
        <w:t>Grant et al.</w:t>
      </w:r>
      <w:r w:rsidR="007E3536">
        <w:t xml:space="preserve"> </w:t>
      </w:r>
      <w:r w:rsidR="00F0640C" w:rsidRPr="00611B89">
        <w:fldChar w:fldCharType="begin">
          <w:fldData xml:space="preserve">PEVuZE5vdGU+PENpdGU+PEF1dGhvcj5HcmFudDwvQXV0aG9yPjxZZWFyPjIwMTQ8L1llYXI+PFJl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==
</w:fldData>
        </w:fldChar>
      </w:r>
      <w:r w:rsidR="008558DB">
        <w:instrText xml:space="preserve"> ADDIN EN.CITE </w:instrText>
      </w:r>
      <w:r w:rsidR="008558DB">
        <w:fldChar w:fldCharType="begin">
          <w:fldData xml:space="preserve">PEVuZE5vdGU+PENpdGU+PEF1dGhvcj5HcmFudDwvQXV0aG9yPjxZZWFyPjIwMTQ8L1llYXI+PFJl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==
</w:fldData>
        </w:fldChar>
      </w:r>
      <w:r w:rsidR="008558DB">
        <w:instrText xml:space="preserve"> ADDIN EN.CITE.DATA </w:instrText>
      </w:r>
      <w:r w:rsidR="008558DB">
        <w:fldChar w:fldCharType="end"/>
      </w:r>
      <w:r w:rsidR="00F0640C" w:rsidRPr="00611B89">
        <w:fldChar w:fldCharType="separate"/>
      </w:r>
      <w:r w:rsidR="008558DB">
        <w:rPr>
          <w:noProof/>
        </w:rPr>
        <w:t>(15)</w:t>
      </w:r>
      <w:r w:rsidR="00F0640C" w:rsidRPr="00611B89">
        <w:fldChar w:fldCharType="end"/>
      </w:r>
      <w:r w:rsidR="00601335" w:rsidRPr="00611B89">
        <w:t xml:space="preserve"> </w:t>
      </w:r>
      <w:r w:rsidR="00201C80" w:rsidRPr="00611B89">
        <w:t xml:space="preserve">These values are 0%, 31%, 81%, and 95%, for </w:t>
      </w:r>
      <w:r w:rsidR="008B5CC2" w:rsidRPr="00611B89">
        <w:t xml:space="preserve">the four adherence categories.  We derived our base levels of the four adherence categories among </w:t>
      </w:r>
      <w:r w:rsidR="00FC22B5" w:rsidRPr="00611B89">
        <w:t xml:space="preserve">ASMM </w:t>
      </w:r>
      <w:r w:rsidR="008B5CC2" w:rsidRPr="00611B89">
        <w:t>from the preliminary data reported from the A</w:t>
      </w:r>
      <w:r w:rsidR="00457C92" w:rsidRPr="00611B89">
        <w:t>TN</w:t>
      </w:r>
      <w:r w:rsidR="008B5CC2" w:rsidRPr="00611B89">
        <w:t xml:space="preserve">113 </w:t>
      </w:r>
      <w:r w:rsidR="004640BA">
        <w:t xml:space="preserve">trial </w:t>
      </w:r>
      <w:r w:rsidR="008B5CC2" w:rsidRPr="00611B89">
        <w:fldChar w:fldCharType="begin"/>
      </w:r>
      <w:r w:rsidR="00D016FA">
        <w:instrText xml:space="preserve"> ADDIN EN.CITE &lt;EndNote&gt;&lt;Cite ExcludeYear="1"&gt;&lt;Author&gt;Hosek&lt;/Author&gt;&lt;RecNum&gt;22&lt;/RecNum&gt;&lt;DisplayText&gt;(16)&lt;/DisplayText&gt;&lt;record&gt;&lt;rec-number&gt;22&lt;/rec-number&gt;&lt;foreign-keys&gt;&lt;key app="EN" db-id="xvdv2sspezx5x4ew22qv2waqev0p25tsetrx" timestamp="0"&gt;22&lt;/key&gt;&lt;/foreign-keys&gt;&lt;ref-type name="Conference Paper"&gt;47&lt;/ref-type&gt;&lt;contributors&gt;&lt;authors&gt;&lt;author&gt;Hosek, S.&lt;/author&gt;&lt;author&gt;Landovitz, R.&lt;/author&gt;&lt;author&gt;Rudy, B.&lt;/author&gt;&lt;author&gt;Kapogiannis, B. &lt;/author&gt;&lt;author&gt;Siberry, G.&lt;/author&gt;&lt;author&gt;Rutledge, B.&lt;/author&gt;&lt;author&gt;Liu, N.&lt;/author&gt;&lt;author&gt;Brothers, J.&lt;/author&gt;&lt;author&gt;Rooney, J.&lt;/author&gt;&lt;author&gt;Wilson C.M.&lt;/author&gt;&lt;author&gt;ATN 110/113 study team,&lt;/author&gt;&lt;/authors&gt;&lt;/contributors&gt;&lt;titles&gt;&lt;title&gt;An HIV Pre-Exposure Prophylaxis Demonstration Project and Safety Study for Adolescent MSM ages 15-17 in the US (ATN 113)&lt;/title&gt;&lt;secondary-title&gt;AIDS 2016: 21st International AIDS Conference&lt;/secondary-title&gt;&lt;/titles&gt;&lt;dates&gt;&lt;/dates&gt;&lt;pub-location&gt;Durban&lt;/pub-location&gt;&lt;urls&gt;&lt;/urls&gt;&lt;/record&gt;&lt;/Cite&gt;&lt;/EndNote&gt;</w:instrText>
      </w:r>
      <w:r w:rsidR="008B5CC2" w:rsidRPr="00611B89">
        <w:fldChar w:fldCharType="separate"/>
      </w:r>
      <w:r w:rsidR="00D016FA">
        <w:rPr>
          <w:noProof/>
        </w:rPr>
        <w:t>(16)</w:t>
      </w:r>
      <w:r w:rsidR="008B5CC2" w:rsidRPr="00611B89">
        <w:fldChar w:fldCharType="end"/>
      </w:r>
      <w:r w:rsidR="004640BA">
        <w:t>,</w:t>
      </w:r>
      <w:r w:rsidR="008B5CC2" w:rsidRPr="00611B89">
        <w:t xml:space="preserve"> averaged across each of the follow-up </w:t>
      </w:r>
      <w:r w:rsidR="00EC141A" w:rsidRPr="00611B89">
        <w:t>timepoints</w:t>
      </w:r>
      <w:r w:rsidR="008B5CC2" w:rsidRPr="00611B89">
        <w:t xml:space="preserve">, yielding </w:t>
      </w:r>
      <w:r w:rsidR="001C419D" w:rsidRPr="00611B89">
        <w:t xml:space="preserve">20.9%, 24.4%, 13.1% and 41.6% of ASMM in each </w:t>
      </w:r>
      <w:r w:rsidR="00BF0F0B" w:rsidRPr="00611B89">
        <w:t>adherence</w:t>
      </w:r>
      <w:r w:rsidR="001C419D" w:rsidRPr="00611B89">
        <w:t xml:space="preserve"> category</w:t>
      </w:r>
      <w:r w:rsidR="00CE7D58" w:rsidRPr="00611B89">
        <w:t>, from low to high</w:t>
      </w:r>
      <w:r w:rsidR="001C419D" w:rsidRPr="00611B89">
        <w:t>.</w:t>
      </w:r>
      <w:r w:rsidR="00CE7D58" w:rsidRPr="00611B89">
        <w:t xml:space="preserve"> </w:t>
      </w:r>
      <w:r w:rsidR="00211043" w:rsidRPr="00611B89">
        <w:t xml:space="preserve">Taking a weighted average across these </w:t>
      </w:r>
      <w:r w:rsidR="00BF0F0B" w:rsidRPr="00611B89">
        <w:t>categories</w:t>
      </w:r>
      <w:r w:rsidR="00211043" w:rsidRPr="00611B89">
        <w:t xml:space="preserve"> means that the </w:t>
      </w:r>
      <w:r w:rsidR="00211043" w:rsidRPr="00611B89">
        <w:rPr>
          <w:i/>
        </w:rPr>
        <w:t>average</w:t>
      </w:r>
      <w:r w:rsidR="00211043" w:rsidRPr="00611B89">
        <w:t xml:space="preserve"> ASMM currently prescribed PrEP </w:t>
      </w:r>
      <w:r w:rsidR="00674FDD" w:rsidRPr="00611B89">
        <w:t xml:space="preserve">experiences a </w:t>
      </w:r>
      <w:r w:rsidR="006D68ED" w:rsidRPr="00611B89">
        <w:t>58</w:t>
      </w:r>
      <w:r w:rsidR="00211043" w:rsidRPr="00611B89">
        <w:t xml:space="preserve">% </w:t>
      </w:r>
      <w:r w:rsidR="00674FDD" w:rsidRPr="00611B89">
        <w:t>reduction in HIV acquisition per act.</w:t>
      </w:r>
      <w:r w:rsidR="00052463" w:rsidRPr="00611B89">
        <w:t xml:space="preserve"> We also considered an </w:t>
      </w:r>
      <w:r w:rsidR="008A193B" w:rsidRPr="00611B89">
        <w:t>optimistic</w:t>
      </w:r>
      <w:r w:rsidR="00052463" w:rsidRPr="00611B89">
        <w:t xml:space="preserve"> and a pessimistic adherence scenarios, derived from the first (4 week) and last (48 week) study visit.</w:t>
      </w:r>
    </w:p>
    <w:p w14:paraId="55F79D56" w14:textId="77777777" w:rsidR="00052463" w:rsidRPr="00611B89" w:rsidRDefault="00052463" w:rsidP="00874A17">
      <w:pPr>
        <w:pStyle w:val="ListParagraph"/>
        <w:ind w:left="540"/>
        <w:contextualSpacing w:val="0"/>
      </w:pPr>
    </w:p>
    <w:p w14:paraId="3724014B" w14:textId="586BCA62" w:rsidR="008D27DB" w:rsidRPr="00611B89" w:rsidRDefault="00052463" w:rsidP="00874A17">
      <w:r w:rsidRPr="00611B89">
        <w:t xml:space="preserve">For </w:t>
      </w:r>
      <w:r w:rsidR="008A193B" w:rsidRPr="00611B89">
        <w:t>discontinuation</w:t>
      </w:r>
      <w:r w:rsidRPr="00611B89">
        <w:t xml:space="preserve">, we also used the preliminary data from ATN113, considering that those who showed 0 </w:t>
      </w:r>
      <w:r w:rsidR="008A193B" w:rsidRPr="00611B89">
        <w:t>adherence</w:t>
      </w:r>
      <w:r w:rsidRPr="00611B89">
        <w:t xml:space="preserve"> by week 48 could effectively be considered withdrawn from active </w:t>
      </w:r>
      <w:r w:rsidRPr="00611B89">
        <w:lastRenderedPageBreak/>
        <w:t xml:space="preserve">PrEP use and discontinued.  We then set a constant weekly probability of discontinuation </w:t>
      </w:r>
      <w:r w:rsidR="00C03FE3" w:rsidRPr="00611B89">
        <w:t xml:space="preserve">(1.43%) </w:t>
      </w:r>
      <w:r w:rsidRPr="00611B89">
        <w:t xml:space="preserve">such that </w:t>
      </w:r>
      <w:r w:rsidR="00FA22F8" w:rsidRPr="00611B89">
        <w:t>50% of those initiati</w:t>
      </w:r>
      <w:r w:rsidR="00A24D30" w:rsidRPr="00611B89">
        <w:t xml:space="preserve">ng had discontinued by Week 48. </w:t>
      </w:r>
    </w:p>
    <w:p w14:paraId="7B5266F8" w14:textId="107AF73E" w:rsidR="00242973" w:rsidRPr="00611B89" w:rsidRDefault="00242973" w:rsidP="00874A17"/>
    <w:p w14:paraId="2345384C" w14:textId="1BBD7047" w:rsidR="007E10B6" w:rsidRPr="00611B89" w:rsidRDefault="0020598F" w:rsidP="00F86879">
      <w:pPr>
        <w:pStyle w:val="Heading1"/>
        <w:numPr>
          <w:ilvl w:val="0"/>
          <w:numId w:val="1"/>
        </w:numPr>
        <w:tabs>
          <w:tab w:val="clear" w:pos="540"/>
        </w:tabs>
        <w:spacing w:line="240" w:lineRule="auto"/>
        <w:ind w:left="270" w:hanging="270"/>
      </w:pPr>
      <w:bookmarkStart w:id="36" w:name="_Toc479764845"/>
      <w:bookmarkStart w:id="37" w:name="_Toc479765058"/>
      <w:bookmarkStart w:id="38" w:name="_Toc479765570"/>
      <w:r w:rsidRPr="00611B89">
        <w:t>M</w:t>
      </w:r>
      <w:r w:rsidR="001B5C91" w:rsidRPr="00611B89">
        <w:t>odel calibration</w:t>
      </w:r>
      <w:bookmarkEnd w:id="36"/>
      <w:bookmarkEnd w:id="37"/>
      <w:bookmarkEnd w:id="38"/>
    </w:p>
    <w:p w14:paraId="318D8D5B" w14:textId="77777777" w:rsidR="00F912A1" w:rsidRPr="00611B89" w:rsidRDefault="00F912A1" w:rsidP="00874A17"/>
    <w:p w14:paraId="1E74BC6B" w14:textId="32718A2C" w:rsidR="008F3EEA" w:rsidRPr="00611B89" w:rsidRDefault="002D3F7C" w:rsidP="00874A17">
      <w:pPr>
        <w:pStyle w:val="Heading2"/>
        <w:numPr>
          <w:ilvl w:val="1"/>
          <w:numId w:val="1"/>
        </w:numPr>
        <w:spacing w:before="0" w:line="240" w:lineRule="auto"/>
        <w:rPr>
          <w:rFonts w:cs="Arial"/>
          <w:b/>
          <w:i w:val="0"/>
          <w:szCs w:val="22"/>
        </w:rPr>
      </w:pPr>
      <w:bookmarkStart w:id="39" w:name="_Toc479764846"/>
      <w:bookmarkStart w:id="40" w:name="_Toc479765059"/>
      <w:bookmarkStart w:id="41" w:name="_Toc479765571"/>
      <w:r w:rsidRPr="00611B89">
        <w:rPr>
          <w:rFonts w:cs="Arial"/>
          <w:b/>
          <w:i w:val="0"/>
          <w:szCs w:val="22"/>
        </w:rPr>
        <w:t>Selection of parameter</w:t>
      </w:r>
      <w:r w:rsidR="007E10B6" w:rsidRPr="00611B89">
        <w:rPr>
          <w:rFonts w:cs="Arial"/>
          <w:b/>
          <w:i w:val="0"/>
          <w:szCs w:val="22"/>
        </w:rPr>
        <w:t>s</w:t>
      </w:r>
      <w:bookmarkEnd w:id="39"/>
      <w:bookmarkEnd w:id="40"/>
      <w:bookmarkEnd w:id="41"/>
    </w:p>
    <w:p w14:paraId="7F6D1EF9" w14:textId="77777777" w:rsidR="00F912A1" w:rsidRPr="00611B89" w:rsidRDefault="00F912A1" w:rsidP="00874A17"/>
    <w:p w14:paraId="184A28F3" w14:textId="77777777" w:rsidR="009321F1" w:rsidRPr="00611B89" w:rsidRDefault="000B6F5E" w:rsidP="00874A17">
      <w:r w:rsidRPr="00611B89">
        <w:t xml:space="preserve">Two parameters </w:t>
      </w:r>
      <w:r w:rsidR="00C311E4" w:rsidRPr="00611B89">
        <w:t>were used for model calibration:</w:t>
      </w:r>
      <w:r w:rsidRPr="00611B89">
        <w:t xml:space="preserve"> a multiplier applied to the frequency of AI and a multiplier applied to the </w:t>
      </w:r>
      <w:r w:rsidR="008A193B" w:rsidRPr="00611B89">
        <w:t>transmission probability</w:t>
      </w:r>
      <w:r w:rsidR="0005457B" w:rsidRPr="00611B89">
        <w:t xml:space="preserve"> from </w:t>
      </w:r>
      <w:r w:rsidRPr="00611B89">
        <w:t>an MSM outside the age range of the simulati</w:t>
      </w:r>
      <w:r w:rsidR="004C4E75" w:rsidRPr="00611B89">
        <w:t>on.</w:t>
      </w:r>
      <w:r w:rsidR="00C311E4" w:rsidRPr="00611B89">
        <w:t xml:space="preserve"> </w:t>
      </w:r>
      <w:r w:rsidR="00BC772E" w:rsidRPr="00611B89">
        <w:t xml:space="preserve">For the former, the only data identified </w:t>
      </w:r>
      <w:r w:rsidR="004E6304" w:rsidRPr="00611B89">
        <w:t xml:space="preserve">were from a small study </w:t>
      </w:r>
      <w:r w:rsidR="004640BA">
        <w:t xml:space="preserve">more than 20 years old </w:t>
      </w:r>
      <w:r w:rsidR="00C54D63" w:rsidRPr="00611B89">
        <w:fldChar w:fldCharType="begin"/>
      </w:r>
      <w:r w:rsidR="00D016FA">
        <w:instrText xml:space="preserve"> ADDIN EN.CITE &lt;EndNote&gt;&lt;Cite&gt;&lt;Author&gt;Rotheram-Borus&lt;/Author&gt;&lt;Year&gt;1994&lt;/Year&gt;&lt;RecNum&gt;15&lt;/RecNum&gt;&lt;DisplayText&gt;(5)&lt;/DisplayText&gt;&lt;record&gt;&lt;rec-number&gt;15&lt;/rec-number&gt;&lt;foreign-keys&gt;&lt;key app="EN" db-id="xvdv2sspezx5x4ew22qv2waqev0p25tsetrx" timestamp="0"&gt;15&lt;/key&gt;&lt;/foreign-keys&gt;&lt;ref-type name="Journal Article"&gt;17&lt;/ref-type&gt;&lt;contributors&gt;&lt;authors&gt;&lt;author&gt;Rotheram-Borus, M. J.&lt;/author&gt;&lt;author&gt;Reid, H.&lt;/author&gt;&lt;author&gt;Rosario, M.&lt;/author&gt;&lt;/authors&gt;&lt;/contributors&gt;&lt;auth-address&gt;HIV Center for Clinical and Behavioral Studies, Columbia-Presbyterian Medical Center, New York State Psychiatric Institute, NY.&lt;/auth-address&gt;&lt;titles&gt;&lt;title&gt;Factors mediating changes in sexual HIV risk behaviors among gay and bisexual male adolescents&lt;/title&gt;&lt;secondary-title&gt;Am J Public Health&lt;/secondary-title&gt;&lt;/titles&gt;&lt;periodical&gt;&lt;full-title&gt;Am J Public Health&lt;/full-title&gt;&lt;/periodical&gt;&lt;pages&gt;1938-46&lt;/pages&gt;&lt;volume&gt;84&lt;/volume&gt;&lt;number&gt;12&lt;/number&gt;&lt;keywords&gt;&lt;keyword&gt;Adolescent&lt;/keyword&gt;&lt;keyword&gt;*Bisexuality&lt;/keyword&gt;&lt;keyword&gt;HIV Infections/*prevention &amp;amp; control/transmission&lt;/keyword&gt;&lt;keyword&gt;*Homosexuality, Male&lt;/keyword&gt;&lt;keyword&gt;Humans&lt;/keyword&gt;&lt;keyword&gt;Male&lt;/keyword&gt;&lt;keyword&gt;Risk-Taking&lt;/keyword&gt;&lt;keyword&gt;Sexual Behavior&lt;/keyword&gt;&lt;/keywords&gt;&lt;dates&gt;&lt;year&gt;1994&lt;/year&gt;&lt;pub-dates&gt;&lt;date&gt;Dec&lt;/date&gt;&lt;/pub-dates&gt;&lt;/dates&gt;&lt;isbn&gt;0090-0036 (Print)&amp;#xD;0090-0036 (Linking)&lt;/isbn&gt;&lt;accession-num&gt;7998634&lt;/accession-num&gt;&lt;urls&gt;&lt;related-urls&gt;&lt;url&gt;http://www.ncbi.nlm.nih.gov/pubmed/7998634&lt;/url&gt;&lt;/related-urls&gt;&lt;/urls&gt;&lt;custom2&gt;PMC1615388&lt;/custom2&gt;&lt;/record&gt;&lt;/Cite&gt;&lt;/EndNote&gt;</w:instrText>
      </w:r>
      <w:r w:rsidR="00C54D63" w:rsidRPr="00611B89">
        <w:fldChar w:fldCharType="separate"/>
      </w:r>
      <w:r w:rsidR="00D016FA">
        <w:rPr>
          <w:noProof/>
        </w:rPr>
        <w:t>(5)</w:t>
      </w:r>
      <w:r w:rsidR="00C54D63" w:rsidRPr="00611B89">
        <w:fldChar w:fldCharType="end"/>
      </w:r>
      <w:r w:rsidR="004640BA">
        <w:t>.</w:t>
      </w:r>
      <w:r w:rsidR="00BC772E" w:rsidRPr="00611B89">
        <w:t xml:space="preserve"> </w:t>
      </w:r>
      <w:r w:rsidR="007F6D74" w:rsidRPr="00611B89">
        <w:t>T</w:t>
      </w:r>
      <w:r w:rsidR="00C5483B" w:rsidRPr="00611B89">
        <w:t xml:space="preserve">hat study also reported </w:t>
      </w:r>
      <w:r w:rsidR="00A57E47" w:rsidRPr="00611B89">
        <w:t>the</w:t>
      </w:r>
      <w:r w:rsidR="00C5483B" w:rsidRPr="00611B89">
        <w:t xml:space="preserve"> proportion of ASMM having </w:t>
      </w:r>
      <w:r w:rsidR="00C5483B" w:rsidRPr="00611B89">
        <w:rPr>
          <w:i/>
        </w:rPr>
        <w:t>any</w:t>
      </w:r>
      <w:r w:rsidR="00C5483B" w:rsidRPr="00611B89">
        <w:t xml:space="preserve"> AI acts over a 3-month period </w:t>
      </w:r>
      <w:r w:rsidR="00A57E47" w:rsidRPr="00611B89">
        <w:t xml:space="preserve">as 53%, which is lower than </w:t>
      </w:r>
      <w:r w:rsidR="00332101" w:rsidRPr="00611B89">
        <w:t xml:space="preserve">a </w:t>
      </w:r>
      <w:r w:rsidR="00D274CE" w:rsidRPr="00611B89">
        <w:t xml:space="preserve">more </w:t>
      </w:r>
      <w:r w:rsidR="00A57E47" w:rsidRPr="00611B89">
        <w:t>rec</w:t>
      </w:r>
      <w:r w:rsidR="00332101" w:rsidRPr="00611B89">
        <w:t>ent estimate</w:t>
      </w:r>
      <w:r w:rsidR="00D274CE" w:rsidRPr="00611B89">
        <w:t xml:space="preserve"> </w:t>
      </w:r>
      <w:r w:rsidR="000F57BE">
        <w:t>over a shorter time frame—</w:t>
      </w:r>
      <w:r w:rsidR="00D274CE" w:rsidRPr="00611B89">
        <w:t>67% having AI over the last 6 weeks</w:t>
      </w:r>
      <w:r w:rsidR="00CE6052">
        <w:t xml:space="preserve"> </w:t>
      </w:r>
      <w:r w:rsidR="00D274CE" w:rsidRPr="00611B89">
        <w:fldChar w:fldCharType="begin">
          <w:fldData xml:space="preserve">PEVuZE5vdGU+PENpdGU+PEF1dGhvcj5IaWRhbGdvPC9BdXRob3I+PFllYXI+MjAxNTwvWWVhcj48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</w:fldData>
        </w:fldChar>
      </w:r>
      <w:r w:rsidR="00CE6052" w:rsidRPr="008558DB">
        <w:instrText xml:space="preserve"> ADDIN EN.CITE </w:instrText>
      </w:r>
      <w:r w:rsidR="00CE6052" w:rsidRPr="008558DB">
        <w:fldChar w:fldCharType="begin">
          <w:fldData xml:space="preserve">PEVuZE5vdGU+PENpdGU+PEF1dGhvcj5IaWRhbGdvPC9BdXRob3I+PFllYXI+MjAxNTwvWWVhcj48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</w:fldData>
        </w:fldChar>
      </w:r>
      <w:r w:rsidR="00CE6052" w:rsidRPr="008558DB">
        <w:instrText xml:space="preserve"> ADDIN EN.CITE.DATA </w:instrText>
      </w:r>
      <w:r w:rsidR="00CE6052" w:rsidRPr="008558DB">
        <w:fldChar w:fldCharType="end"/>
      </w:r>
      <w:r w:rsidR="00D274CE" w:rsidRPr="00611B89">
        <w:fldChar w:fldCharType="separate"/>
      </w:r>
      <w:r w:rsidR="00CE6052">
        <w:rPr>
          <w:noProof/>
        </w:rPr>
        <w:t>(6)</w:t>
      </w:r>
      <w:r w:rsidR="00D274CE" w:rsidRPr="00611B89">
        <w:fldChar w:fldCharType="end"/>
      </w:r>
      <w:r w:rsidR="00E9756C">
        <w:t>.</w:t>
      </w:r>
      <w:r w:rsidR="00A25893" w:rsidRPr="00611B89">
        <w:t xml:space="preserve"> </w:t>
      </w:r>
      <w:r w:rsidR="0090450D" w:rsidRPr="00611B89">
        <w:t xml:space="preserve">This more recent study did not provide a measure of AI frequency in the form we needed, </w:t>
      </w:r>
      <w:r w:rsidR="00586230" w:rsidRPr="00611B89">
        <w:t>but did suggest that the AI rates reported in the older study are likely underestimates.</w:t>
      </w:r>
      <w:r w:rsidR="0090450D" w:rsidRPr="00611B89">
        <w:t xml:space="preserve"> </w:t>
      </w:r>
      <w:r w:rsidR="00C54D63" w:rsidRPr="00611B89">
        <w:t>F</w:t>
      </w:r>
      <w:r w:rsidR="00BC772E" w:rsidRPr="00611B89">
        <w:t>or the latter</w:t>
      </w:r>
      <w:r w:rsidR="00196A3A" w:rsidRPr="00611B89">
        <w:t xml:space="preserve"> metric (transmission from outside the age range)</w:t>
      </w:r>
      <w:r w:rsidR="00BC772E" w:rsidRPr="00611B89">
        <w:t xml:space="preserve">, we </w:t>
      </w:r>
      <w:r w:rsidR="005A0FC3" w:rsidRPr="00611B89">
        <w:t xml:space="preserve">had no direct measure of the quantity of interest, and </w:t>
      </w:r>
      <w:r w:rsidR="00EA0164" w:rsidRPr="00611B89">
        <w:t xml:space="preserve">needed </w:t>
      </w:r>
      <w:r w:rsidR="005A0FC3" w:rsidRPr="00611B89">
        <w:t xml:space="preserve">to back-calculate it from </w:t>
      </w:r>
      <w:r w:rsidR="008A193B" w:rsidRPr="00611B89">
        <w:t>reports</w:t>
      </w:r>
      <w:r w:rsidR="005A0FC3" w:rsidRPr="00611B89">
        <w:t xml:space="preserve"> form young adult MSM 19-25 years old (see Section 1.7); we further </w:t>
      </w:r>
      <w:r w:rsidR="00BC772E" w:rsidRPr="00611B89">
        <w:t>assumed that this metric would be subject to a particularly high level of desirability bias.</w:t>
      </w:r>
    </w:p>
    <w:p w14:paraId="7011BABB" w14:textId="77777777" w:rsidR="00345E33" w:rsidRPr="00611B89" w:rsidRDefault="00345E33" w:rsidP="00874A17"/>
    <w:p w14:paraId="73358A92" w14:textId="39A86C32" w:rsidR="007E10B6" w:rsidRPr="00611B89" w:rsidRDefault="007E10B6" w:rsidP="00874A17">
      <w:pPr>
        <w:pStyle w:val="Heading2"/>
        <w:numPr>
          <w:ilvl w:val="1"/>
          <w:numId w:val="1"/>
        </w:numPr>
        <w:spacing w:before="0" w:line="240" w:lineRule="auto"/>
        <w:rPr>
          <w:rFonts w:cs="Arial"/>
          <w:b/>
          <w:i w:val="0"/>
          <w:szCs w:val="22"/>
        </w:rPr>
      </w:pPr>
      <w:bookmarkStart w:id="42" w:name="_Toc479764847"/>
      <w:bookmarkStart w:id="43" w:name="_Toc479765060"/>
      <w:bookmarkStart w:id="44" w:name="_Toc479765572"/>
      <w:r w:rsidRPr="00611B89">
        <w:rPr>
          <w:rFonts w:cs="Arial"/>
          <w:b/>
          <w:i w:val="0"/>
          <w:szCs w:val="22"/>
        </w:rPr>
        <w:t>A</w:t>
      </w:r>
      <w:r w:rsidR="00856A18" w:rsidRPr="00611B89">
        <w:rPr>
          <w:rFonts w:cs="Arial"/>
          <w:b/>
          <w:i w:val="0"/>
          <w:szCs w:val="22"/>
        </w:rPr>
        <w:t>pproximate Bayesian Computation (A</w:t>
      </w:r>
      <w:r w:rsidRPr="00611B89">
        <w:rPr>
          <w:rFonts w:cs="Arial"/>
          <w:b/>
          <w:i w:val="0"/>
          <w:szCs w:val="22"/>
        </w:rPr>
        <w:t>BC</w:t>
      </w:r>
      <w:r w:rsidR="00856A18" w:rsidRPr="00611B89">
        <w:rPr>
          <w:rFonts w:cs="Arial"/>
          <w:b/>
          <w:i w:val="0"/>
          <w:szCs w:val="22"/>
        </w:rPr>
        <w:t>)</w:t>
      </w:r>
      <w:r w:rsidRPr="00611B89">
        <w:rPr>
          <w:rFonts w:cs="Arial"/>
          <w:b/>
          <w:i w:val="0"/>
          <w:szCs w:val="22"/>
        </w:rPr>
        <w:t xml:space="preserve"> procedure</w:t>
      </w:r>
      <w:bookmarkEnd w:id="42"/>
      <w:bookmarkEnd w:id="43"/>
      <w:bookmarkEnd w:id="44"/>
    </w:p>
    <w:p w14:paraId="6811FFF1" w14:textId="77777777" w:rsidR="00F912A1" w:rsidRPr="00611B89" w:rsidRDefault="00F912A1" w:rsidP="00874A17"/>
    <w:p w14:paraId="1594B8F7" w14:textId="0EF078C5" w:rsidR="003B323E" w:rsidRPr="00611B89" w:rsidRDefault="00AE12E3" w:rsidP="00874A17">
      <w:r w:rsidRPr="00611B89">
        <w:t xml:space="preserve">We used </w:t>
      </w:r>
      <w:r w:rsidR="003B323E" w:rsidRPr="00611B89">
        <w:t>A</w:t>
      </w:r>
      <w:r w:rsidR="001D06F1" w:rsidRPr="00611B89">
        <w:t xml:space="preserve">pproximate </w:t>
      </w:r>
      <w:r w:rsidR="003B323E" w:rsidRPr="00611B89">
        <w:t>B</w:t>
      </w:r>
      <w:r w:rsidR="001D06F1" w:rsidRPr="00611B89">
        <w:t xml:space="preserve">ayesian </w:t>
      </w:r>
      <w:r w:rsidR="003B323E" w:rsidRPr="00611B89">
        <w:t>C</w:t>
      </w:r>
      <w:r w:rsidR="001D06F1" w:rsidRPr="00611B89">
        <w:t xml:space="preserve">omputation, with our </w:t>
      </w:r>
      <w:r w:rsidR="00AE634D">
        <w:t xml:space="preserve">calibration </w:t>
      </w:r>
      <w:r w:rsidR="001D06F1" w:rsidRPr="00611B89">
        <w:t xml:space="preserve">outcome being </w:t>
      </w:r>
      <w:r w:rsidR="009F5645" w:rsidRPr="00611B89">
        <w:t>7% HIV prevalence among 18-year-old ASMM.</w:t>
      </w:r>
      <w:r w:rsidR="0036558E" w:rsidRPr="00611B89">
        <w:t xml:space="preserve"> Our inputs were multiplication factors on the two tuning parameters, each given a uniform prior</w:t>
      </w:r>
      <w:r w:rsidR="002F00F1" w:rsidRPr="00611B89">
        <w:t xml:space="preserve"> from </w:t>
      </w:r>
      <w:r w:rsidR="003B323E" w:rsidRPr="00611B89">
        <w:t>1 to 10</w:t>
      </w:r>
      <w:r w:rsidR="00EE50A2" w:rsidRPr="00611B89">
        <w:t xml:space="preserve">. </w:t>
      </w:r>
      <w:r w:rsidR="003B323E" w:rsidRPr="00611B89">
        <w:t xml:space="preserve">For each of the 100 </w:t>
      </w:r>
      <w:r w:rsidR="00814034" w:rsidRPr="00611B89">
        <w:t xml:space="preserve">parameter combinations we conducted </w:t>
      </w:r>
      <w:r w:rsidR="003B323E" w:rsidRPr="00611B89">
        <w:t>16 simulations</w:t>
      </w:r>
      <w:r w:rsidR="00A62AB2" w:rsidRPr="00611B89">
        <w:t>, and retained those parameter combinations that yielded epidemics with HIV prevalence among 18-year-</w:t>
      </w:r>
      <w:r w:rsidR="00042A53" w:rsidRPr="00611B89">
        <w:t>olds between 6% and 8%</w:t>
      </w:r>
      <w:r w:rsidR="00A62AB2" w:rsidRPr="00611B89">
        <w:t>.</w:t>
      </w:r>
      <w:r w:rsidR="00042A53" w:rsidRPr="00611B89">
        <w:t xml:space="preserve"> </w:t>
      </w:r>
      <w:r w:rsidR="00A62AB2" w:rsidRPr="00611B89">
        <w:t xml:space="preserve">We </w:t>
      </w:r>
      <w:r w:rsidR="00042A53" w:rsidRPr="00611B89">
        <w:t xml:space="preserve">then </w:t>
      </w:r>
      <w:r w:rsidR="00A62AB2" w:rsidRPr="00611B89">
        <w:t>used</w:t>
      </w:r>
      <w:r w:rsidR="00042A53" w:rsidRPr="00611B89">
        <w:t xml:space="preserve"> two-dimensional kernel density estimation </w:t>
      </w:r>
      <w:r w:rsidR="00A62AB2" w:rsidRPr="00611B89">
        <w:t xml:space="preserve">to determine a final mean </w:t>
      </w:r>
      <w:r w:rsidR="00DF0767" w:rsidRPr="00611B89">
        <w:t>value for each of our multipliers.</w:t>
      </w:r>
      <w:r w:rsidR="00B77FEF" w:rsidRPr="00611B89">
        <w:t xml:space="preserve"> </w:t>
      </w:r>
      <w:r w:rsidR="000D5BFA" w:rsidRPr="00611B89">
        <w:t xml:space="preserve">This </w:t>
      </w:r>
      <w:r w:rsidR="00B77FEF" w:rsidRPr="00611B89">
        <w:t xml:space="preserve">was implemented in the R package </w:t>
      </w:r>
      <w:r w:rsidR="00352490" w:rsidRPr="00611B89">
        <w:t>MASS</w:t>
      </w:r>
      <w:r w:rsidR="00B77FEF" w:rsidRPr="00611B89">
        <w:t xml:space="preserve"> using the </w:t>
      </w:r>
      <w:r w:rsidR="00352490" w:rsidRPr="00611B89">
        <w:t>kde2d</w:t>
      </w:r>
      <w:r w:rsidR="00B77FEF" w:rsidRPr="00611B89">
        <w:t xml:space="preserve"> algorithm.</w:t>
      </w:r>
    </w:p>
    <w:p w14:paraId="05888B3D" w14:textId="77777777" w:rsidR="005E07EA" w:rsidRPr="00611B89" w:rsidRDefault="005E07EA" w:rsidP="00874A17"/>
    <w:p w14:paraId="62525CC7" w14:textId="77777777" w:rsidR="00D65AAB" w:rsidRPr="00611B89" w:rsidRDefault="007E10B6" w:rsidP="00874A17">
      <w:pPr>
        <w:pStyle w:val="Heading2"/>
        <w:numPr>
          <w:ilvl w:val="1"/>
          <w:numId w:val="1"/>
        </w:numPr>
        <w:spacing w:before="0" w:line="240" w:lineRule="auto"/>
        <w:rPr>
          <w:rFonts w:cs="Arial"/>
          <w:b/>
          <w:i w:val="0"/>
          <w:szCs w:val="22"/>
        </w:rPr>
      </w:pPr>
      <w:bookmarkStart w:id="45" w:name="_Toc479764848"/>
      <w:bookmarkStart w:id="46" w:name="_Toc479765061"/>
      <w:bookmarkStart w:id="47" w:name="_Toc479765573"/>
      <w:r w:rsidRPr="00611B89">
        <w:rPr>
          <w:rFonts w:cs="Arial"/>
          <w:b/>
          <w:i w:val="0"/>
          <w:szCs w:val="22"/>
        </w:rPr>
        <w:t>Results</w:t>
      </w:r>
      <w:bookmarkEnd w:id="45"/>
      <w:bookmarkEnd w:id="46"/>
      <w:bookmarkEnd w:id="47"/>
    </w:p>
    <w:p w14:paraId="0CBE3249" w14:textId="77777777" w:rsidR="005E07EA" w:rsidRPr="00611B89" w:rsidRDefault="005E07EA" w:rsidP="00874A17"/>
    <w:p w14:paraId="51C70BFA" w14:textId="046E5012" w:rsidR="005E07EA" w:rsidRPr="00611B89" w:rsidRDefault="005E07EA" w:rsidP="00E90F94">
      <w:r w:rsidRPr="00611B89">
        <w:t xml:space="preserve">The final two-dimensional kernel density plot is shown </w:t>
      </w:r>
      <w:r w:rsidR="00E90F94" w:rsidRPr="00611B89">
        <w:t>below</w:t>
      </w:r>
      <w:r w:rsidRPr="00611B89">
        <w:t xml:space="preserve">, and the final selected values for the two multipliers were 3.6 </w:t>
      </w:r>
      <w:r w:rsidR="0011631D" w:rsidRPr="00611B89">
        <w:t>(</w:t>
      </w:r>
      <w:r w:rsidRPr="00611B89">
        <w:t xml:space="preserve">for </w:t>
      </w:r>
      <w:r w:rsidR="0011631D" w:rsidRPr="00611B89">
        <w:t xml:space="preserve">frequency of </w:t>
      </w:r>
      <w:r w:rsidRPr="00611B89">
        <w:t xml:space="preserve">AI </w:t>
      </w:r>
      <w:r w:rsidR="0011631D" w:rsidRPr="00611B89">
        <w:t xml:space="preserve">with other ASMM) </w:t>
      </w:r>
      <w:r w:rsidRPr="00611B89">
        <w:t xml:space="preserve">and 8.2 </w:t>
      </w:r>
      <w:r w:rsidR="0011631D" w:rsidRPr="00611B89">
        <w:t>(</w:t>
      </w:r>
      <w:r w:rsidRPr="00611B89">
        <w:t xml:space="preserve">for </w:t>
      </w:r>
      <w:r w:rsidR="0011631D" w:rsidRPr="00611B89">
        <w:t>contact o</w:t>
      </w:r>
      <w:r w:rsidR="00E90F94" w:rsidRPr="00611B89">
        <w:t>utside the modeled population).</w:t>
      </w:r>
    </w:p>
    <w:p w14:paraId="518B99E0" w14:textId="77777777" w:rsidR="00971611" w:rsidRPr="00611B89" w:rsidRDefault="00971611" w:rsidP="008C6247">
      <w:pPr>
        <w:jc w:val="center"/>
        <w:rPr>
          <w:b/>
        </w:rPr>
      </w:pPr>
      <w:r w:rsidRPr="00611B89">
        <w:rPr>
          <w:b/>
          <w:noProof/>
        </w:rPr>
        <w:lastRenderedPageBreak/>
        <w:drawing>
          <wp:inline distT="0" distB="0" distL="0" distR="0" wp14:anchorId="2220B57F" wp14:editId="0D7CBD79">
            <wp:extent cx="2011680" cy="3550024"/>
            <wp:effectExtent l="0" t="0" r="7620" b="0"/>
            <wp:docPr id="1" name="Picture 1" descr="C:\Users\goodreau.CSDE\Dropbox\CAMP - adolescent PrEP model\manuscript\current\supporting docs\ABC hea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odreau.CSDE\Dropbox\CAMP - adolescent PrEP model\manuscript\current\supporting docs\ABC heat pl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9592" cy="3581633"/>
                    </a:xfrm>
                    <a:prstGeom prst="rect">
                      <a:avLst/>
                    </a:prstGeom>
                    <a:noFill/>
                    <a:ln>
                      <a:noFill/>
                    </a:ln>
                  </pic:spPr>
                </pic:pic>
              </a:graphicData>
            </a:graphic>
          </wp:inline>
        </w:drawing>
      </w:r>
    </w:p>
    <w:p w14:paraId="53098FA7" w14:textId="77777777" w:rsidR="0024640A" w:rsidRDefault="0024640A" w:rsidP="00874A17">
      <w:pPr>
        <w:rPr>
          <w:b/>
        </w:rPr>
      </w:pPr>
    </w:p>
    <w:p w14:paraId="47053F6C" w14:textId="77777777" w:rsidR="00170815" w:rsidRDefault="00170815">
      <w:pPr>
        <w:rPr>
          <w:b/>
        </w:rPr>
      </w:pPr>
    </w:p>
    <w:p w14:paraId="6055E360" w14:textId="495528E5" w:rsidR="00170815" w:rsidRDefault="00170815">
      <w:pPr>
        <w:rPr>
          <w:b/>
        </w:rPr>
      </w:pPr>
      <w:r>
        <w:rPr>
          <w:b/>
        </w:rPr>
        <w:br w:type="page"/>
      </w:r>
    </w:p>
    <w:p w14:paraId="5A00B80F" w14:textId="3889E1FF" w:rsidR="008D2400" w:rsidRPr="008D2400" w:rsidRDefault="008D2400" w:rsidP="00891A0E">
      <w:pPr>
        <w:pStyle w:val="ListParagraph"/>
        <w:numPr>
          <w:ilvl w:val="0"/>
          <w:numId w:val="1"/>
        </w:numPr>
        <w:ind w:left="270" w:hanging="270"/>
        <w:rPr>
          <w:b/>
        </w:rPr>
      </w:pPr>
      <w:r w:rsidRPr="008D2400">
        <w:rPr>
          <w:b/>
        </w:rPr>
        <w:lastRenderedPageBreak/>
        <w:t>Final set of parameters</w:t>
      </w:r>
    </w:p>
    <w:p w14:paraId="17B6E1F0" w14:textId="77777777" w:rsidR="008D2400" w:rsidRPr="005D316A" w:rsidRDefault="008D2400" w:rsidP="008D2400"/>
    <w:p w14:paraId="68A1FDA6" w14:textId="76DE8981" w:rsidR="008D2400" w:rsidRPr="005D316A" w:rsidRDefault="00325514" w:rsidP="00874A17">
      <w:r w:rsidRPr="005D316A">
        <w:t>The various derivations above led to the following final set of parameters that are common to all modeled scenarios.  For parameters than vary between runs, see Table 1 in the body of the manuscript.</w:t>
      </w:r>
    </w:p>
    <w:p w14:paraId="582DFA0C" w14:textId="77777777" w:rsidR="00325514" w:rsidRDefault="00325514" w:rsidP="00874A17">
      <w:pPr>
        <w:rPr>
          <w:b/>
        </w:rPr>
      </w:pPr>
    </w:p>
    <w:p w14:paraId="18586D17" w14:textId="1254362E" w:rsidR="0095129E" w:rsidRPr="00611B89" w:rsidRDefault="0095129E" w:rsidP="00241F7E">
      <w:pPr>
        <w:rPr>
          <w:b/>
        </w:rPr>
      </w:pPr>
    </w:p>
    <w:tbl>
      <w:tblPr>
        <w:tblStyle w:val="TableGrid"/>
        <w:tblW w:w="8185" w:type="dxa"/>
        <w:jc w:val="center"/>
        <w:tblCellMar>
          <w:top w:w="58" w:type="dxa"/>
          <w:left w:w="115" w:type="dxa"/>
          <w:bottom w:w="58" w:type="dxa"/>
          <w:right w:w="115" w:type="dxa"/>
        </w:tblCellMar>
        <w:tblLook w:val="04A0" w:firstRow="1" w:lastRow="0" w:firstColumn="1" w:lastColumn="0" w:noHBand="0" w:noVBand="1"/>
      </w:tblPr>
      <w:tblGrid>
        <w:gridCol w:w="4405"/>
        <w:gridCol w:w="3780"/>
      </w:tblGrid>
      <w:tr w:rsidR="0095129E" w:rsidRPr="00611B89" w14:paraId="0FA8F4BF" w14:textId="77777777" w:rsidTr="008A5104">
        <w:trPr>
          <w:trHeight w:val="389"/>
          <w:jc w:val="center"/>
        </w:trPr>
        <w:tc>
          <w:tcPr>
            <w:tcW w:w="4405" w:type="dxa"/>
            <w:shd w:val="clear" w:color="auto" w:fill="F2F2F2" w:themeFill="background1" w:themeFillShade="F2"/>
            <w:vAlign w:val="center"/>
          </w:tcPr>
          <w:p w14:paraId="6577A010" w14:textId="77777777" w:rsidR="0095129E" w:rsidRPr="00611B89" w:rsidRDefault="0095129E" w:rsidP="008A5104">
            <w:pPr>
              <w:jc w:val="center"/>
              <w:rPr>
                <w:b/>
              </w:rPr>
            </w:pPr>
            <w:r>
              <w:rPr>
                <w:b/>
              </w:rPr>
              <w:t>Parameter</w:t>
            </w:r>
          </w:p>
        </w:tc>
        <w:tc>
          <w:tcPr>
            <w:tcW w:w="3780" w:type="dxa"/>
            <w:shd w:val="clear" w:color="auto" w:fill="F2F2F2" w:themeFill="background1" w:themeFillShade="F2"/>
            <w:vAlign w:val="center"/>
          </w:tcPr>
          <w:p w14:paraId="39446379" w14:textId="77777777" w:rsidR="0095129E" w:rsidRPr="00611B89" w:rsidRDefault="0095129E" w:rsidP="008A5104">
            <w:pPr>
              <w:jc w:val="center"/>
              <w:rPr>
                <w:b/>
              </w:rPr>
            </w:pPr>
            <w:r>
              <w:rPr>
                <w:b/>
              </w:rPr>
              <w:t>Value(s)</w:t>
            </w:r>
          </w:p>
        </w:tc>
      </w:tr>
      <w:tr w:rsidR="0095129E" w:rsidRPr="00611B89" w14:paraId="6A82ED76" w14:textId="77777777" w:rsidTr="008A5104">
        <w:trPr>
          <w:trHeight w:val="389"/>
          <w:jc w:val="center"/>
        </w:trPr>
        <w:tc>
          <w:tcPr>
            <w:tcW w:w="4405" w:type="dxa"/>
            <w:vAlign w:val="center"/>
          </w:tcPr>
          <w:p w14:paraId="5FC20A6B" w14:textId="77777777" w:rsidR="0095129E" w:rsidRPr="00611B89" w:rsidRDefault="0095129E" w:rsidP="008A5104">
            <w:pPr>
              <w:jc w:val="center"/>
            </w:pPr>
            <w:r>
              <w:t>Prob. of age at entry into ASMM population</w:t>
            </w:r>
          </w:p>
        </w:tc>
        <w:tc>
          <w:tcPr>
            <w:tcW w:w="3780" w:type="dxa"/>
            <w:vAlign w:val="center"/>
          </w:tcPr>
          <w:p w14:paraId="32168C34" w14:textId="77777777" w:rsidR="0095129E" w:rsidRDefault="0095129E" w:rsidP="008A5104">
            <w:pPr>
              <w:jc w:val="center"/>
            </w:pPr>
            <w:r>
              <w:t xml:space="preserve">13: </w:t>
            </w:r>
            <w:r w:rsidRPr="00611B89">
              <w:t>44%</w:t>
            </w:r>
          </w:p>
          <w:p w14:paraId="260D7EDC" w14:textId="77777777" w:rsidR="0095129E" w:rsidRDefault="0095129E" w:rsidP="008A5104">
            <w:pPr>
              <w:jc w:val="center"/>
            </w:pPr>
            <w:r>
              <w:t>14: 13%</w:t>
            </w:r>
          </w:p>
          <w:p w14:paraId="6EC87AD6" w14:textId="77777777" w:rsidR="0095129E" w:rsidRDefault="0095129E" w:rsidP="008A5104">
            <w:pPr>
              <w:jc w:val="center"/>
            </w:pPr>
            <w:r>
              <w:t>15: 12%</w:t>
            </w:r>
          </w:p>
          <w:p w14:paraId="1C1D576F" w14:textId="77777777" w:rsidR="0095129E" w:rsidRDefault="0095129E" w:rsidP="008A5104">
            <w:pPr>
              <w:jc w:val="center"/>
            </w:pPr>
            <w:r>
              <w:t>16: 11%</w:t>
            </w:r>
          </w:p>
          <w:p w14:paraId="2CB0022F" w14:textId="77777777" w:rsidR="0095129E" w:rsidRDefault="0095129E" w:rsidP="008A5104">
            <w:pPr>
              <w:jc w:val="center"/>
            </w:pPr>
            <w:r>
              <w:t>17: 10%</w:t>
            </w:r>
          </w:p>
          <w:p w14:paraId="77509C23" w14:textId="77777777" w:rsidR="0095129E" w:rsidRPr="00611B89" w:rsidRDefault="0095129E" w:rsidP="008A5104">
            <w:pPr>
              <w:jc w:val="center"/>
            </w:pPr>
            <w:r>
              <w:t>18: 10%</w:t>
            </w:r>
          </w:p>
        </w:tc>
      </w:tr>
      <w:tr w:rsidR="0095129E" w:rsidRPr="00611B89" w14:paraId="345D7AFA" w14:textId="77777777" w:rsidTr="008A5104">
        <w:trPr>
          <w:trHeight w:val="389"/>
          <w:jc w:val="center"/>
        </w:trPr>
        <w:tc>
          <w:tcPr>
            <w:tcW w:w="4405" w:type="dxa"/>
            <w:vAlign w:val="center"/>
          </w:tcPr>
          <w:p w14:paraId="3BDCC6B9" w14:textId="77777777" w:rsidR="0095129E" w:rsidRDefault="0095129E" w:rsidP="008A5104">
            <w:pPr>
              <w:jc w:val="center"/>
            </w:pPr>
            <w:r>
              <w:t>Prob. of AI debut at population entry</w:t>
            </w:r>
          </w:p>
        </w:tc>
        <w:tc>
          <w:tcPr>
            <w:tcW w:w="3780" w:type="dxa"/>
            <w:vAlign w:val="center"/>
          </w:tcPr>
          <w:p w14:paraId="1FC06E8B" w14:textId="77777777" w:rsidR="0095129E" w:rsidRDefault="0095129E" w:rsidP="008A5104">
            <w:pPr>
              <w:jc w:val="center"/>
            </w:pPr>
            <w:r>
              <w:t>50.6%</w:t>
            </w:r>
          </w:p>
        </w:tc>
      </w:tr>
      <w:tr w:rsidR="0095129E" w:rsidRPr="00611B89" w14:paraId="62B9B15A" w14:textId="77777777" w:rsidTr="008A5104">
        <w:trPr>
          <w:trHeight w:val="389"/>
          <w:jc w:val="center"/>
        </w:trPr>
        <w:tc>
          <w:tcPr>
            <w:tcW w:w="4405" w:type="dxa"/>
            <w:vAlign w:val="center"/>
          </w:tcPr>
          <w:p w14:paraId="0143904E" w14:textId="77777777" w:rsidR="0095129E" w:rsidRDefault="0095129E" w:rsidP="008A5104">
            <w:pPr>
              <w:jc w:val="center"/>
            </w:pPr>
            <w:r>
              <w:t>Prob. of debut (per week) if not at population entry</w:t>
            </w:r>
          </w:p>
        </w:tc>
        <w:tc>
          <w:tcPr>
            <w:tcW w:w="3780" w:type="dxa"/>
            <w:vAlign w:val="center"/>
          </w:tcPr>
          <w:p w14:paraId="1803BEC1" w14:textId="77777777" w:rsidR="0095129E" w:rsidRDefault="0095129E" w:rsidP="008A5104">
            <w:pPr>
              <w:jc w:val="center"/>
            </w:pPr>
            <w:r>
              <w:t>0.34%</w:t>
            </w:r>
          </w:p>
        </w:tc>
      </w:tr>
      <w:tr w:rsidR="0095129E" w:rsidRPr="00611B89" w14:paraId="01A78D8A" w14:textId="77777777" w:rsidTr="008A5104">
        <w:trPr>
          <w:trHeight w:val="389"/>
          <w:jc w:val="center"/>
        </w:trPr>
        <w:tc>
          <w:tcPr>
            <w:tcW w:w="4405" w:type="dxa"/>
            <w:vAlign w:val="center"/>
          </w:tcPr>
          <w:p w14:paraId="08D5BABA" w14:textId="77777777" w:rsidR="0095129E" w:rsidRDefault="0095129E" w:rsidP="008A5104">
            <w:pPr>
              <w:jc w:val="center"/>
            </w:pPr>
            <w:r>
              <w:t>Expected momentary degree (number of partnerships ongoing), in quintiles</w:t>
            </w:r>
          </w:p>
        </w:tc>
        <w:tc>
          <w:tcPr>
            <w:tcW w:w="3780" w:type="dxa"/>
            <w:vAlign w:val="center"/>
          </w:tcPr>
          <w:p w14:paraId="0A693875" w14:textId="77777777" w:rsidR="0095129E" w:rsidRDefault="0095129E" w:rsidP="008A5104">
            <w:pPr>
              <w:jc w:val="center"/>
            </w:pPr>
            <w:r>
              <w:t>0.054, 0.106, 0.161, 0.247, 0.782 (grand mean = 0.270)</w:t>
            </w:r>
          </w:p>
        </w:tc>
      </w:tr>
      <w:tr w:rsidR="0095129E" w:rsidRPr="00611B89" w14:paraId="6A4D5190" w14:textId="77777777" w:rsidTr="008A5104">
        <w:trPr>
          <w:trHeight w:val="389"/>
          <w:jc w:val="center"/>
        </w:trPr>
        <w:tc>
          <w:tcPr>
            <w:tcW w:w="4405" w:type="dxa"/>
            <w:vAlign w:val="center"/>
          </w:tcPr>
          <w:p w14:paraId="13EDA0FB" w14:textId="77777777" w:rsidR="0095129E" w:rsidRDefault="0095129E" w:rsidP="008A5104">
            <w:pPr>
              <w:jc w:val="center"/>
            </w:pPr>
            <w:r>
              <w:t>Mean relational duration</w:t>
            </w:r>
          </w:p>
        </w:tc>
        <w:tc>
          <w:tcPr>
            <w:tcW w:w="3780" w:type="dxa"/>
            <w:vAlign w:val="center"/>
          </w:tcPr>
          <w:p w14:paraId="1E45795B" w14:textId="77777777" w:rsidR="0095129E" w:rsidRDefault="0095129E" w:rsidP="008A5104">
            <w:pPr>
              <w:jc w:val="center"/>
            </w:pPr>
            <w:r>
              <w:t>2.89 weeks</w:t>
            </w:r>
          </w:p>
        </w:tc>
      </w:tr>
      <w:tr w:rsidR="00FF3E0A" w:rsidRPr="00611B89" w14:paraId="441E6589" w14:textId="77777777" w:rsidTr="008A5104">
        <w:trPr>
          <w:trHeight w:val="389"/>
          <w:jc w:val="center"/>
        </w:trPr>
        <w:tc>
          <w:tcPr>
            <w:tcW w:w="4405" w:type="dxa"/>
            <w:vAlign w:val="center"/>
          </w:tcPr>
          <w:p w14:paraId="333EFE08" w14:textId="39D12238" w:rsidR="00FF3E0A" w:rsidRDefault="00FF3E0A" w:rsidP="00FF3E0A">
            <w:pPr>
              <w:jc w:val="center"/>
            </w:pPr>
            <w:r>
              <w:t>Mean weekly number of AI acts within ongoing relationships</w:t>
            </w:r>
          </w:p>
        </w:tc>
        <w:tc>
          <w:tcPr>
            <w:tcW w:w="3780" w:type="dxa"/>
            <w:vAlign w:val="center"/>
          </w:tcPr>
          <w:p w14:paraId="12A44CAE" w14:textId="4DCC0AC9" w:rsidR="00FF3E0A" w:rsidRDefault="00FF3E0A" w:rsidP="00FF3E0A">
            <w:pPr>
              <w:jc w:val="center"/>
            </w:pPr>
            <w:r>
              <w:t>0.96</w:t>
            </w:r>
          </w:p>
        </w:tc>
      </w:tr>
      <w:tr w:rsidR="0095129E" w:rsidRPr="00611B89" w14:paraId="7C4290BD" w14:textId="77777777" w:rsidTr="008A5104">
        <w:trPr>
          <w:trHeight w:val="389"/>
          <w:jc w:val="center"/>
        </w:trPr>
        <w:tc>
          <w:tcPr>
            <w:tcW w:w="4405" w:type="dxa"/>
            <w:vAlign w:val="center"/>
          </w:tcPr>
          <w:p w14:paraId="5D2A06B2" w14:textId="77777777" w:rsidR="0095129E" w:rsidRDefault="0095129E" w:rsidP="008A5104">
            <w:pPr>
              <w:jc w:val="center"/>
            </w:pPr>
            <w:r>
              <w:t>Prob. condom use per Ai act</w:t>
            </w:r>
          </w:p>
        </w:tc>
        <w:tc>
          <w:tcPr>
            <w:tcW w:w="3780" w:type="dxa"/>
            <w:vAlign w:val="center"/>
          </w:tcPr>
          <w:p w14:paraId="304FB0E8" w14:textId="77777777" w:rsidR="0095129E" w:rsidRDefault="0095129E" w:rsidP="008A5104">
            <w:pPr>
              <w:jc w:val="center"/>
            </w:pPr>
            <w:r>
              <w:t>54%</w:t>
            </w:r>
          </w:p>
        </w:tc>
      </w:tr>
      <w:tr w:rsidR="0095129E" w:rsidRPr="00611B89" w14:paraId="28B1C1A2" w14:textId="77777777" w:rsidTr="008A5104">
        <w:trPr>
          <w:trHeight w:val="389"/>
          <w:jc w:val="center"/>
        </w:trPr>
        <w:tc>
          <w:tcPr>
            <w:tcW w:w="4405" w:type="dxa"/>
            <w:vAlign w:val="center"/>
          </w:tcPr>
          <w:p w14:paraId="20B7A869" w14:textId="77777777" w:rsidR="0095129E" w:rsidRDefault="0095129E" w:rsidP="008A5104">
            <w:pPr>
              <w:jc w:val="center"/>
            </w:pPr>
            <w:r>
              <w:t>Sexual role</w:t>
            </w:r>
          </w:p>
        </w:tc>
        <w:tc>
          <w:tcPr>
            <w:tcW w:w="3780" w:type="dxa"/>
            <w:vAlign w:val="center"/>
          </w:tcPr>
          <w:p w14:paraId="40C48076" w14:textId="77777777" w:rsidR="0095129E" w:rsidRDefault="0095129E" w:rsidP="008A5104">
            <w:pPr>
              <w:jc w:val="center"/>
            </w:pPr>
            <w:r>
              <w:t>14.5% exclusively insertive</w:t>
            </w:r>
          </w:p>
          <w:p w14:paraId="4D81112C" w14:textId="77777777" w:rsidR="0095129E" w:rsidRDefault="0095129E" w:rsidP="008A5104">
            <w:pPr>
              <w:jc w:val="center"/>
            </w:pPr>
            <w:r>
              <w:t>28.2% exclusively receptive</w:t>
            </w:r>
          </w:p>
          <w:p w14:paraId="6B7CAACF" w14:textId="77777777" w:rsidR="0095129E" w:rsidRDefault="0095129E" w:rsidP="008A5104">
            <w:pPr>
              <w:jc w:val="center"/>
            </w:pPr>
            <w:r>
              <w:t>57.3% versatile</w:t>
            </w:r>
          </w:p>
        </w:tc>
      </w:tr>
      <w:tr w:rsidR="0095129E" w:rsidRPr="00611B89" w14:paraId="11EC4CC9" w14:textId="77777777" w:rsidTr="008A5104">
        <w:trPr>
          <w:trHeight w:val="389"/>
          <w:jc w:val="center"/>
        </w:trPr>
        <w:tc>
          <w:tcPr>
            <w:tcW w:w="4405" w:type="dxa"/>
            <w:vAlign w:val="center"/>
          </w:tcPr>
          <w:p w14:paraId="465E3633" w14:textId="77777777" w:rsidR="0095129E" w:rsidRDefault="0095129E" w:rsidP="008A5104">
            <w:pPr>
              <w:jc w:val="center"/>
            </w:pPr>
            <w:r>
              <w:t>Weekly probably of testing for HIV</w:t>
            </w:r>
          </w:p>
        </w:tc>
        <w:tc>
          <w:tcPr>
            <w:tcW w:w="3780" w:type="dxa"/>
            <w:vAlign w:val="center"/>
          </w:tcPr>
          <w:p w14:paraId="27520DE8" w14:textId="77777777" w:rsidR="0095129E" w:rsidRDefault="0095129E" w:rsidP="008A5104">
            <w:pPr>
              <w:jc w:val="center"/>
            </w:pPr>
            <w:r>
              <w:t>0.00238%</w:t>
            </w:r>
          </w:p>
        </w:tc>
      </w:tr>
    </w:tbl>
    <w:p w14:paraId="314A63C8" w14:textId="77777777" w:rsidR="0095129E" w:rsidRDefault="0095129E" w:rsidP="0095129E">
      <w:pPr>
        <w:jc w:val="center"/>
      </w:pPr>
    </w:p>
    <w:p w14:paraId="0DE2C24E" w14:textId="77777777" w:rsidR="0095129E" w:rsidRDefault="0095129E" w:rsidP="0095129E">
      <w:pPr>
        <w:jc w:val="center"/>
      </w:pPr>
    </w:p>
    <w:p w14:paraId="4F44EB39" w14:textId="77777777" w:rsidR="0095129E" w:rsidRDefault="0095129E" w:rsidP="0095129E">
      <w:pPr>
        <w:jc w:val="center"/>
      </w:pPr>
      <w:r>
        <w:t>Weekly probability of acquiring HIV from MSM above modeled age range</w:t>
      </w:r>
    </w:p>
    <w:p w14:paraId="2200CF16" w14:textId="77777777" w:rsidR="0095129E" w:rsidRDefault="0095129E" w:rsidP="0095129E">
      <w:pPr>
        <w:jc w:val="center"/>
      </w:pPr>
    </w:p>
    <w:tbl>
      <w:tblPr>
        <w:tblStyle w:val="TableGrid"/>
        <w:tblW w:w="0" w:type="auto"/>
        <w:jc w:val="center"/>
        <w:tblLook w:val="04A0" w:firstRow="1" w:lastRow="0" w:firstColumn="1" w:lastColumn="0" w:noHBand="0" w:noVBand="1"/>
      </w:tblPr>
      <w:tblGrid>
        <w:gridCol w:w="1197"/>
        <w:gridCol w:w="1197"/>
        <w:gridCol w:w="1197"/>
        <w:gridCol w:w="1197"/>
        <w:gridCol w:w="1197"/>
        <w:gridCol w:w="1197"/>
        <w:gridCol w:w="1197"/>
      </w:tblGrid>
      <w:tr w:rsidR="0095129E" w:rsidRPr="00611B89" w14:paraId="5142AC8F" w14:textId="77777777" w:rsidTr="008A5104">
        <w:trPr>
          <w:jc w:val="center"/>
        </w:trPr>
        <w:tc>
          <w:tcPr>
            <w:tcW w:w="1197" w:type="dxa"/>
            <w:vMerge w:val="restart"/>
            <w:shd w:val="clear" w:color="auto" w:fill="F2F2F2" w:themeFill="background1" w:themeFillShade="F2"/>
          </w:tcPr>
          <w:p w14:paraId="14154F9E" w14:textId="77777777" w:rsidR="0095129E" w:rsidRPr="00611B89" w:rsidRDefault="0095129E" w:rsidP="008A5104">
            <w:pPr>
              <w:rPr>
                <w:b/>
              </w:rPr>
            </w:pPr>
            <w:r w:rsidRPr="00611B89">
              <w:rPr>
                <w:b/>
              </w:rPr>
              <w:t>Risk Quintile</w:t>
            </w:r>
          </w:p>
        </w:tc>
        <w:tc>
          <w:tcPr>
            <w:tcW w:w="7182" w:type="dxa"/>
            <w:gridSpan w:val="6"/>
            <w:shd w:val="clear" w:color="auto" w:fill="F2F2F2" w:themeFill="background1" w:themeFillShade="F2"/>
          </w:tcPr>
          <w:p w14:paraId="109C24F6" w14:textId="77777777" w:rsidR="0095129E" w:rsidRPr="00611B89" w:rsidRDefault="0095129E" w:rsidP="008A5104">
            <w:pPr>
              <w:jc w:val="center"/>
              <w:rPr>
                <w:b/>
              </w:rPr>
            </w:pPr>
            <w:r w:rsidRPr="00611B89">
              <w:rPr>
                <w:b/>
              </w:rPr>
              <w:t>Age</w:t>
            </w:r>
          </w:p>
        </w:tc>
      </w:tr>
      <w:tr w:rsidR="0095129E" w:rsidRPr="00611B89" w14:paraId="08832573" w14:textId="77777777" w:rsidTr="008A5104">
        <w:trPr>
          <w:jc w:val="center"/>
        </w:trPr>
        <w:tc>
          <w:tcPr>
            <w:tcW w:w="1197" w:type="dxa"/>
            <w:vMerge/>
            <w:shd w:val="clear" w:color="auto" w:fill="F2F2F2" w:themeFill="background1" w:themeFillShade="F2"/>
          </w:tcPr>
          <w:p w14:paraId="05E2D6D3" w14:textId="77777777" w:rsidR="0095129E" w:rsidRPr="00611B89" w:rsidRDefault="0095129E" w:rsidP="008A5104"/>
        </w:tc>
        <w:tc>
          <w:tcPr>
            <w:tcW w:w="1197" w:type="dxa"/>
            <w:shd w:val="clear" w:color="auto" w:fill="F2F2F2" w:themeFill="background1" w:themeFillShade="F2"/>
          </w:tcPr>
          <w:p w14:paraId="6A580D34" w14:textId="77777777" w:rsidR="0095129E" w:rsidRPr="00611B89" w:rsidRDefault="0095129E" w:rsidP="008A5104">
            <w:pPr>
              <w:jc w:val="center"/>
              <w:rPr>
                <w:b/>
              </w:rPr>
            </w:pPr>
            <w:r w:rsidRPr="00611B89">
              <w:rPr>
                <w:b/>
              </w:rPr>
              <w:t>13</w:t>
            </w:r>
          </w:p>
        </w:tc>
        <w:tc>
          <w:tcPr>
            <w:tcW w:w="1197" w:type="dxa"/>
            <w:shd w:val="clear" w:color="auto" w:fill="F2F2F2" w:themeFill="background1" w:themeFillShade="F2"/>
          </w:tcPr>
          <w:p w14:paraId="4EFF78B4" w14:textId="77777777" w:rsidR="0095129E" w:rsidRPr="00611B89" w:rsidRDefault="0095129E" w:rsidP="008A5104">
            <w:pPr>
              <w:jc w:val="center"/>
              <w:rPr>
                <w:b/>
              </w:rPr>
            </w:pPr>
            <w:r w:rsidRPr="00611B89">
              <w:rPr>
                <w:b/>
              </w:rPr>
              <w:t>14</w:t>
            </w:r>
          </w:p>
        </w:tc>
        <w:tc>
          <w:tcPr>
            <w:tcW w:w="1197" w:type="dxa"/>
            <w:shd w:val="clear" w:color="auto" w:fill="F2F2F2" w:themeFill="background1" w:themeFillShade="F2"/>
          </w:tcPr>
          <w:p w14:paraId="39C6720C" w14:textId="77777777" w:rsidR="0095129E" w:rsidRPr="00611B89" w:rsidRDefault="0095129E" w:rsidP="008A5104">
            <w:pPr>
              <w:jc w:val="center"/>
              <w:rPr>
                <w:b/>
              </w:rPr>
            </w:pPr>
            <w:r w:rsidRPr="00611B89">
              <w:rPr>
                <w:b/>
              </w:rPr>
              <w:t>15</w:t>
            </w:r>
          </w:p>
        </w:tc>
        <w:tc>
          <w:tcPr>
            <w:tcW w:w="1197" w:type="dxa"/>
            <w:shd w:val="clear" w:color="auto" w:fill="F2F2F2" w:themeFill="background1" w:themeFillShade="F2"/>
          </w:tcPr>
          <w:p w14:paraId="0D121C57" w14:textId="77777777" w:rsidR="0095129E" w:rsidRPr="00611B89" w:rsidRDefault="0095129E" w:rsidP="008A5104">
            <w:pPr>
              <w:jc w:val="center"/>
              <w:rPr>
                <w:b/>
              </w:rPr>
            </w:pPr>
            <w:r w:rsidRPr="00611B89">
              <w:rPr>
                <w:b/>
              </w:rPr>
              <w:t>16</w:t>
            </w:r>
          </w:p>
        </w:tc>
        <w:tc>
          <w:tcPr>
            <w:tcW w:w="1197" w:type="dxa"/>
            <w:shd w:val="clear" w:color="auto" w:fill="F2F2F2" w:themeFill="background1" w:themeFillShade="F2"/>
          </w:tcPr>
          <w:p w14:paraId="0AD5F141" w14:textId="77777777" w:rsidR="0095129E" w:rsidRPr="00611B89" w:rsidRDefault="0095129E" w:rsidP="008A5104">
            <w:pPr>
              <w:jc w:val="center"/>
              <w:rPr>
                <w:b/>
              </w:rPr>
            </w:pPr>
            <w:r w:rsidRPr="00611B89">
              <w:rPr>
                <w:b/>
              </w:rPr>
              <w:t>17</w:t>
            </w:r>
          </w:p>
        </w:tc>
        <w:tc>
          <w:tcPr>
            <w:tcW w:w="1197" w:type="dxa"/>
            <w:shd w:val="clear" w:color="auto" w:fill="F2F2F2" w:themeFill="background1" w:themeFillShade="F2"/>
          </w:tcPr>
          <w:p w14:paraId="4C94EE34" w14:textId="77777777" w:rsidR="0095129E" w:rsidRPr="00611B89" w:rsidRDefault="0095129E" w:rsidP="008A5104">
            <w:pPr>
              <w:jc w:val="center"/>
              <w:rPr>
                <w:b/>
              </w:rPr>
            </w:pPr>
            <w:r w:rsidRPr="00611B89">
              <w:rPr>
                <w:b/>
              </w:rPr>
              <w:t>18</w:t>
            </w:r>
          </w:p>
        </w:tc>
      </w:tr>
      <w:tr w:rsidR="00B22E6E" w:rsidRPr="00611B89" w14:paraId="64590530" w14:textId="77777777" w:rsidTr="00170815">
        <w:trPr>
          <w:jc w:val="center"/>
        </w:trPr>
        <w:tc>
          <w:tcPr>
            <w:tcW w:w="1197" w:type="dxa"/>
            <w:shd w:val="clear" w:color="auto" w:fill="auto"/>
          </w:tcPr>
          <w:p w14:paraId="2A40571D" w14:textId="77777777" w:rsidR="00B22E6E" w:rsidRPr="00611B89" w:rsidRDefault="00B22E6E" w:rsidP="00B22E6E">
            <w:pPr>
              <w:rPr>
                <w:b/>
              </w:rPr>
            </w:pPr>
            <w:r w:rsidRPr="00611B89">
              <w:rPr>
                <w:b/>
              </w:rPr>
              <w:t>Risk q1</w:t>
            </w:r>
          </w:p>
        </w:tc>
        <w:tc>
          <w:tcPr>
            <w:tcW w:w="1197" w:type="dxa"/>
            <w:shd w:val="clear" w:color="auto" w:fill="auto"/>
            <w:vAlign w:val="center"/>
          </w:tcPr>
          <w:p w14:paraId="015ABF11" w14:textId="5F98B220" w:rsidR="00B22E6E" w:rsidRPr="00611B89" w:rsidRDefault="00B22E6E" w:rsidP="00B22E6E">
            <w:pPr>
              <w:jc w:val="center"/>
            </w:pPr>
            <w:r>
              <w:rPr>
                <w:color w:val="000000"/>
              </w:rPr>
              <w:t>8.30E-06</w:t>
            </w:r>
          </w:p>
        </w:tc>
        <w:tc>
          <w:tcPr>
            <w:tcW w:w="1197" w:type="dxa"/>
            <w:shd w:val="clear" w:color="auto" w:fill="auto"/>
            <w:vAlign w:val="center"/>
          </w:tcPr>
          <w:p w14:paraId="1160A640" w14:textId="7FF655C1" w:rsidR="00B22E6E" w:rsidRPr="00611B89" w:rsidRDefault="00B22E6E" w:rsidP="00B22E6E">
            <w:pPr>
              <w:jc w:val="center"/>
            </w:pPr>
            <w:r>
              <w:rPr>
                <w:color w:val="000000"/>
              </w:rPr>
              <w:t>1.74E-05</w:t>
            </w:r>
          </w:p>
        </w:tc>
        <w:tc>
          <w:tcPr>
            <w:tcW w:w="1197" w:type="dxa"/>
            <w:shd w:val="clear" w:color="auto" w:fill="auto"/>
            <w:vAlign w:val="center"/>
          </w:tcPr>
          <w:p w14:paraId="43D6AC22" w14:textId="2844CF0A" w:rsidR="00B22E6E" w:rsidRPr="00611B89" w:rsidRDefault="00B22E6E" w:rsidP="00B22E6E">
            <w:pPr>
              <w:jc w:val="center"/>
            </w:pPr>
            <w:r>
              <w:rPr>
                <w:color w:val="000000"/>
              </w:rPr>
              <w:t>2.56E-05</w:t>
            </w:r>
          </w:p>
        </w:tc>
        <w:tc>
          <w:tcPr>
            <w:tcW w:w="1197" w:type="dxa"/>
            <w:shd w:val="clear" w:color="auto" w:fill="auto"/>
            <w:vAlign w:val="center"/>
          </w:tcPr>
          <w:p w14:paraId="1D967340" w14:textId="72C78B45" w:rsidR="00B22E6E" w:rsidRPr="00611B89" w:rsidRDefault="00B22E6E" w:rsidP="00B22E6E">
            <w:pPr>
              <w:jc w:val="center"/>
            </w:pPr>
            <w:r>
              <w:rPr>
                <w:color w:val="000000"/>
              </w:rPr>
              <w:t>3.47E-05</w:t>
            </w:r>
          </w:p>
        </w:tc>
        <w:tc>
          <w:tcPr>
            <w:tcW w:w="1197" w:type="dxa"/>
            <w:shd w:val="clear" w:color="auto" w:fill="auto"/>
            <w:vAlign w:val="center"/>
          </w:tcPr>
          <w:p w14:paraId="2FD026C8" w14:textId="6C36D1B2" w:rsidR="00B22E6E" w:rsidRPr="00611B89" w:rsidRDefault="00B22E6E" w:rsidP="00B22E6E">
            <w:pPr>
              <w:jc w:val="center"/>
            </w:pPr>
            <w:r>
              <w:rPr>
                <w:color w:val="000000"/>
              </w:rPr>
              <w:t>4.30E-05</w:t>
            </w:r>
          </w:p>
        </w:tc>
        <w:tc>
          <w:tcPr>
            <w:tcW w:w="1197" w:type="dxa"/>
            <w:shd w:val="clear" w:color="auto" w:fill="auto"/>
            <w:vAlign w:val="center"/>
          </w:tcPr>
          <w:p w14:paraId="5F6C99E6" w14:textId="0E178EC8" w:rsidR="00B22E6E" w:rsidRPr="00611B89" w:rsidRDefault="00B22E6E" w:rsidP="00B22E6E">
            <w:pPr>
              <w:jc w:val="center"/>
            </w:pPr>
            <w:r>
              <w:rPr>
                <w:color w:val="000000"/>
              </w:rPr>
              <w:t>5.13E-05</w:t>
            </w:r>
          </w:p>
        </w:tc>
      </w:tr>
      <w:tr w:rsidR="00B22E6E" w:rsidRPr="00611B89" w14:paraId="6BE13ABD" w14:textId="77777777" w:rsidTr="00170815">
        <w:trPr>
          <w:jc w:val="center"/>
        </w:trPr>
        <w:tc>
          <w:tcPr>
            <w:tcW w:w="1197" w:type="dxa"/>
            <w:shd w:val="clear" w:color="auto" w:fill="auto"/>
          </w:tcPr>
          <w:p w14:paraId="4628ED36" w14:textId="77777777" w:rsidR="00B22E6E" w:rsidRPr="00611B89" w:rsidRDefault="00B22E6E" w:rsidP="00B22E6E">
            <w:pPr>
              <w:rPr>
                <w:b/>
              </w:rPr>
            </w:pPr>
            <w:r w:rsidRPr="00611B89">
              <w:rPr>
                <w:b/>
              </w:rPr>
              <w:t>Risk q2</w:t>
            </w:r>
          </w:p>
        </w:tc>
        <w:tc>
          <w:tcPr>
            <w:tcW w:w="1197" w:type="dxa"/>
            <w:shd w:val="clear" w:color="auto" w:fill="auto"/>
            <w:vAlign w:val="center"/>
          </w:tcPr>
          <w:p w14:paraId="2B21043D" w14:textId="38CD3E89" w:rsidR="00B22E6E" w:rsidRPr="00611B89" w:rsidRDefault="00B22E6E" w:rsidP="00B22E6E">
            <w:pPr>
              <w:jc w:val="center"/>
            </w:pPr>
            <w:r>
              <w:rPr>
                <w:color w:val="000000"/>
              </w:rPr>
              <w:t>1.74E-05</w:t>
            </w:r>
          </w:p>
        </w:tc>
        <w:tc>
          <w:tcPr>
            <w:tcW w:w="1197" w:type="dxa"/>
            <w:shd w:val="clear" w:color="auto" w:fill="auto"/>
            <w:vAlign w:val="center"/>
          </w:tcPr>
          <w:p w14:paraId="2CAC66E9" w14:textId="34E4EA3B" w:rsidR="00B22E6E" w:rsidRPr="00611B89" w:rsidRDefault="00B22E6E" w:rsidP="00B22E6E">
            <w:pPr>
              <w:jc w:val="center"/>
            </w:pPr>
            <w:r>
              <w:rPr>
                <w:color w:val="000000"/>
              </w:rPr>
              <w:t>3.47E-05</w:t>
            </w:r>
          </w:p>
        </w:tc>
        <w:tc>
          <w:tcPr>
            <w:tcW w:w="1197" w:type="dxa"/>
            <w:shd w:val="clear" w:color="auto" w:fill="auto"/>
            <w:vAlign w:val="center"/>
          </w:tcPr>
          <w:p w14:paraId="6CF4CECF" w14:textId="4CFAB8D1" w:rsidR="00B22E6E" w:rsidRPr="00611B89" w:rsidRDefault="00B22E6E" w:rsidP="00B22E6E">
            <w:pPr>
              <w:jc w:val="center"/>
            </w:pPr>
            <w:r>
              <w:rPr>
                <w:color w:val="000000"/>
              </w:rPr>
              <w:t>5.13E-05</w:t>
            </w:r>
          </w:p>
        </w:tc>
        <w:tc>
          <w:tcPr>
            <w:tcW w:w="1197" w:type="dxa"/>
            <w:shd w:val="clear" w:color="auto" w:fill="auto"/>
            <w:vAlign w:val="center"/>
          </w:tcPr>
          <w:p w14:paraId="06AED70F" w14:textId="49910C88" w:rsidR="00B22E6E" w:rsidRPr="00611B89" w:rsidRDefault="00B22E6E" w:rsidP="00B22E6E">
            <w:pPr>
              <w:jc w:val="center"/>
            </w:pPr>
            <w:r>
              <w:rPr>
                <w:color w:val="000000"/>
              </w:rPr>
              <w:t>6.87E-05</w:t>
            </w:r>
          </w:p>
        </w:tc>
        <w:tc>
          <w:tcPr>
            <w:tcW w:w="1197" w:type="dxa"/>
            <w:shd w:val="clear" w:color="auto" w:fill="auto"/>
            <w:vAlign w:val="center"/>
          </w:tcPr>
          <w:p w14:paraId="7C7D17AA" w14:textId="5C9A98BE" w:rsidR="00B22E6E" w:rsidRPr="00611B89" w:rsidRDefault="00B22E6E" w:rsidP="00B22E6E">
            <w:pPr>
              <w:jc w:val="center"/>
            </w:pPr>
            <w:r>
              <w:rPr>
                <w:color w:val="000000"/>
              </w:rPr>
              <w:t>8.60E-05</w:t>
            </w:r>
          </w:p>
        </w:tc>
        <w:tc>
          <w:tcPr>
            <w:tcW w:w="1197" w:type="dxa"/>
            <w:shd w:val="clear" w:color="auto" w:fill="auto"/>
            <w:vAlign w:val="center"/>
          </w:tcPr>
          <w:p w14:paraId="6601BDF5" w14:textId="31E29AF9" w:rsidR="00B22E6E" w:rsidRPr="00611B89" w:rsidRDefault="00B22E6E" w:rsidP="00B22E6E">
            <w:pPr>
              <w:jc w:val="center"/>
            </w:pPr>
            <w:r>
              <w:rPr>
                <w:color w:val="000000"/>
              </w:rPr>
              <w:t>1.03E-04</w:t>
            </w:r>
          </w:p>
        </w:tc>
      </w:tr>
      <w:tr w:rsidR="00B22E6E" w:rsidRPr="00611B89" w14:paraId="2E1AAB27" w14:textId="77777777" w:rsidTr="00170815">
        <w:trPr>
          <w:jc w:val="center"/>
        </w:trPr>
        <w:tc>
          <w:tcPr>
            <w:tcW w:w="1197" w:type="dxa"/>
            <w:shd w:val="clear" w:color="auto" w:fill="auto"/>
          </w:tcPr>
          <w:p w14:paraId="3A976397" w14:textId="77777777" w:rsidR="00B22E6E" w:rsidRPr="00611B89" w:rsidRDefault="00B22E6E" w:rsidP="00B22E6E">
            <w:pPr>
              <w:rPr>
                <w:b/>
              </w:rPr>
            </w:pPr>
            <w:r w:rsidRPr="00611B89">
              <w:rPr>
                <w:b/>
              </w:rPr>
              <w:t>Risk q3</w:t>
            </w:r>
          </w:p>
        </w:tc>
        <w:tc>
          <w:tcPr>
            <w:tcW w:w="1197" w:type="dxa"/>
            <w:shd w:val="clear" w:color="auto" w:fill="auto"/>
            <w:vAlign w:val="center"/>
          </w:tcPr>
          <w:p w14:paraId="5CD4664E" w14:textId="5D601627" w:rsidR="00B22E6E" w:rsidRPr="00611B89" w:rsidRDefault="00B22E6E" w:rsidP="00B22E6E">
            <w:pPr>
              <w:jc w:val="center"/>
            </w:pPr>
            <w:r>
              <w:rPr>
                <w:color w:val="000000"/>
              </w:rPr>
              <w:t>2.56E-05</w:t>
            </w:r>
          </w:p>
        </w:tc>
        <w:tc>
          <w:tcPr>
            <w:tcW w:w="1197" w:type="dxa"/>
            <w:shd w:val="clear" w:color="auto" w:fill="auto"/>
            <w:vAlign w:val="center"/>
          </w:tcPr>
          <w:p w14:paraId="5B659EFE" w14:textId="4A3EABE3" w:rsidR="00B22E6E" w:rsidRPr="00611B89" w:rsidRDefault="00B22E6E" w:rsidP="00B22E6E">
            <w:pPr>
              <w:jc w:val="center"/>
            </w:pPr>
            <w:r>
              <w:rPr>
                <w:color w:val="000000"/>
              </w:rPr>
              <w:t>5.13E-05</w:t>
            </w:r>
          </w:p>
        </w:tc>
        <w:tc>
          <w:tcPr>
            <w:tcW w:w="1197" w:type="dxa"/>
            <w:shd w:val="clear" w:color="auto" w:fill="auto"/>
            <w:vAlign w:val="center"/>
          </w:tcPr>
          <w:p w14:paraId="64915C40" w14:textId="6154F582" w:rsidR="00B22E6E" w:rsidRPr="00611B89" w:rsidRDefault="00B22E6E" w:rsidP="00B22E6E">
            <w:pPr>
              <w:jc w:val="center"/>
            </w:pPr>
            <w:r>
              <w:rPr>
                <w:color w:val="000000"/>
              </w:rPr>
              <w:t>7.77E-05</w:t>
            </w:r>
          </w:p>
        </w:tc>
        <w:tc>
          <w:tcPr>
            <w:tcW w:w="1197" w:type="dxa"/>
            <w:shd w:val="clear" w:color="auto" w:fill="auto"/>
            <w:vAlign w:val="center"/>
          </w:tcPr>
          <w:p w14:paraId="378CE542" w14:textId="135B7876" w:rsidR="00B22E6E" w:rsidRPr="00611B89" w:rsidRDefault="00B22E6E" w:rsidP="00B22E6E">
            <w:pPr>
              <w:jc w:val="center"/>
            </w:pPr>
            <w:r>
              <w:rPr>
                <w:color w:val="000000"/>
              </w:rPr>
              <w:t>1.03E-04</w:t>
            </w:r>
          </w:p>
        </w:tc>
        <w:tc>
          <w:tcPr>
            <w:tcW w:w="1197" w:type="dxa"/>
            <w:shd w:val="clear" w:color="auto" w:fill="auto"/>
            <w:vAlign w:val="center"/>
          </w:tcPr>
          <w:p w14:paraId="3343DEEF" w14:textId="3729007D" w:rsidR="00B22E6E" w:rsidRPr="00611B89" w:rsidRDefault="00B22E6E" w:rsidP="00B22E6E">
            <w:pPr>
              <w:jc w:val="center"/>
            </w:pPr>
            <w:r>
              <w:rPr>
                <w:color w:val="000000"/>
              </w:rPr>
              <w:t>1.29E-04</w:t>
            </w:r>
          </w:p>
        </w:tc>
        <w:tc>
          <w:tcPr>
            <w:tcW w:w="1197" w:type="dxa"/>
            <w:shd w:val="clear" w:color="auto" w:fill="auto"/>
            <w:vAlign w:val="center"/>
          </w:tcPr>
          <w:p w14:paraId="4DCC3504" w14:textId="3B048909" w:rsidR="00B22E6E" w:rsidRPr="00611B89" w:rsidRDefault="00B22E6E" w:rsidP="00B22E6E">
            <w:pPr>
              <w:jc w:val="center"/>
            </w:pPr>
            <w:r>
              <w:rPr>
                <w:color w:val="000000"/>
              </w:rPr>
              <w:t>1.55E-04</w:t>
            </w:r>
          </w:p>
        </w:tc>
      </w:tr>
      <w:tr w:rsidR="00B22E6E" w:rsidRPr="00611B89" w14:paraId="1BC2EC42" w14:textId="77777777" w:rsidTr="00170815">
        <w:trPr>
          <w:jc w:val="center"/>
        </w:trPr>
        <w:tc>
          <w:tcPr>
            <w:tcW w:w="1197" w:type="dxa"/>
            <w:shd w:val="clear" w:color="auto" w:fill="auto"/>
          </w:tcPr>
          <w:p w14:paraId="5024C2B2" w14:textId="77777777" w:rsidR="00B22E6E" w:rsidRPr="00611B89" w:rsidRDefault="00B22E6E" w:rsidP="00B22E6E">
            <w:pPr>
              <w:rPr>
                <w:b/>
              </w:rPr>
            </w:pPr>
            <w:r w:rsidRPr="00611B89">
              <w:rPr>
                <w:b/>
              </w:rPr>
              <w:t>Risk q4</w:t>
            </w:r>
          </w:p>
        </w:tc>
        <w:tc>
          <w:tcPr>
            <w:tcW w:w="1197" w:type="dxa"/>
            <w:shd w:val="clear" w:color="auto" w:fill="auto"/>
            <w:vAlign w:val="center"/>
          </w:tcPr>
          <w:p w14:paraId="2D4E041A" w14:textId="3809FF01" w:rsidR="00B22E6E" w:rsidRPr="00611B89" w:rsidRDefault="00B22E6E" w:rsidP="00B22E6E">
            <w:pPr>
              <w:jc w:val="center"/>
            </w:pPr>
            <w:r>
              <w:rPr>
                <w:color w:val="000000"/>
              </w:rPr>
              <w:t>4.00E-05</w:t>
            </w:r>
          </w:p>
        </w:tc>
        <w:tc>
          <w:tcPr>
            <w:tcW w:w="1197" w:type="dxa"/>
            <w:shd w:val="clear" w:color="auto" w:fill="auto"/>
            <w:vAlign w:val="center"/>
          </w:tcPr>
          <w:p w14:paraId="25002054" w14:textId="72888FF1" w:rsidR="00B22E6E" w:rsidRPr="00611B89" w:rsidRDefault="00B22E6E" w:rsidP="00B22E6E">
            <w:pPr>
              <w:jc w:val="center"/>
            </w:pPr>
            <w:r>
              <w:rPr>
                <w:color w:val="000000"/>
              </w:rPr>
              <w:t>8.00E-05</w:t>
            </w:r>
          </w:p>
        </w:tc>
        <w:tc>
          <w:tcPr>
            <w:tcW w:w="1197" w:type="dxa"/>
            <w:shd w:val="clear" w:color="auto" w:fill="auto"/>
            <w:vAlign w:val="center"/>
          </w:tcPr>
          <w:p w14:paraId="10E509EA" w14:textId="7C0714CC" w:rsidR="00B22E6E" w:rsidRPr="00611B89" w:rsidRDefault="00B22E6E" w:rsidP="00B22E6E">
            <w:pPr>
              <w:jc w:val="center"/>
            </w:pPr>
            <w:r>
              <w:rPr>
                <w:color w:val="000000"/>
              </w:rPr>
              <w:t>1.20E-04</w:t>
            </w:r>
          </w:p>
        </w:tc>
        <w:tc>
          <w:tcPr>
            <w:tcW w:w="1197" w:type="dxa"/>
            <w:shd w:val="clear" w:color="auto" w:fill="auto"/>
            <w:vAlign w:val="center"/>
          </w:tcPr>
          <w:p w14:paraId="3DBA0FDA" w14:textId="36B5C6E1" w:rsidR="00B22E6E" w:rsidRPr="00611B89" w:rsidRDefault="00B22E6E" w:rsidP="00B22E6E">
            <w:pPr>
              <w:jc w:val="center"/>
            </w:pPr>
            <w:r>
              <w:rPr>
                <w:color w:val="000000"/>
              </w:rPr>
              <w:t>1.60E-04</w:t>
            </w:r>
          </w:p>
        </w:tc>
        <w:tc>
          <w:tcPr>
            <w:tcW w:w="1197" w:type="dxa"/>
            <w:shd w:val="clear" w:color="auto" w:fill="auto"/>
            <w:vAlign w:val="center"/>
          </w:tcPr>
          <w:p w14:paraId="25FF00BA" w14:textId="769B6773" w:rsidR="00B22E6E" w:rsidRPr="00611B89" w:rsidRDefault="00B22E6E" w:rsidP="00B22E6E">
            <w:pPr>
              <w:jc w:val="center"/>
            </w:pPr>
            <w:r>
              <w:rPr>
                <w:color w:val="000000"/>
              </w:rPr>
              <w:t>2.00E-04</w:t>
            </w:r>
          </w:p>
        </w:tc>
        <w:tc>
          <w:tcPr>
            <w:tcW w:w="1197" w:type="dxa"/>
            <w:shd w:val="clear" w:color="auto" w:fill="auto"/>
            <w:vAlign w:val="center"/>
          </w:tcPr>
          <w:p w14:paraId="42CBB3F1" w14:textId="42DC8C15" w:rsidR="00B22E6E" w:rsidRPr="00611B89" w:rsidRDefault="00B22E6E" w:rsidP="00B22E6E">
            <w:pPr>
              <w:jc w:val="center"/>
            </w:pPr>
            <w:r>
              <w:rPr>
                <w:color w:val="000000"/>
              </w:rPr>
              <w:t>2.40E-04</w:t>
            </w:r>
          </w:p>
        </w:tc>
      </w:tr>
      <w:tr w:rsidR="00B22E6E" w:rsidRPr="00611B89" w14:paraId="72903671" w14:textId="77777777" w:rsidTr="00170815">
        <w:trPr>
          <w:jc w:val="center"/>
        </w:trPr>
        <w:tc>
          <w:tcPr>
            <w:tcW w:w="1197" w:type="dxa"/>
            <w:shd w:val="clear" w:color="auto" w:fill="auto"/>
          </w:tcPr>
          <w:p w14:paraId="1FEE734D" w14:textId="77777777" w:rsidR="00B22E6E" w:rsidRPr="00611B89" w:rsidRDefault="00B22E6E" w:rsidP="00B22E6E">
            <w:pPr>
              <w:rPr>
                <w:b/>
              </w:rPr>
            </w:pPr>
            <w:r w:rsidRPr="00611B89">
              <w:rPr>
                <w:b/>
              </w:rPr>
              <w:t>Risk q5</w:t>
            </w:r>
          </w:p>
        </w:tc>
        <w:tc>
          <w:tcPr>
            <w:tcW w:w="1197" w:type="dxa"/>
            <w:shd w:val="clear" w:color="auto" w:fill="auto"/>
            <w:vAlign w:val="center"/>
          </w:tcPr>
          <w:p w14:paraId="19CA03DA" w14:textId="21F6CB49" w:rsidR="00B22E6E" w:rsidRPr="00611B89" w:rsidRDefault="00B22E6E" w:rsidP="00B22E6E">
            <w:pPr>
              <w:jc w:val="center"/>
            </w:pPr>
            <w:r>
              <w:rPr>
                <w:color w:val="000000"/>
              </w:rPr>
              <w:t>1.26E-04</w:t>
            </w:r>
          </w:p>
        </w:tc>
        <w:tc>
          <w:tcPr>
            <w:tcW w:w="1197" w:type="dxa"/>
            <w:shd w:val="clear" w:color="auto" w:fill="auto"/>
            <w:vAlign w:val="center"/>
          </w:tcPr>
          <w:p w14:paraId="7602827B" w14:textId="13E17834" w:rsidR="00B22E6E" w:rsidRPr="00611B89" w:rsidRDefault="00B22E6E" w:rsidP="00B22E6E">
            <w:pPr>
              <w:jc w:val="center"/>
            </w:pPr>
            <w:r>
              <w:rPr>
                <w:color w:val="000000"/>
              </w:rPr>
              <w:t>2.51E-04</w:t>
            </w:r>
          </w:p>
        </w:tc>
        <w:tc>
          <w:tcPr>
            <w:tcW w:w="1197" w:type="dxa"/>
            <w:shd w:val="clear" w:color="auto" w:fill="auto"/>
            <w:vAlign w:val="center"/>
          </w:tcPr>
          <w:p w14:paraId="5954A30A" w14:textId="4BCD1DB5" w:rsidR="00B22E6E" w:rsidRPr="00611B89" w:rsidRDefault="00B22E6E" w:rsidP="00B22E6E">
            <w:pPr>
              <w:jc w:val="center"/>
            </w:pPr>
            <w:r>
              <w:rPr>
                <w:color w:val="000000"/>
              </w:rPr>
              <w:t>3.77E-04</w:t>
            </w:r>
          </w:p>
        </w:tc>
        <w:tc>
          <w:tcPr>
            <w:tcW w:w="1197" w:type="dxa"/>
            <w:shd w:val="clear" w:color="auto" w:fill="auto"/>
            <w:vAlign w:val="center"/>
          </w:tcPr>
          <w:p w14:paraId="1EFFA84D" w14:textId="16F99926" w:rsidR="00B22E6E" w:rsidRPr="00611B89" w:rsidRDefault="00B22E6E" w:rsidP="00B22E6E">
            <w:pPr>
              <w:jc w:val="center"/>
            </w:pPr>
            <w:r>
              <w:rPr>
                <w:color w:val="000000"/>
              </w:rPr>
              <w:t>5.03E-04</w:t>
            </w:r>
          </w:p>
        </w:tc>
        <w:tc>
          <w:tcPr>
            <w:tcW w:w="1197" w:type="dxa"/>
            <w:shd w:val="clear" w:color="auto" w:fill="auto"/>
            <w:vAlign w:val="center"/>
          </w:tcPr>
          <w:p w14:paraId="50E85A81" w14:textId="00750BF8" w:rsidR="00B22E6E" w:rsidRPr="00611B89" w:rsidRDefault="00B22E6E" w:rsidP="00B22E6E">
            <w:pPr>
              <w:jc w:val="center"/>
            </w:pPr>
            <w:r>
              <w:rPr>
                <w:color w:val="000000"/>
              </w:rPr>
              <w:t>6.28E-04</w:t>
            </w:r>
          </w:p>
        </w:tc>
        <w:tc>
          <w:tcPr>
            <w:tcW w:w="1197" w:type="dxa"/>
            <w:shd w:val="clear" w:color="auto" w:fill="auto"/>
            <w:vAlign w:val="center"/>
          </w:tcPr>
          <w:p w14:paraId="7CE4DA1B" w14:textId="2558CF4F" w:rsidR="00B22E6E" w:rsidRPr="00611B89" w:rsidRDefault="00B22E6E" w:rsidP="00B22E6E">
            <w:pPr>
              <w:jc w:val="center"/>
            </w:pPr>
            <w:r>
              <w:rPr>
                <w:color w:val="000000"/>
              </w:rPr>
              <w:t>7.54E-04</w:t>
            </w:r>
          </w:p>
        </w:tc>
      </w:tr>
    </w:tbl>
    <w:p w14:paraId="218577FA" w14:textId="77777777" w:rsidR="0095129E" w:rsidRDefault="0095129E" w:rsidP="0095129E">
      <w:pPr>
        <w:jc w:val="center"/>
      </w:pPr>
    </w:p>
    <w:p w14:paraId="30D8E784" w14:textId="77777777" w:rsidR="00535095" w:rsidRPr="00611B89" w:rsidRDefault="00535095" w:rsidP="00874A17"/>
    <w:p w14:paraId="66F26DD0" w14:textId="77777777" w:rsidR="00170815" w:rsidRDefault="00170815">
      <w:pPr>
        <w:rPr>
          <w:b/>
          <w:noProof/>
        </w:rPr>
      </w:pPr>
      <w:bookmarkStart w:id="48" w:name="_Toc479765062"/>
      <w:bookmarkStart w:id="49" w:name="_Toc479765574"/>
      <w:r>
        <w:rPr>
          <w:b/>
        </w:rPr>
        <w:br w:type="page"/>
      </w:r>
    </w:p>
    <w:p w14:paraId="6931CD9F" w14:textId="3A55E785" w:rsidR="00F86879" w:rsidRPr="00611B89" w:rsidRDefault="00A045CE" w:rsidP="00891A0E">
      <w:pPr>
        <w:pStyle w:val="EndNoteBibliography"/>
        <w:ind w:left="270" w:hanging="270"/>
        <w:outlineLvl w:val="0"/>
        <w:rPr>
          <w:b/>
        </w:rPr>
      </w:pPr>
      <w:r>
        <w:rPr>
          <w:b/>
        </w:rPr>
        <w:lastRenderedPageBreak/>
        <w:t>4</w:t>
      </w:r>
      <w:r w:rsidR="005E1F9B" w:rsidRPr="00611B89">
        <w:rPr>
          <w:b/>
        </w:rPr>
        <w:t xml:space="preserve"> </w:t>
      </w:r>
      <w:r w:rsidR="00E91F7C" w:rsidRPr="00611B89">
        <w:rPr>
          <w:b/>
        </w:rPr>
        <w:tab/>
      </w:r>
      <w:r w:rsidR="003C2A89" w:rsidRPr="00611B89">
        <w:rPr>
          <w:b/>
        </w:rPr>
        <w:t>References</w:t>
      </w:r>
      <w:bookmarkEnd w:id="48"/>
      <w:bookmarkEnd w:id="49"/>
    </w:p>
    <w:p w14:paraId="23296E6D" w14:textId="77777777" w:rsidR="003C2A89" w:rsidRPr="00611B89" w:rsidRDefault="003C2A89" w:rsidP="00874A17">
      <w:pPr>
        <w:pStyle w:val="EndNoteBibliography"/>
        <w:ind w:left="720" w:hanging="720"/>
      </w:pPr>
    </w:p>
    <w:p w14:paraId="7FA1D935" w14:textId="77777777" w:rsidR="008558DB" w:rsidRPr="008558DB" w:rsidRDefault="00535095" w:rsidP="008558DB">
      <w:pPr>
        <w:pStyle w:val="EndNoteBibliography"/>
      </w:pPr>
      <w:r w:rsidRPr="00611B89">
        <w:fldChar w:fldCharType="begin"/>
      </w:r>
      <w:r w:rsidRPr="00171590">
        <w:instrText xml:space="preserve"> ADDIN EN.REFLIST </w:instrText>
      </w:r>
      <w:r w:rsidRPr="00611B89">
        <w:fldChar w:fldCharType="separate"/>
      </w:r>
      <w:r w:rsidR="008558DB" w:rsidRPr="008558DB">
        <w:t>[1] Jenness SM, Goodreau SM, Rosenberg E, et al. Impact of the Centers for Disease Control's HIV Preexposure Prophylaxis Guidelines for Men Who Have Sex With Men in the United States. J Infect Dis 2016.</w:t>
      </w:r>
    </w:p>
    <w:p w14:paraId="5DC4AB64" w14:textId="77777777" w:rsidR="008558DB" w:rsidRPr="008558DB" w:rsidRDefault="008558DB" w:rsidP="008558DB">
      <w:pPr>
        <w:pStyle w:val="EndNoteBibliography"/>
      </w:pPr>
      <w:r w:rsidRPr="008558DB">
        <w:t>[2] Sharma A, Wang LY, Dunville R, et al. HIV and STD Testing Behavior among Young Men Who Have Sex With Men: Analysis of Pooled Youth Risk Behavior Survey Data, 2005-2013. Journal of Adolescent Health 2016;58:S80.</w:t>
      </w:r>
    </w:p>
    <w:p w14:paraId="5DCAF806" w14:textId="77777777" w:rsidR="008558DB" w:rsidRPr="008558DB" w:rsidRDefault="008558DB" w:rsidP="008558DB">
      <w:pPr>
        <w:pStyle w:val="EndNoteBibliography"/>
      </w:pPr>
      <w:r w:rsidRPr="008558DB">
        <w:t>[3] Halkitis PN, Kapadia F, Siconolfi DE, et al. Individual, psychosocial, and social correlates of unprotected anal intercourse in a new generation of young men who have sex with men in New York City. Am J Public Health 2013;103:889-895.</w:t>
      </w:r>
    </w:p>
    <w:p w14:paraId="45F23B7F" w14:textId="77777777" w:rsidR="008558DB" w:rsidRPr="008558DB" w:rsidRDefault="008558DB" w:rsidP="008558DB">
      <w:pPr>
        <w:pStyle w:val="EndNoteBibliography"/>
      </w:pPr>
      <w:r w:rsidRPr="008558DB">
        <w:t>[4] Sanchez T, Zlotorzynska M, Sineath C, et al. The Annual American Men's Internet Survey of Behaviors of Men Who have Sex with Men in the United States: 2014 Key Indicators Report. JMIR Public Health Surveill 2016;2:e23.</w:t>
      </w:r>
    </w:p>
    <w:p w14:paraId="6807BAC2" w14:textId="77777777" w:rsidR="008558DB" w:rsidRPr="008558DB" w:rsidRDefault="008558DB" w:rsidP="008558DB">
      <w:pPr>
        <w:pStyle w:val="EndNoteBibliography"/>
      </w:pPr>
      <w:r w:rsidRPr="008558DB">
        <w:t>[5] Rotheram-Borus MJ, Reid H, Rosario M. Factors mediating changes in sexual HIV risk behaviors among gay and bisexual male adolescents. Am J Public Health 1994;84:1938-1946.</w:t>
      </w:r>
    </w:p>
    <w:p w14:paraId="2E3B17AD" w14:textId="77777777" w:rsidR="008558DB" w:rsidRPr="008558DB" w:rsidRDefault="008558DB" w:rsidP="008558DB">
      <w:pPr>
        <w:pStyle w:val="EndNoteBibliography"/>
      </w:pPr>
      <w:r w:rsidRPr="008558DB">
        <w:t>[6] Hidalgo MA, Kuhns LM, Hotton AL, et al. The MyPEEPS randomized controlled trial: a pilot of preliminary efficacy, feasibility, and acceptability of a group-level, HIV risk reduction intervention for young men who have sex with men. Arch Sex Behav 2015;44:475-485.</w:t>
      </w:r>
    </w:p>
    <w:p w14:paraId="4AB44024" w14:textId="77777777" w:rsidR="008558DB" w:rsidRPr="008558DB" w:rsidRDefault="008558DB" w:rsidP="008558DB">
      <w:pPr>
        <w:pStyle w:val="EndNoteBibliography"/>
      </w:pPr>
      <w:r w:rsidRPr="008558DB">
        <w:t>[7] Sifakis F, Hylton JB, Flynn C, et al. Racial disparities in HIV incidence among young men who have sex with men: the Baltimore Young Men's Survey. J Acquir Immune Defic Syndr 2007;46:343-348.</w:t>
      </w:r>
    </w:p>
    <w:p w14:paraId="7BE3690F" w14:textId="77777777" w:rsidR="008558DB" w:rsidRPr="008558DB" w:rsidRDefault="008558DB" w:rsidP="008558DB">
      <w:pPr>
        <w:pStyle w:val="EndNoteBibliography"/>
      </w:pPr>
      <w:r w:rsidRPr="008558DB">
        <w:t>[8] Pathela P, Schillinger JA. Sexual behaviors and sexual violence: adolescents with opposite-, same-, or both-sex partners. Pediatrics 2010;126:879-886.</w:t>
      </w:r>
    </w:p>
    <w:p w14:paraId="1A9EB345" w14:textId="77777777" w:rsidR="008558DB" w:rsidRPr="008558DB" w:rsidRDefault="008558DB" w:rsidP="008558DB">
      <w:pPr>
        <w:pStyle w:val="EndNoteBibliography"/>
      </w:pPr>
      <w:r w:rsidRPr="008558DB">
        <w:t>[9] Everett BG, Schnarrs PW, Rosario M, et al. Sexual orientation disparities in sexually transmitted infection risk behaviors and risk determinants among sexually active adolescent males: results from a school-based sample. Am J Public Health 2014;104:1107-1112.</w:t>
      </w:r>
    </w:p>
    <w:p w14:paraId="4DF56B03" w14:textId="77777777" w:rsidR="008558DB" w:rsidRPr="008558DB" w:rsidRDefault="008558DB" w:rsidP="008558DB">
      <w:pPr>
        <w:pStyle w:val="EndNoteBibliography"/>
      </w:pPr>
      <w:r w:rsidRPr="008558DB">
        <w:t>[10] Sullivan PS, Rosenberg ES, Sanchez TH, et al. Explaining racial disparities in HIV incidence in black and white men who have sex with men in Atlanta, GA: a prospective observational cohort study. Ann Epidemiol 2015;25:445-454.</w:t>
      </w:r>
    </w:p>
    <w:p w14:paraId="64AF6A97" w14:textId="77777777" w:rsidR="008558DB" w:rsidRPr="008558DB" w:rsidRDefault="008558DB" w:rsidP="008558DB">
      <w:pPr>
        <w:pStyle w:val="EndNoteBibliography"/>
      </w:pPr>
      <w:r w:rsidRPr="008558DB">
        <w:t>[11] Hernandez-Romieu AC, Sullivan PS, Rothenberg R, et al. Heterogeneity of HIV Prevalence Among the Sexual Networks of Black and White Men Who Have Sex With Men in Atlanta: Illuminating a Mechanism for Increased HIV Risk for Young Black Men Who Have Sex With Men. Sex Transm Dis 2015;42:505-512.</w:t>
      </w:r>
    </w:p>
    <w:p w14:paraId="7225CACF" w14:textId="77777777" w:rsidR="008558DB" w:rsidRPr="008558DB" w:rsidRDefault="008558DB" w:rsidP="008558DB">
      <w:pPr>
        <w:pStyle w:val="EndNoteBibliography"/>
      </w:pPr>
      <w:r w:rsidRPr="008558DB">
        <w:t>[12] Khosropour CM, Sullivan PS. Predictors of retention in an online follow-up study of men who have sex with men. J Med Internet Res 2011;13:e47.</w:t>
      </w:r>
    </w:p>
    <w:p w14:paraId="3A8F5B3D" w14:textId="77777777" w:rsidR="008558DB" w:rsidRPr="008558DB" w:rsidRDefault="008558DB" w:rsidP="008558DB">
      <w:pPr>
        <w:pStyle w:val="EndNoteBibliography"/>
      </w:pPr>
      <w:r w:rsidRPr="008558DB">
        <w:t>[13] Wejnert C, Le B, Rose CE, et al. HIV infection and awareness among men who have sex with men-20 cities, United States, 2008 and 2011. PLoS One 2013;8:e76878.</w:t>
      </w:r>
    </w:p>
    <w:p w14:paraId="5DBF40AD" w14:textId="77777777" w:rsidR="008558DB" w:rsidRPr="008558DB" w:rsidRDefault="008558DB" w:rsidP="008558DB">
      <w:pPr>
        <w:pStyle w:val="EndNoteBibliography"/>
      </w:pPr>
      <w:r w:rsidRPr="008558DB">
        <w:t>[14] Wejnert C, Hess KL, Rose CE, et al. Age-Specific Race and Ethnicity Disparities in HIV Infection and Awareness Among Men Who Have Sex With Men--20 US Cities, 2008-2014. J Infect Dis 2016;213:776-783.</w:t>
      </w:r>
    </w:p>
    <w:p w14:paraId="03B65201" w14:textId="77777777" w:rsidR="008558DB" w:rsidRPr="008558DB" w:rsidRDefault="008558DB" w:rsidP="008558DB">
      <w:pPr>
        <w:pStyle w:val="EndNoteBibliography"/>
      </w:pPr>
      <w:r w:rsidRPr="008558DB">
        <w:t>[15] Grant RM, Anderson PL, McMahan V, et al. Uptake of pre-exposure prophylaxis, sexual practices, and HIV incidence in men and transgender women who have sex with men: a cohort study. Lancet Infect Dis 2014;14:820-829.</w:t>
      </w:r>
    </w:p>
    <w:p w14:paraId="6CA7B752" w14:textId="77777777" w:rsidR="008558DB" w:rsidRPr="008558DB" w:rsidRDefault="008558DB" w:rsidP="008558DB">
      <w:pPr>
        <w:pStyle w:val="EndNoteBibliography"/>
      </w:pPr>
      <w:r w:rsidRPr="008558DB">
        <w:t>[16] Hosek S, Landovitz R, Rudy B, et al. An HIV Pre-Exposure Prophylaxis Demonstration Project and Safety Study for Adolescent MSM ages 15-17 in the US (ATN 113).  AIDS 2016: 21st International AIDS Conference. Durban.</w:t>
      </w:r>
    </w:p>
    <w:p w14:paraId="05725E4C" w14:textId="099322B9" w:rsidR="00630D88" w:rsidRPr="00611B89" w:rsidRDefault="00535095" w:rsidP="00874A17">
      <w:r w:rsidRPr="00611B89">
        <w:fldChar w:fldCharType="end"/>
      </w:r>
      <w:bookmarkStart w:id="50" w:name="_GoBack"/>
      <w:bookmarkEnd w:id="50"/>
    </w:p>
    <w:sectPr w:rsidR="00630D88" w:rsidRPr="00611B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E0F2E" w14:textId="77777777" w:rsidR="001244F3" w:rsidRDefault="001244F3" w:rsidP="000279B3">
      <w:r>
        <w:separator/>
      </w:r>
    </w:p>
  </w:endnote>
  <w:endnote w:type="continuationSeparator" w:id="0">
    <w:p w14:paraId="1CCACC50" w14:textId="77777777" w:rsidR="001244F3" w:rsidRDefault="001244F3" w:rsidP="0002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7DD7F" w14:textId="4DCC5A64" w:rsidR="003B0F31" w:rsidRDefault="001244F3">
    <w:pPr>
      <w:pStyle w:val="Footer"/>
      <w:jc w:val="center"/>
    </w:pPr>
    <w:sdt>
      <w:sdtPr>
        <w:id w:val="332187696"/>
        <w:docPartObj>
          <w:docPartGallery w:val="Page Numbers (Bottom of Page)"/>
          <w:docPartUnique/>
        </w:docPartObj>
      </w:sdtPr>
      <w:sdtEndPr>
        <w:rPr>
          <w:noProof/>
        </w:rPr>
      </w:sdtEndPr>
      <w:sdtContent>
        <w:r w:rsidR="003B0F31">
          <w:fldChar w:fldCharType="begin"/>
        </w:r>
        <w:r w:rsidR="003B0F31">
          <w:instrText xml:space="preserve"> PAGE   \* MERGEFORMAT </w:instrText>
        </w:r>
        <w:r w:rsidR="003B0F31">
          <w:fldChar w:fldCharType="separate"/>
        </w:r>
        <w:r w:rsidR="00D81B78">
          <w:rPr>
            <w:noProof/>
          </w:rPr>
          <w:t>9</w:t>
        </w:r>
        <w:r w:rsidR="003B0F31">
          <w:rPr>
            <w:noProof/>
          </w:rPr>
          <w:fldChar w:fldCharType="end"/>
        </w:r>
      </w:sdtContent>
    </w:sdt>
  </w:p>
  <w:p w14:paraId="0809371E" w14:textId="77777777" w:rsidR="003B0F31" w:rsidRDefault="003B0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E4560" w14:textId="77777777" w:rsidR="001244F3" w:rsidRDefault="001244F3" w:rsidP="000279B3">
      <w:r>
        <w:separator/>
      </w:r>
    </w:p>
  </w:footnote>
  <w:footnote w:type="continuationSeparator" w:id="0">
    <w:p w14:paraId="62A4FE31" w14:textId="77777777" w:rsidR="001244F3" w:rsidRDefault="001244F3" w:rsidP="00027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C2AD9"/>
    <w:multiLevelType w:val="hybridMultilevel"/>
    <w:tmpl w:val="B7DE3C30"/>
    <w:lvl w:ilvl="0" w:tplc="AAAC0FF0">
      <w:start w:val="1"/>
      <w:numFmt w:val="decimal"/>
      <w:lvlText w:val="%1"/>
      <w:lvlJc w:val="left"/>
      <w:pPr>
        <w:ind w:left="540" w:hanging="54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BC5C8F"/>
    <w:multiLevelType w:val="multilevel"/>
    <w:tmpl w:val="3782028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dolescent Heal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dv2sspezx5x4ew22qv2waqev0p25tsetrx&quot;&gt;CAMP adolescent 2 race model&lt;record-ids&gt;&lt;item&gt;13&lt;/item&gt;&lt;item&gt;14&lt;/item&gt;&lt;item&gt;15&lt;/item&gt;&lt;item&gt;16&lt;/item&gt;&lt;item&gt;17&lt;/item&gt;&lt;item&gt;18&lt;/item&gt;&lt;item&gt;19&lt;/item&gt;&lt;item&gt;20&lt;/item&gt;&lt;item&gt;21&lt;/item&gt;&lt;item&gt;22&lt;/item&gt;&lt;item&gt;23&lt;/item&gt;&lt;item&gt;24&lt;/item&gt;&lt;item&gt;25&lt;/item&gt;&lt;item&gt;27&lt;/item&gt;&lt;item&gt;28&lt;/item&gt;&lt;item&gt;36&lt;/item&gt;&lt;/record-ids&gt;&lt;/item&gt;&lt;/Libraries&gt;"/>
  </w:docVars>
  <w:rsids>
    <w:rsidRoot w:val="00911D2F"/>
    <w:rsid w:val="00001D18"/>
    <w:rsid w:val="00001E3F"/>
    <w:rsid w:val="00002F46"/>
    <w:rsid w:val="000038F1"/>
    <w:rsid w:val="000101C1"/>
    <w:rsid w:val="00010B07"/>
    <w:rsid w:val="00013CC9"/>
    <w:rsid w:val="0001662F"/>
    <w:rsid w:val="000166E7"/>
    <w:rsid w:val="00017E5F"/>
    <w:rsid w:val="000202D7"/>
    <w:rsid w:val="00021CD8"/>
    <w:rsid w:val="00025A3C"/>
    <w:rsid w:val="000279B3"/>
    <w:rsid w:val="000302DB"/>
    <w:rsid w:val="0003131E"/>
    <w:rsid w:val="00031DD8"/>
    <w:rsid w:val="0003520A"/>
    <w:rsid w:val="0003769E"/>
    <w:rsid w:val="00040279"/>
    <w:rsid w:val="00040B36"/>
    <w:rsid w:val="00042A53"/>
    <w:rsid w:val="00043A98"/>
    <w:rsid w:val="000450AF"/>
    <w:rsid w:val="0004637D"/>
    <w:rsid w:val="00047289"/>
    <w:rsid w:val="00047412"/>
    <w:rsid w:val="00052106"/>
    <w:rsid w:val="0005227A"/>
    <w:rsid w:val="00052463"/>
    <w:rsid w:val="0005457B"/>
    <w:rsid w:val="000600D4"/>
    <w:rsid w:val="000625F4"/>
    <w:rsid w:val="00063301"/>
    <w:rsid w:val="00063F64"/>
    <w:rsid w:val="00064119"/>
    <w:rsid w:val="0006523C"/>
    <w:rsid w:val="000652EB"/>
    <w:rsid w:val="00067B3B"/>
    <w:rsid w:val="00071198"/>
    <w:rsid w:val="00076E47"/>
    <w:rsid w:val="0008086C"/>
    <w:rsid w:val="00083CF4"/>
    <w:rsid w:val="00086F21"/>
    <w:rsid w:val="00092014"/>
    <w:rsid w:val="00092EA8"/>
    <w:rsid w:val="00093A64"/>
    <w:rsid w:val="00094418"/>
    <w:rsid w:val="00096AE6"/>
    <w:rsid w:val="000A074D"/>
    <w:rsid w:val="000A168D"/>
    <w:rsid w:val="000A7C14"/>
    <w:rsid w:val="000B346B"/>
    <w:rsid w:val="000B3801"/>
    <w:rsid w:val="000B3BDD"/>
    <w:rsid w:val="000B54BE"/>
    <w:rsid w:val="000B6F5E"/>
    <w:rsid w:val="000B7864"/>
    <w:rsid w:val="000C293E"/>
    <w:rsid w:val="000C5F59"/>
    <w:rsid w:val="000D5BFA"/>
    <w:rsid w:val="000D7BA5"/>
    <w:rsid w:val="000D7BD6"/>
    <w:rsid w:val="000E0C11"/>
    <w:rsid w:val="000E0D95"/>
    <w:rsid w:val="000E18B8"/>
    <w:rsid w:val="000E2352"/>
    <w:rsid w:val="000E64A2"/>
    <w:rsid w:val="000F1242"/>
    <w:rsid w:val="000F3B0B"/>
    <w:rsid w:val="000F41F8"/>
    <w:rsid w:val="000F4667"/>
    <w:rsid w:val="000F5579"/>
    <w:rsid w:val="000F57BE"/>
    <w:rsid w:val="000F5A1B"/>
    <w:rsid w:val="000F6F54"/>
    <w:rsid w:val="001021C7"/>
    <w:rsid w:val="00106FCA"/>
    <w:rsid w:val="00111BC7"/>
    <w:rsid w:val="00112E9E"/>
    <w:rsid w:val="0011631D"/>
    <w:rsid w:val="001244F3"/>
    <w:rsid w:val="0012595C"/>
    <w:rsid w:val="001261DE"/>
    <w:rsid w:val="00127261"/>
    <w:rsid w:val="0012730C"/>
    <w:rsid w:val="00127671"/>
    <w:rsid w:val="001302B3"/>
    <w:rsid w:val="00130E16"/>
    <w:rsid w:val="0013192F"/>
    <w:rsid w:val="00134788"/>
    <w:rsid w:val="00134DD2"/>
    <w:rsid w:val="00141658"/>
    <w:rsid w:val="0015185F"/>
    <w:rsid w:val="00164567"/>
    <w:rsid w:val="001706BC"/>
    <w:rsid w:val="00170815"/>
    <w:rsid w:val="00170C63"/>
    <w:rsid w:val="00170D39"/>
    <w:rsid w:val="00171455"/>
    <w:rsid w:val="00171590"/>
    <w:rsid w:val="00175FC2"/>
    <w:rsid w:val="00176175"/>
    <w:rsid w:val="00180B80"/>
    <w:rsid w:val="00181962"/>
    <w:rsid w:val="001821B2"/>
    <w:rsid w:val="001865D1"/>
    <w:rsid w:val="00191AC4"/>
    <w:rsid w:val="00191F2F"/>
    <w:rsid w:val="00192F66"/>
    <w:rsid w:val="00196A3A"/>
    <w:rsid w:val="00197F3F"/>
    <w:rsid w:val="00197FD0"/>
    <w:rsid w:val="001A00AF"/>
    <w:rsid w:val="001A19B2"/>
    <w:rsid w:val="001A3281"/>
    <w:rsid w:val="001A3C61"/>
    <w:rsid w:val="001A44AA"/>
    <w:rsid w:val="001B0CA3"/>
    <w:rsid w:val="001B2B62"/>
    <w:rsid w:val="001B30E0"/>
    <w:rsid w:val="001B436F"/>
    <w:rsid w:val="001B58FA"/>
    <w:rsid w:val="001B5C91"/>
    <w:rsid w:val="001B5EC0"/>
    <w:rsid w:val="001C17AF"/>
    <w:rsid w:val="001C36D8"/>
    <w:rsid w:val="001C419D"/>
    <w:rsid w:val="001C4BA8"/>
    <w:rsid w:val="001D00A5"/>
    <w:rsid w:val="001D06F1"/>
    <w:rsid w:val="001D23F7"/>
    <w:rsid w:val="001D3AE9"/>
    <w:rsid w:val="001D4520"/>
    <w:rsid w:val="001E1A2E"/>
    <w:rsid w:val="001E30FA"/>
    <w:rsid w:val="001E509F"/>
    <w:rsid w:val="001E6C48"/>
    <w:rsid w:val="001E7A07"/>
    <w:rsid w:val="001F10F9"/>
    <w:rsid w:val="001F15E5"/>
    <w:rsid w:val="001F2656"/>
    <w:rsid w:val="001F4DDA"/>
    <w:rsid w:val="001F5C6D"/>
    <w:rsid w:val="001F767C"/>
    <w:rsid w:val="00200B49"/>
    <w:rsid w:val="00201C80"/>
    <w:rsid w:val="002051E7"/>
    <w:rsid w:val="0020598F"/>
    <w:rsid w:val="00206829"/>
    <w:rsid w:val="00207278"/>
    <w:rsid w:val="00211043"/>
    <w:rsid w:val="00211B25"/>
    <w:rsid w:val="0021461F"/>
    <w:rsid w:val="00214B85"/>
    <w:rsid w:val="00222CA3"/>
    <w:rsid w:val="00225C78"/>
    <w:rsid w:val="002260CB"/>
    <w:rsid w:val="00241F7E"/>
    <w:rsid w:val="00242973"/>
    <w:rsid w:val="00242C77"/>
    <w:rsid w:val="0024640A"/>
    <w:rsid w:val="0024670A"/>
    <w:rsid w:val="00253975"/>
    <w:rsid w:val="002546E1"/>
    <w:rsid w:val="0025768E"/>
    <w:rsid w:val="00260118"/>
    <w:rsid w:val="0026188F"/>
    <w:rsid w:val="002629B3"/>
    <w:rsid w:val="002662E9"/>
    <w:rsid w:val="00266F19"/>
    <w:rsid w:val="00267212"/>
    <w:rsid w:val="00267AF0"/>
    <w:rsid w:val="00270F45"/>
    <w:rsid w:val="0028007D"/>
    <w:rsid w:val="00281589"/>
    <w:rsid w:val="00281644"/>
    <w:rsid w:val="00282224"/>
    <w:rsid w:val="00282A27"/>
    <w:rsid w:val="00282FD9"/>
    <w:rsid w:val="00286AA0"/>
    <w:rsid w:val="002902F5"/>
    <w:rsid w:val="00292F9D"/>
    <w:rsid w:val="00293491"/>
    <w:rsid w:val="00294893"/>
    <w:rsid w:val="00294A3F"/>
    <w:rsid w:val="002B08FE"/>
    <w:rsid w:val="002B2B6D"/>
    <w:rsid w:val="002B3109"/>
    <w:rsid w:val="002B5C3F"/>
    <w:rsid w:val="002C29B1"/>
    <w:rsid w:val="002C32C5"/>
    <w:rsid w:val="002C79BF"/>
    <w:rsid w:val="002D0819"/>
    <w:rsid w:val="002D1868"/>
    <w:rsid w:val="002D19B5"/>
    <w:rsid w:val="002D3882"/>
    <w:rsid w:val="002D3BBA"/>
    <w:rsid w:val="002D3F7C"/>
    <w:rsid w:val="002D4612"/>
    <w:rsid w:val="002D6C2E"/>
    <w:rsid w:val="002E47F9"/>
    <w:rsid w:val="002E6C30"/>
    <w:rsid w:val="002E707E"/>
    <w:rsid w:val="002E7B98"/>
    <w:rsid w:val="002F00F1"/>
    <w:rsid w:val="002F06E2"/>
    <w:rsid w:val="002F0EA7"/>
    <w:rsid w:val="002F2C5B"/>
    <w:rsid w:val="002F55D2"/>
    <w:rsid w:val="003047C4"/>
    <w:rsid w:val="003053D7"/>
    <w:rsid w:val="00305F2D"/>
    <w:rsid w:val="00306083"/>
    <w:rsid w:val="00311396"/>
    <w:rsid w:val="00313E1E"/>
    <w:rsid w:val="00314971"/>
    <w:rsid w:val="00316BDA"/>
    <w:rsid w:val="0032047C"/>
    <w:rsid w:val="00321EDE"/>
    <w:rsid w:val="00322710"/>
    <w:rsid w:val="00325514"/>
    <w:rsid w:val="00332101"/>
    <w:rsid w:val="00333691"/>
    <w:rsid w:val="003363B0"/>
    <w:rsid w:val="003416A1"/>
    <w:rsid w:val="0034194E"/>
    <w:rsid w:val="0034356C"/>
    <w:rsid w:val="00343EA2"/>
    <w:rsid w:val="00344307"/>
    <w:rsid w:val="003445D1"/>
    <w:rsid w:val="003448C2"/>
    <w:rsid w:val="00344EF5"/>
    <w:rsid w:val="00345E33"/>
    <w:rsid w:val="0034620E"/>
    <w:rsid w:val="003500DB"/>
    <w:rsid w:val="00352068"/>
    <w:rsid w:val="00352490"/>
    <w:rsid w:val="003540A3"/>
    <w:rsid w:val="003572B3"/>
    <w:rsid w:val="003578EA"/>
    <w:rsid w:val="00357A2A"/>
    <w:rsid w:val="00364096"/>
    <w:rsid w:val="0036558E"/>
    <w:rsid w:val="00366412"/>
    <w:rsid w:val="003669C7"/>
    <w:rsid w:val="003701A0"/>
    <w:rsid w:val="00376726"/>
    <w:rsid w:val="003768AF"/>
    <w:rsid w:val="00377128"/>
    <w:rsid w:val="003843D8"/>
    <w:rsid w:val="00384BB9"/>
    <w:rsid w:val="00386806"/>
    <w:rsid w:val="003908AA"/>
    <w:rsid w:val="003946BA"/>
    <w:rsid w:val="003A0DB6"/>
    <w:rsid w:val="003A1837"/>
    <w:rsid w:val="003A2DB5"/>
    <w:rsid w:val="003A3B06"/>
    <w:rsid w:val="003A3C9C"/>
    <w:rsid w:val="003A699B"/>
    <w:rsid w:val="003B0092"/>
    <w:rsid w:val="003B0F31"/>
    <w:rsid w:val="003B323E"/>
    <w:rsid w:val="003B3E52"/>
    <w:rsid w:val="003B41BE"/>
    <w:rsid w:val="003B421B"/>
    <w:rsid w:val="003B6CD8"/>
    <w:rsid w:val="003C088E"/>
    <w:rsid w:val="003C28AD"/>
    <w:rsid w:val="003C2A89"/>
    <w:rsid w:val="003C33B6"/>
    <w:rsid w:val="003C4A06"/>
    <w:rsid w:val="003C508C"/>
    <w:rsid w:val="003C646D"/>
    <w:rsid w:val="003C7F28"/>
    <w:rsid w:val="003D122B"/>
    <w:rsid w:val="003D2C59"/>
    <w:rsid w:val="003D3909"/>
    <w:rsid w:val="003D79D8"/>
    <w:rsid w:val="003E10C0"/>
    <w:rsid w:val="003E4F12"/>
    <w:rsid w:val="003E6831"/>
    <w:rsid w:val="003F6783"/>
    <w:rsid w:val="0040303B"/>
    <w:rsid w:val="00404219"/>
    <w:rsid w:val="00404FEB"/>
    <w:rsid w:val="0040685B"/>
    <w:rsid w:val="004068C7"/>
    <w:rsid w:val="00406A01"/>
    <w:rsid w:val="00407A59"/>
    <w:rsid w:val="004101FC"/>
    <w:rsid w:val="004138E5"/>
    <w:rsid w:val="00413F4A"/>
    <w:rsid w:val="00417E97"/>
    <w:rsid w:val="0042109D"/>
    <w:rsid w:val="00424DF4"/>
    <w:rsid w:val="00427784"/>
    <w:rsid w:val="004277A6"/>
    <w:rsid w:val="00427EED"/>
    <w:rsid w:val="00431293"/>
    <w:rsid w:val="00431922"/>
    <w:rsid w:val="004342A1"/>
    <w:rsid w:val="00434398"/>
    <w:rsid w:val="004345DF"/>
    <w:rsid w:val="00435D9E"/>
    <w:rsid w:val="00437D2E"/>
    <w:rsid w:val="00437E7E"/>
    <w:rsid w:val="004477B2"/>
    <w:rsid w:val="00450CF3"/>
    <w:rsid w:val="00454199"/>
    <w:rsid w:val="00457C92"/>
    <w:rsid w:val="004600ED"/>
    <w:rsid w:val="0046213C"/>
    <w:rsid w:val="004640BA"/>
    <w:rsid w:val="0046429D"/>
    <w:rsid w:val="004648A1"/>
    <w:rsid w:val="00465991"/>
    <w:rsid w:val="00465E59"/>
    <w:rsid w:val="00467A66"/>
    <w:rsid w:val="00471228"/>
    <w:rsid w:val="00471DF4"/>
    <w:rsid w:val="00474F23"/>
    <w:rsid w:val="004803B5"/>
    <w:rsid w:val="00482C3A"/>
    <w:rsid w:val="0048506F"/>
    <w:rsid w:val="004860CC"/>
    <w:rsid w:val="00487255"/>
    <w:rsid w:val="00490560"/>
    <w:rsid w:val="00491BA2"/>
    <w:rsid w:val="00491C3F"/>
    <w:rsid w:val="004954F1"/>
    <w:rsid w:val="004A1748"/>
    <w:rsid w:val="004A1CFF"/>
    <w:rsid w:val="004A459F"/>
    <w:rsid w:val="004A5438"/>
    <w:rsid w:val="004B179E"/>
    <w:rsid w:val="004B50A3"/>
    <w:rsid w:val="004B537B"/>
    <w:rsid w:val="004B59D0"/>
    <w:rsid w:val="004B626D"/>
    <w:rsid w:val="004C22D5"/>
    <w:rsid w:val="004C2A70"/>
    <w:rsid w:val="004C4035"/>
    <w:rsid w:val="004C4E75"/>
    <w:rsid w:val="004C6460"/>
    <w:rsid w:val="004C7F92"/>
    <w:rsid w:val="004D0139"/>
    <w:rsid w:val="004D31EE"/>
    <w:rsid w:val="004D5DB2"/>
    <w:rsid w:val="004E0C09"/>
    <w:rsid w:val="004E2286"/>
    <w:rsid w:val="004E6304"/>
    <w:rsid w:val="004F5763"/>
    <w:rsid w:val="004F66F8"/>
    <w:rsid w:val="005042E8"/>
    <w:rsid w:val="005056A7"/>
    <w:rsid w:val="0051025D"/>
    <w:rsid w:val="005113AA"/>
    <w:rsid w:val="005121EF"/>
    <w:rsid w:val="00512959"/>
    <w:rsid w:val="00512DFB"/>
    <w:rsid w:val="00513BD7"/>
    <w:rsid w:val="00514D63"/>
    <w:rsid w:val="00517A34"/>
    <w:rsid w:val="005209EF"/>
    <w:rsid w:val="00521EDF"/>
    <w:rsid w:val="005227A0"/>
    <w:rsid w:val="00525616"/>
    <w:rsid w:val="00531C87"/>
    <w:rsid w:val="00533841"/>
    <w:rsid w:val="00533AAA"/>
    <w:rsid w:val="00535095"/>
    <w:rsid w:val="005355E9"/>
    <w:rsid w:val="00536519"/>
    <w:rsid w:val="00540A07"/>
    <w:rsid w:val="00544A70"/>
    <w:rsid w:val="0055735E"/>
    <w:rsid w:val="005659FC"/>
    <w:rsid w:val="00567BD9"/>
    <w:rsid w:val="00567C17"/>
    <w:rsid w:val="005720DE"/>
    <w:rsid w:val="00573020"/>
    <w:rsid w:val="005732E2"/>
    <w:rsid w:val="00575B74"/>
    <w:rsid w:val="00577825"/>
    <w:rsid w:val="00581C87"/>
    <w:rsid w:val="0058504B"/>
    <w:rsid w:val="005851C4"/>
    <w:rsid w:val="00586230"/>
    <w:rsid w:val="005918B3"/>
    <w:rsid w:val="005925BE"/>
    <w:rsid w:val="005950FE"/>
    <w:rsid w:val="005A0FC3"/>
    <w:rsid w:val="005A1461"/>
    <w:rsid w:val="005A1E45"/>
    <w:rsid w:val="005A3BD0"/>
    <w:rsid w:val="005A3C09"/>
    <w:rsid w:val="005A49FD"/>
    <w:rsid w:val="005A58EC"/>
    <w:rsid w:val="005B16C5"/>
    <w:rsid w:val="005B2B1B"/>
    <w:rsid w:val="005B368B"/>
    <w:rsid w:val="005B55A3"/>
    <w:rsid w:val="005B5EC6"/>
    <w:rsid w:val="005B6D8C"/>
    <w:rsid w:val="005B77BF"/>
    <w:rsid w:val="005C011A"/>
    <w:rsid w:val="005C3481"/>
    <w:rsid w:val="005C38FD"/>
    <w:rsid w:val="005C5F0C"/>
    <w:rsid w:val="005C7815"/>
    <w:rsid w:val="005D0262"/>
    <w:rsid w:val="005D1D15"/>
    <w:rsid w:val="005D316A"/>
    <w:rsid w:val="005D5E60"/>
    <w:rsid w:val="005E07EA"/>
    <w:rsid w:val="005E08D7"/>
    <w:rsid w:val="005E0CA3"/>
    <w:rsid w:val="005E1725"/>
    <w:rsid w:val="005E1F9B"/>
    <w:rsid w:val="005E2F9E"/>
    <w:rsid w:val="005E427A"/>
    <w:rsid w:val="005F0BCA"/>
    <w:rsid w:val="005F3191"/>
    <w:rsid w:val="00601335"/>
    <w:rsid w:val="00603218"/>
    <w:rsid w:val="00611B89"/>
    <w:rsid w:val="00612076"/>
    <w:rsid w:val="006138F2"/>
    <w:rsid w:val="006179ED"/>
    <w:rsid w:val="0062048E"/>
    <w:rsid w:val="00621E26"/>
    <w:rsid w:val="0063022B"/>
    <w:rsid w:val="00630D88"/>
    <w:rsid w:val="006313A5"/>
    <w:rsid w:val="00632ABD"/>
    <w:rsid w:val="00633666"/>
    <w:rsid w:val="0063429F"/>
    <w:rsid w:val="00635548"/>
    <w:rsid w:val="006376CC"/>
    <w:rsid w:val="0064007D"/>
    <w:rsid w:val="00640428"/>
    <w:rsid w:val="006415E6"/>
    <w:rsid w:val="00641BEE"/>
    <w:rsid w:val="00642D2A"/>
    <w:rsid w:val="006434C6"/>
    <w:rsid w:val="00643682"/>
    <w:rsid w:val="00651926"/>
    <w:rsid w:val="0065197F"/>
    <w:rsid w:val="00653107"/>
    <w:rsid w:val="006551EC"/>
    <w:rsid w:val="00655B52"/>
    <w:rsid w:val="00660D17"/>
    <w:rsid w:val="00662501"/>
    <w:rsid w:val="006644D6"/>
    <w:rsid w:val="006663F4"/>
    <w:rsid w:val="0067010A"/>
    <w:rsid w:val="006718D3"/>
    <w:rsid w:val="00673EE6"/>
    <w:rsid w:val="006748DC"/>
    <w:rsid w:val="00674FDD"/>
    <w:rsid w:val="00685969"/>
    <w:rsid w:val="00693C9B"/>
    <w:rsid w:val="00693DB1"/>
    <w:rsid w:val="00695807"/>
    <w:rsid w:val="00696E94"/>
    <w:rsid w:val="006A0EA4"/>
    <w:rsid w:val="006A1752"/>
    <w:rsid w:val="006A1D7E"/>
    <w:rsid w:val="006A3FE3"/>
    <w:rsid w:val="006A7A0B"/>
    <w:rsid w:val="006B2298"/>
    <w:rsid w:val="006B3836"/>
    <w:rsid w:val="006C2FEA"/>
    <w:rsid w:val="006D1FA2"/>
    <w:rsid w:val="006D4B09"/>
    <w:rsid w:val="006D55FE"/>
    <w:rsid w:val="006D68ED"/>
    <w:rsid w:val="006E0A5D"/>
    <w:rsid w:val="006E0C2E"/>
    <w:rsid w:val="006F2754"/>
    <w:rsid w:val="006F38BE"/>
    <w:rsid w:val="00701E1C"/>
    <w:rsid w:val="0070228E"/>
    <w:rsid w:val="00704585"/>
    <w:rsid w:val="007045DC"/>
    <w:rsid w:val="0070792F"/>
    <w:rsid w:val="00711ACA"/>
    <w:rsid w:val="007151C6"/>
    <w:rsid w:val="0071594B"/>
    <w:rsid w:val="007175FC"/>
    <w:rsid w:val="00721BEF"/>
    <w:rsid w:val="0072361D"/>
    <w:rsid w:val="00723815"/>
    <w:rsid w:val="00732C29"/>
    <w:rsid w:val="00733D07"/>
    <w:rsid w:val="007343B4"/>
    <w:rsid w:val="00735CCB"/>
    <w:rsid w:val="00741848"/>
    <w:rsid w:val="00744AD5"/>
    <w:rsid w:val="00751B9D"/>
    <w:rsid w:val="00771484"/>
    <w:rsid w:val="00773CE6"/>
    <w:rsid w:val="00780E86"/>
    <w:rsid w:val="00781195"/>
    <w:rsid w:val="007855F0"/>
    <w:rsid w:val="00790DE2"/>
    <w:rsid w:val="007923CD"/>
    <w:rsid w:val="007924F2"/>
    <w:rsid w:val="00792872"/>
    <w:rsid w:val="007A0D25"/>
    <w:rsid w:val="007A0E3D"/>
    <w:rsid w:val="007A3E0F"/>
    <w:rsid w:val="007A4DDA"/>
    <w:rsid w:val="007A5828"/>
    <w:rsid w:val="007B2DE1"/>
    <w:rsid w:val="007B3E5E"/>
    <w:rsid w:val="007B5A5D"/>
    <w:rsid w:val="007C0D0A"/>
    <w:rsid w:val="007C148F"/>
    <w:rsid w:val="007C37B9"/>
    <w:rsid w:val="007C3EE6"/>
    <w:rsid w:val="007C4171"/>
    <w:rsid w:val="007C4F1C"/>
    <w:rsid w:val="007C5681"/>
    <w:rsid w:val="007D5938"/>
    <w:rsid w:val="007D7ACD"/>
    <w:rsid w:val="007D7F51"/>
    <w:rsid w:val="007E10B6"/>
    <w:rsid w:val="007E3536"/>
    <w:rsid w:val="007E5734"/>
    <w:rsid w:val="007F33AE"/>
    <w:rsid w:val="007F3F43"/>
    <w:rsid w:val="007F474C"/>
    <w:rsid w:val="007F6D74"/>
    <w:rsid w:val="007F70BB"/>
    <w:rsid w:val="00801896"/>
    <w:rsid w:val="00812A71"/>
    <w:rsid w:val="00813F56"/>
    <w:rsid w:val="00814034"/>
    <w:rsid w:val="008165B7"/>
    <w:rsid w:val="00816993"/>
    <w:rsid w:val="00816FD6"/>
    <w:rsid w:val="00817862"/>
    <w:rsid w:val="00820637"/>
    <w:rsid w:val="00825863"/>
    <w:rsid w:val="00825933"/>
    <w:rsid w:val="008262DE"/>
    <w:rsid w:val="008301B5"/>
    <w:rsid w:val="00832A65"/>
    <w:rsid w:val="00832C90"/>
    <w:rsid w:val="008379BA"/>
    <w:rsid w:val="00842375"/>
    <w:rsid w:val="00843556"/>
    <w:rsid w:val="00844D95"/>
    <w:rsid w:val="00847617"/>
    <w:rsid w:val="00854BF3"/>
    <w:rsid w:val="008558DB"/>
    <w:rsid w:val="008568F3"/>
    <w:rsid w:val="00856A18"/>
    <w:rsid w:val="008626FE"/>
    <w:rsid w:val="008643C3"/>
    <w:rsid w:val="00865B98"/>
    <w:rsid w:val="00870991"/>
    <w:rsid w:val="00872731"/>
    <w:rsid w:val="00872BE4"/>
    <w:rsid w:val="00874A17"/>
    <w:rsid w:val="00880A08"/>
    <w:rsid w:val="008834D5"/>
    <w:rsid w:val="0088399D"/>
    <w:rsid w:val="0088432C"/>
    <w:rsid w:val="00887742"/>
    <w:rsid w:val="00890DFE"/>
    <w:rsid w:val="00891A0E"/>
    <w:rsid w:val="00894850"/>
    <w:rsid w:val="008A0398"/>
    <w:rsid w:val="008A193B"/>
    <w:rsid w:val="008A4405"/>
    <w:rsid w:val="008A7C09"/>
    <w:rsid w:val="008B0FE1"/>
    <w:rsid w:val="008B1039"/>
    <w:rsid w:val="008B1179"/>
    <w:rsid w:val="008B3360"/>
    <w:rsid w:val="008B3676"/>
    <w:rsid w:val="008B5CC2"/>
    <w:rsid w:val="008C2939"/>
    <w:rsid w:val="008C6247"/>
    <w:rsid w:val="008C6EF4"/>
    <w:rsid w:val="008C722B"/>
    <w:rsid w:val="008C741B"/>
    <w:rsid w:val="008D2400"/>
    <w:rsid w:val="008D27DB"/>
    <w:rsid w:val="008E057F"/>
    <w:rsid w:val="008E0840"/>
    <w:rsid w:val="008E0D12"/>
    <w:rsid w:val="008E2531"/>
    <w:rsid w:val="008E47C9"/>
    <w:rsid w:val="008E4975"/>
    <w:rsid w:val="008E6B96"/>
    <w:rsid w:val="008F2F65"/>
    <w:rsid w:val="008F32E3"/>
    <w:rsid w:val="008F3EEA"/>
    <w:rsid w:val="008F5C5B"/>
    <w:rsid w:val="008F783F"/>
    <w:rsid w:val="00903600"/>
    <w:rsid w:val="0090450D"/>
    <w:rsid w:val="00907AB9"/>
    <w:rsid w:val="00911D2F"/>
    <w:rsid w:val="00913365"/>
    <w:rsid w:val="00914A0F"/>
    <w:rsid w:val="00921660"/>
    <w:rsid w:val="00923392"/>
    <w:rsid w:val="009305EA"/>
    <w:rsid w:val="009321F1"/>
    <w:rsid w:val="009323A5"/>
    <w:rsid w:val="00932698"/>
    <w:rsid w:val="00934628"/>
    <w:rsid w:val="00940997"/>
    <w:rsid w:val="009415DA"/>
    <w:rsid w:val="0094478A"/>
    <w:rsid w:val="0095129E"/>
    <w:rsid w:val="009561A1"/>
    <w:rsid w:val="00956516"/>
    <w:rsid w:val="00962296"/>
    <w:rsid w:val="00963BFC"/>
    <w:rsid w:val="009657D2"/>
    <w:rsid w:val="00966BFA"/>
    <w:rsid w:val="00971611"/>
    <w:rsid w:val="00971C0E"/>
    <w:rsid w:val="00972A3B"/>
    <w:rsid w:val="00972EEF"/>
    <w:rsid w:val="00973998"/>
    <w:rsid w:val="00974FF2"/>
    <w:rsid w:val="0098107D"/>
    <w:rsid w:val="00985019"/>
    <w:rsid w:val="009906B7"/>
    <w:rsid w:val="00990833"/>
    <w:rsid w:val="00992CEF"/>
    <w:rsid w:val="009A7AF4"/>
    <w:rsid w:val="009B54E8"/>
    <w:rsid w:val="009B7C18"/>
    <w:rsid w:val="009C0AA8"/>
    <w:rsid w:val="009C0F7E"/>
    <w:rsid w:val="009C1315"/>
    <w:rsid w:val="009C3D29"/>
    <w:rsid w:val="009D000D"/>
    <w:rsid w:val="009D0E76"/>
    <w:rsid w:val="009D5316"/>
    <w:rsid w:val="009E0159"/>
    <w:rsid w:val="009E05E1"/>
    <w:rsid w:val="009E423A"/>
    <w:rsid w:val="009E476F"/>
    <w:rsid w:val="009E7A5E"/>
    <w:rsid w:val="009F2A1E"/>
    <w:rsid w:val="009F2DA0"/>
    <w:rsid w:val="009F384A"/>
    <w:rsid w:val="009F4961"/>
    <w:rsid w:val="009F5645"/>
    <w:rsid w:val="009F5AF8"/>
    <w:rsid w:val="009F65EB"/>
    <w:rsid w:val="009F7553"/>
    <w:rsid w:val="00A045CE"/>
    <w:rsid w:val="00A06A24"/>
    <w:rsid w:val="00A07CE2"/>
    <w:rsid w:val="00A24D30"/>
    <w:rsid w:val="00A25893"/>
    <w:rsid w:val="00A2790E"/>
    <w:rsid w:val="00A30B2B"/>
    <w:rsid w:val="00A30CE2"/>
    <w:rsid w:val="00A321A4"/>
    <w:rsid w:val="00A326BA"/>
    <w:rsid w:val="00A32B5C"/>
    <w:rsid w:val="00A36939"/>
    <w:rsid w:val="00A36D5F"/>
    <w:rsid w:val="00A4009A"/>
    <w:rsid w:val="00A4466B"/>
    <w:rsid w:val="00A44E52"/>
    <w:rsid w:val="00A46323"/>
    <w:rsid w:val="00A47CE8"/>
    <w:rsid w:val="00A52DBA"/>
    <w:rsid w:val="00A5503C"/>
    <w:rsid w:val="00A575A1"/>
    <w:rsid w:val="00A57E47"/>
    <w:rsid w:val="00A6025E"/>
    <w:rsid w:val="00A629B6"/>
    <w:rsid w:val="00A62AB2"/>
    <w:rsid w:val="00A66A04"/>
    <w:rsid w:val="00A66A19"/>
    <w:rsid w:val="00A674BB"/>
    <w:rsid w:val="00A72A42"/>
    <w:rsid w:val="00A75FDB"/>
    <w:rsid w:val="00A7684E"/>
    <w:rsid w:val="00A77251"/>
    <w:rsid w:val="00A808B3"/>
    <w:rsid w:val="00A80F9C"/>
    <w:rsid w:val="00A830C2"/>
    <w:rsid w:val="00A858E1"/>
    <w:rsid w:val="00A86F50"/>
    <w:rsid w:val="00A86F80"/>
    <w:rsid w:val="00A8751F"/>
    <w:rsid w:val="00A90EB2"/>
    <w:rsid w:val="00A93B7C"/>
    <w:rsid w:val="00AA5030"/>
    <w:rsid w:val="00AA5447"/>
    <w:rsid w:val="00AA5770"/>
    <w:rsid w:val="00AA68D3"/>
    <w:rsid w:val="00AA6DF0"/>
    <w:rsid w:val="00AA78E8"/>
    <w:rsid w:val="00AB096D"/>
    <w:rsid w:val="00AB0B1E"/>
    <w:rsid w:val="00AB2948"/>
    <w:rsid w:val="00AB2ECA"/>
    <w:rsid w:val="00AB33A4"/>
    <w:rsid w:val="00AB5948"/>
    <w:rsid w:val="00AB6D15"/>
    <w:rsid w:val="00AC14A8"/>
    <w:rsid w:val="00AC51E7"/>
    <w:rsid w:val="00AC63F4"/>
    <w:rsid w:val="00AC6E90"/>
    <w:rsid w:val="00AD1914"/>
    <w:rsid w:val="00AD1DA3"/>
    <w:rsid w:val="00AD3D2D"/>
    <w:rsid w:val="00AD492B"/>
    <w:rsid w:val="00AD4BFC"/>
    <w:rsid w:val="00AD7EF6"/>
    <w:rsid w:val="00AE12E3"/>
    <w:rsid w:val="00AE3076"/>
    <w:rsid w:val="00AE376B"/>
    <w:rsid w:val="00AE3CF1"/>
    <w:rsid w:val="00AE634D"/>
    <w:rsid w:val="00AF0294"/>
    <w:rsid w:val="00AF42FD"/>
    <w:rsid w:val="00AF4A09"/>
    <w:rsid w:val="00AF738E"/>
    <w:rsid w:val="00B0443D"/>
    <w:rsid w:val="00B106F1"/>
    <w:rsid w:val="00B10CE0"/>
    <w:rsid w:val="00B1264F"/>
    <w:rsid w:val="00B1403A"/>
    <w:rsid w:val="00B15B60"/>
    <w:rsid w:val="00B16C67"/>
    <w:rsid w:val="00B1728A"/>
    <w:rsid w:val="00B21B65"/>
    <w:rsid w:val="00B22296"/>
    <w:rsid w:val="00B22E6E"/>
    <w:rsid w:val="00B27A5D"/>
    <w:rsid w:val="00B31420"/>
    <w:rsid w:val="00B415F9"/>
    <w:rsid w:val="00B42943"/>
    <w:rsid w:val="00B44716"/>
    <w:rsid w:val="00B45D0B"/>
    <w:rsid w:val="00B46E38"/>
    <w:rsid w:val="00B475C8"/>
    <w:rsid w:val="00B5014B"/>
    <w:rsid w:val="00B615E3"/>
    <w:rsid w:val="00B6570D"/>
    <w:rsid w:val="00B65791"/>
    <w:rsid w:val="00B77FEF"/>
    <w:rsid w:val="00B8157D"/>
    <w:rsid w:val="00B83706"/>
    <w:rsid w:val="00B8682B"/>
    <w:rsid w:val="00B92881"/>
    <w:rsid w:val="00B95942"/>
    <w:rsid w:val="00B95946"/>
    <w:rsid w:val="00B96D1B"/>
    <w:rsid w:val="00BA631D"/>
    <w:rsid w:val="00BB05B5"/>
    <w:rsid w:val="00BB23F0"/>
    <w:rsid w:val="00BB499E"/>
    <w:rsid w:val="00BB5FC6"/>
    <w:rsid w:val="00BC20B5"/>
    <w:rsid w:val="00BC349F"/>
    <w:rsid w:val="00BC4586"/>
    <w:rsid w:val="00BC772E"/>
    <w:rsid w:val="00BD6C1B"/>
    <w:rsid w:val="00BD70D7"/>
    <w:rsid w:val="00BD7C89"/>
    <w:rsid w:val="00BE10BD"/>
    <w:rsid w:val="00BE1806"/>
    <w:rsid w:val="00BE1C23"/>
    <w:rsid w:val="00BF0C04"/>
    <w:rsid w:val="00BF0F0B"/>
    <w:rsid w:val="00BF1A8A"/>
    <w:rsid w:val="00BF50C1"/>
    <w:rsid w:val="00BF7051"/>
    <w:rsid w:val="00C0359A"/>
    <w:rsid w:val="00C03FE3"/>
    <w:rsid w:val="00C04FBE"/>
    <w:rsid w:val="00C06D1F"/>
    <w:rsid w:val="00C06EDA"/>
    <w:rsid w:val="00C07C2C"/>
    <w:rsid w:val="00C10365"/>
    <w:rsid w:val="00C14BE9"/>
    <w:rsid w:val="00C2297B"/>
    <w:rsid w:val="00C234B2"/>
    <w:rsid w:val="00C2566E"/>
    <w:rsid w:val="00C300E9"/>
    <w:rsid w:val="00C311E4"/>
    <w:rsid w:val="00C3586A"/>
    <w:rsid w:val="00C35B6C"/>
    <w:rsid w:val="00C53084"/>
    <w:rsid w:val="00C5483B"/>
    <w:rsid w:val="00C54D63"/>
    <w:rsid w:val="00C60B33"/>
    <w:rsid w:val="00C6179F"/>
    <w:rsid w:val="00C66360"/>
    <w:rsid w:val="00C81019"/>
    <w:rsid w:val="00C84DE7"/>
    <w:rsid w:val="00C8707E"/>
    <w:rsid w:val="00CA5645"/>
    <w:rsid w:val="00CA6645"/>
    <w:rsid w:val="00CA6DDD"/>
    <w:rsid w:val="00CB16A6"/>
    <w:rsid w:val="00CB58F1"/>
    <w:rsid w:val="00CB590B"/>
    <w:rsid w:val="00CC1464"/>
    <w:rsid w:val="00CC1F3B"/>
    <w:rsid w:val="00CC46E7"/>
    <w:rsid w:val="00CC4A3F"/>
    <w:rsid w:val="00CC4CEA"/>
    <w:rsid w:val="00CC6754"/>
    <w:rsid w:val="00CD103F"/>
    <w:rsid w:val="00CD2AA4"/>
    <w:rsid w:val="00CD5471"/>
    <w:rsid w:val="00CD6DB2"/>
    <w:rsid w:val="00CD78DD"/>
    <w:rsid w:val="00CE1369"/>
    <w:rsid w:val="00CE21EC"/>
    <w:rsid w:val="00CE516A"/>
    <w:rsid w:val="00CE552B"/>
    <w:rsid w:val="00CE6052"/>
    <w:rsid w:val="00CE7D58"/>
    <w:rsid w:val="00D00D22"/>
    <w:rsid w:val="00D016FA"/>
    <w:rsid w:val="00D04739"/>
    <w:rsid w:val="00D16606"/>
    <w:rsid w:val="00D17052"/>
    <w:rsid w:val="00D212AA"/>
    <w:rsid w:val="00D22BA4"/>
    <w:rsid w:val="00D23D17"/>
    <w:rsid w:val="00D274CE"/>
    <w:rsid w:val="00D30BE9"/>
    <w:rsid w:val="00D32236"/>
    <w:rsid w:val="00D35F0C"/>
    <w:rsid w:val="00D4213E"/>
    <w:rsid w:val="00D52550"/>
    <w:rsid w:val="00D54320"/>
    <w:rsid w:val="00D55B76"/>
    <w:rsid w:val="00D622E4"/>
    <w:rsid w:val="00D65AAB"/>
    <w:rsid w:val="00D669DC"/>
    <w:rsid w:val="00D67143"/>
    <w:rsid w:val="00D709DC"/>
    <w:rsid w:val="00D71C5B"/>
    <w:rsid w:val="00D72FFE"/>
    <w:rsid w:val="00D758B3"/>
    <w:rsid w:val="00D77DF6"/>
    <w:rsid w:val="00D81B78"/>
    <w:rsid w:val="00D836D2"/>
    <w:rsid w:val="00D846F5"/>
    <w:rsid w:val="00D850D4"/>
    <w:rsid w:val="00D917E7"/>
    <w:rsid w:val="00D94296"/>
    <w:rsid w:val="00D942A5"/>
    <w:rsid w:val="00D95550"/>
    <w:rsid w:val="00DA04AB"/>
    <w:rsid w:val="00DA141F"/>
    <w:rsid w:val="00DA2ACF"/>
    <w:rsid w:val="00DA3F2E"/>
    <w:rsid w:val="00DA73B8"/>
    <w:rsid w:val="00DA767F"/>
    <w:rsid w:val="00DB1683"/>
    <w:rsid w:val="00DB3C2B"/>
    <w:rsid w:val="00DB68D0"/>
    <w:rsid w:val="00DB697F"/>
    <w:rsid w:val="00DB6DD6"/>
    <w:rsid w:val="00DC14A7"/>
    <w:rsid w:val="00DC6199"/>
    <w:rsid w:val="00DD1284"/>
    <w:rsid w:val="00DD5603"/>
    <w:rsid w:val="00DD5D80"/>
    <w:rsid w:val="00DE25A7"/>
    <w:rsid w:val="00DE681A"/>
    <w:rsid w:val="00DE7B83"/>
    <w:rsid w:val="00DF0767"/>
    <w:rsid w:val="00DF20C8"/>
    <w:rsid w:val="00DF28C8"/>
    <w:rsid w:val="00DF3440"/>
    <w:rsid w:val="00DF6C64"/>
    <w:rsid w:val="00E01061"/>
    <w:rsid w:val="00E0181C"/>
    <w:rsid w:val="00E02191"/>
    <w:rsid w:val="00E02801"/>
    <w:rsid w:val="00E04B17"/>
    <w:rsid w:val="00E0721B"/>
    <w:rsid w:val="00E1140E"/>
    <w:rsid w:val="00E1180B"/>
    <w:rsid w:val="00E12145"/>
    <w:rsid w:val="00E13028"/>
    <w:rsid w:val="00E13550"/>
    <w:rsid w:val="00E14F69"/>
    <w:rsid w:val="00E2045F"/>
    <w:rsid w:val="00E20D95"/>
    <w:rsid w:val="00E225C4"/>
    <w:rsid w:val="00E24149"/>
    <w:rsid w:val="00E26309"/>
    <w:rsid w:val="00E27514"/>
    <w:rsid w:val="00E30EAA"/>
    <w:rsid w:val="00E31620"/>
    <w:rsid w:val="00E31AE3"/>
    <w:rsid w:val="00E33E88"/>
    <w:rsid w:val="00E34EFB"/>
    <w:rsid w:val="00E35822"/>
    <w:rsid w:val="00E35936"/>
    <w:rsid w:val="00E464BC"/>
    <w:rsid w:val="00E50219"/>
    <w:rsid w:val="00E51136"/>
    <w:rsid w:val="00E51906"/>
    <w:rsid w:val="00E52BCF"/>
    <w:rsid w:val="00E62742"/>
    <w:rsid w:val="00E63B3B"/>
    <w:rsid w:val="00E67CFA"/>
    <w:rsid w:val="00E70C23"/>
    <w:rsid w:val="00E7415D"/>
    <w:rsid w:val="00E74BE4"/>
    <w:rsid w:val="00E8033F"/>
    <w:rsid w:val="00E8140C"/>
    <w:rsid w:val="00E82CBF"/>
    <w:rsid w:val="00E82CCC"/>
    <w:rsid w:val="00E90F94"/>
    <w:rsid w:val="00E91B23"/>
    <w:rsid w:val="00E91F7C"/>
    <w:rsid w:val="00E9292C"/>
    <w:rsid w:val="00E93953"/>
    <w:rsid w:val="00E96918"/>
    <w:rsid w:val="00E9756C"/>
    <w:rsid w:val="00EA0164"/>
    <w:rsid w:val="00EA16DC"/>
    <w:rsid w:val="00EA1D11"/>
    <w:rsid w:val="00EB04A6"/>
    <w:rsid w:val="00EB06F7"/>
    <w:rsid w:val="00EC104B"/>
    <w:rsid w:val="00EC141A"/>
    <w:rsid w:val="00EC4D0A"/>
    <w:rsid w:val="00ED0350"/>
    <w:rsid w:val="00ED3378"/>
    <w:rsid w:val="00ED73E3"/>
    <w:rsid w:val="00EE1D26"/>
    <w:rsid w:val="00EE41AC"/>
    <w:rsid w:val="00EE50A2"/>
    <w:rsid w:val="00EE67B1"/>
    <w:rsid w:val="00EF0B6B"/>
    <w:rsid w:val="00EF1F3E"/>
    <w:rsid w:val="00EF3ECD"/>
    <w:rsid w:val="00EF57F3"/>
    <w:rsid w:val="00F03DF0"/>
    <w:rsid w:val="00F0640C"/>
    <w:rsid w:val="00F073EF"/>
    <w:rsid w:val="00F13774"/>
    <w:rsid w:val="00F1407C"/>
    <w:rsid w:val="00F16912"/>
    <w:rsid w:val="00F22F76"/>
    <w:rsid w:val="00F23313"/>
    <w:rsid w:val="00F23FC1"/>
    <w:rsid w:val="00F302C1"/>
    <w:rsid w:val="00F322ED"/>
    <w:rsid w:val="00F371CF"/>
    <w:rsid w:val="00F41748"/>
    <w:rsid w:val="00F45A3B"/>
    <w:rsid w:val="00F50266"/>
    <w:rsid w:val="00F511C7"/>
    <w:rsid w:val="00F55C08"/>
    <w:rsid w:val="00F5771B"/>
    <w:rsid w:val="00F627CD"/>
    <w:rsid w:val="00F6773A"/>
    <w:rsid w:val="00F70CE6"/>
    <w:rsid w:val="00F72AB8"/>
    <w:rsid w:val="00F83BB4"/>
    <w:rsid w:val="00F86879"/>
    <w:rsid w:val="00F87708"/>
    <w:rsid w:val="00F90C22"/>
    <w:rsid w:val="00F912A1"/>
    <w:rsid w:val="00FA22F8"/>
    <w:rsid w:val="00FA2E89"/>
    <w:rsid w:val="00FA4E54"/>
    <w:rsid w:val="00FB00A0"/>
    <w:rsid w:val="00FB0603"/>
    <w:rsid w:val="00FB151A"/>
    <w:rsid w:val="00FB2A56"/>
    <w:rsid w:val="00FB3464"/>
    <w:rsid w:val="00FB6F07"/>
    <w:rsid w:val="00FB7A8A"/>
    <w:rsid w:val="00FC22B5"/>
    <w:rsid w:val="00FC3529"/>
    <w:rsid w:val="00FC4550"/>
    <w:rsid w:val="00FC5C77"/>
    <w:rsid w:val="00FC67BD"/>
    <w:rsid w:val="00FC6DFC"/>
    <w:rsid w:val="00FD30A1"/>
    <w:rsid w:val="00FD4034"/>
    <w:rsid w:val="00FD5167"/>
    <w:rsid w:val="00FE19CA"/>
    <w:rsid w:val="00FE2E3E"/>
    <w:rsid w:val="00FE5BC6"/>
    <w:rsid w:val="00FE5D47"/>
    <w:rsid w:val="00FE62B8"/>
    <w:rsid w:val="00FF2E3D"/>
    <w:rsid w:val="00FF37E6"/>
    <w:rsid w:val="00FF3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34493"/>
  <w15:docId w15:val="{90299B19-CA97-40FE-934D-B3306711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2F"/>
    <w:rPr>
      <w:rFonts w:ascii="Arial" w:hAnsi="Arial" w:cs="Arial"/>
    </w:rPr>
  </w:style>
  <w:style w:type="paragraph" w:styleId="Heading1">
    <w:name w:val="heading 1"/>
    <w:basedOn w:val="Normal"/>
    <w:next w:val="Normal"/>
    <w:link w:val="Heading1Char"/>
    <w:qFormat/>
    <w:rsid w:val="00911D2F"/>
    <w:pPr>
      <w:tabs>
        <w:tab w:val="left" w:pos="540"/>
      </w:tabs>
      <w:spacing w:line="360" w:lineRule="auto"/>
      <w:outlineLvl w:val="0"/>
    </w:pPr>
    <w:rPr>
      <w:b/>
    </w:rPr>
  </w:style>
  <w:style w:type="paragraph" w:styleId="Heading2">
    <w:name w:val="heading 2"/>
    <w:basedOn w:val="Normal"/>
    <w:next w:val="Normal"/>
    <w:link w:val="Heading2Char"/>
    <w:unhideWhenUsed/>
    <w:qFormat/>
    <w:rsid w:val="00911D2F"/>
    <w:pPr>
      <w:keepNext/>
      <w:keepLines/>
      <w:tabs>
        <w:tab w:val="left" w:pos="540"/>
      </w:tabs>
      <w:spacing w:before="180" w:line="360" w:lineRule="auto"/>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unhideWhenUsed/>
    <w:qFormat/>
    <w:rsid w:val="00D65AA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4174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D65AA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D2F"/>
    <w:rPr>
      <w:rFonts w:ascii="Arial" w:hAnsi="Arial" w:cs="Arial"/>
      <w:b/>
    </w:rPr>
  </w:style>
  <w:style w:type="character" w:customStyle="1" w:styleId="Heading2Char">
    <w:name w:val="Heading 2 Char"/>
    <w:basedOn w:val="DefaultParagraphFont"/>
    <w:link w:val="Heading2"/>
    <w:rsid w:val="00911D2F"/>
    <w:rPr>
      <w:rFonts w:ascii="Arial" w:eastAsiaTheme="majorEastAsia" w:hAnsi="Arial" w:cstheme="majorBidi"/>
      <w:i/>
      <w:color w:val="000000" w:themeColor="text1"/>
      <w:szCs w:val="26"/>
    </w:rPr>
  </w:style>
  <w:style w:type="paragraph" w:styleId="TOC1">
    <w:name w:val="toc 1"/>
    <w:basedOn w:val="Normal"/>
    <w:next w:val="Normal"/>
    <w:autoRedefine/>
    <w:uiPriority w:val="39"/>
    <w:unhideWhenUsed/>
    <w:rsid w:val="003053D7"/>
    <w:pPr>
      <w:tabs>
        <w:tab w:val="left" w:pos="440"/>
        <w:tab w:val="right" w:leader="dot" w:pos="9350"/>
      </w:tabs>
      <w:spacing w:before="120" w:line="276" w:lineRule="auto"/>
    </w:pPr>
    <w:rPr>
      <w:rFonts w:ascii="Times New Roman" w:hAnsi="Times New Roman" w:cs="Times New Roman"/>
      <w:b/>
      <w:sz w:val="20"/>
      <w:szCs w:val="20"/>
    </w:rPr>
  </w:style>
  <w:style w:type="paragraph" w:styleId="TOC2">
    <w:name w:val="toc 2"/>
    <w:basedOn w:val="Normal"/>
    <w:next w:val="Normal"/>
    <w:autoRedefine/>
    <w:uiPriority w:val="39"/>
    <w:unhideWhenUsed/>
    <w:rsid w:val="00911D2F"/>
    <w:pPr>
      <w:tabs>
        <w:tab w:val="left" w:pos="880"/>
        <w:tab w:val="right" w:leader="dot" w:pos="9350"/>
      </w:tabs>
      <w:spacing w:line="276" w:lineRule="auto"/>
      <w:ind w:left="432"/>
    </w:pPr>
    <w:rPr>
      <w:i/>
      <w:sz w:val="21"/>
    </w:rPr>
  </w:style>
  <w:style w:type="paragraph" w:customStyle="1" w:styleId="Body">
    <w:name w:val="Body"/>
    <w:rsid w:val="00911D2F"/>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BodyA">
    <w:name w:val="Body A"/>
    <w:rsid w:val="00911D2F"/>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5E0CA3"/>
    <w:rPr>
      <w:rFonts w:ascii="Tahoma" w:hAnsi="Tahoma" w:cs="Tahoma"/>
      <w:sz w:val="16"/>
      <w:szCs w:val="16"/>
    </w:rPr>
  </w:style>
  <w:style w:type="character" w:customStyle="1" w:styleId="BalloonTextChar">
    <w:name w:val="Balloon Text Char"/>
    <w:basedOn w:val="DefaultParagraphFont"/>
    <w:link w:val="BalloonText"/>
    <w:uiPriority w:val="99"/>
    <w:semiHidden/>
    <w:rsid w:val="005E0CA3"/>
    <w:rPr>
      <w:rFonts w:ascii="Tahoma" w:hAnsi="Tahoma" w:cs="Tahoma"/>
      <w:sz w:val="16"/>
      <w:szCs w:val="16"/>
    </w:rPr>
  </w:style>
  <w:style w:type="paragraph" w:styleId="TOCHeading">
    <w:name w:val="TOC Heading"/>
    <w:basedOn w:val="Heading1"/>
    <w:next w:val="Normal"/>
    <w:uiPriority w:val="39"/>
    <w:unhideWhenUsed/>
    <w:qFormat/>
    <w:rsid w:val="001D4520"/>
    <w:pPr>
      <w:keepNext/>
      <w:keepLines/>
      <w:tabs>
        <w:tab w:val="clear" w:pos="540"/>
      </w:tab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styleId="Hyperlink">
    <w:name w:val="Hyperlink"/>
    <w:basedOn w:val="DefaultParagraphFont"/>
    <w:uiPriority w:val="99"/>
    <w:unhideWhenUsed/>
    <w:rsid w:val="001D4520"/>
    <w:rPr>
      <w:color w:val="0000FF" w:themeColor="hyperlink"/>
      <w:u w:val="single"/>
    </w:rPr>
  </w:style>
  <w:style w:type="table" w:styleId="TableGrid">
    <w:name w:val="Table Grid"/>
    <w:basedOn w:val="TableNormal"/>
    <w:uiPriority w:val="39"/>
    <w:rsid w:val="0014165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AE3"/>
    <w:pPr>
      <w:ind w:left="720"/>
      <w:contextualSpacing/>
    </w:pPr>
  </w:style>
  <w:style w:type="character" w:customStyle="1" w:styleId="Heading3Char">
    <w:name w:val="Heading 3 Char"/>
    <w:basedOn w:val="DefaultParagraphFont"/>
    <w:link w:val="Heading3"/>
    <w:uiPriority w:val="9"/>
    <w:rsid w:val="00D65AAB"/>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D65AAB"/>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uiPriority w:val="9"/>
    <w:rsid w:val="00F41748"/>
    <w:rPr>
      <w:rFonts w:asciiTheme="majorHAnsi" w:eastAsiaTheme="majorEastAsia" w:hAnsiTheme="majorHAnsi" w:cstheme="majorBidi"/>
      <w:i/>
      <w:iCs/>
      <w:color w:val="365F91" w:themeColor="accent1" w:themeShade="BF"/>
    </w:rPr>
  </w:style>
  <w:style w:type="paragraph" w:styleId="HTMLPreformatted">
    <w:name w:val="HTML Preformatted"/>
    <w:basedOn w:val="Normal"/>
    <w:link w:val="HTMLPreformattedChar"/>
    <w:uiPriority w:val="99"/>
    <w:semiHidden/>
    <w:unhideWhenUsed/>
    <w:rsid w:val="00CB5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58F1"/>
    <w:rPr>
      <w:rFonts w:ascii="Courier New" w:eastAsia="Times New Roman" w:hAnsi="Courier New" w:cs="Courier New"/>
      <w:sz w:val="20"/>
      <w:szCs w:val="20"/>
    </w:rPr>
  </w:style>
  <w:style w:type="paragraph" w:customStyle="1" w:styleId="EndNoteBibliographyTitle">
    <w:name w:val="EndNote Bibliography Title"/>
    <w:basedOn w:val="Normal"/>
    <w:link w:val="EndNoteBibliographyTitleChar"/>
    <w:rsid w:val="00630D88"/>
    <w:pPr>
      <w:jc w:val="center"/>
    </w:pPr>
    <w:rPr>
      <w:noProof/>
    </w:rPr>
  </w:style>
  <w:style w:type="character" w:customStyle="1" w:styleId="EndNoteBibliographyTitleChar">
    <w:name w:val="EndNote Bibliography Title Char"/>
    <w:basedOn w:val="DefaultParagraphFont"/>
    <w:link w:val="EndNoteBibliographyTitle"/>
    <w:rsid w:val="00630D88"/>
    <w:rPr>
      <w:rFonts w:ascii="Arial" w:hAnsi="Arial" w:cs="Arial"/>
      <w:noProof/>
    </w:rPr>
  </w:style>
  <w:style w:type="paragraph" w:customStyle="1" w:styleId="EndNoteBibliography">
    <w:name w:val="EndNote Bibliography"/>
    <w:basedOn w:val="Normal"/>
    <w:link w:val="EndNoteBibliographyChar"/>
    <w:rsid w:val="00630D88"/>
    <w:rPr>
      <w:noProof/>
    </w:rPr>
  </w:style>
  <w:style w:type="character" w:customStyle="1" w:styleId="EndNoteBibliographyChar">
    <w:name w:val="EndNote Bibliography Char"/>
    <w:basedOn w:val="DefaultParagraphFont"/>
    <w:link w:val="EndNoteBibliography"/>
    <w:rsid w:val="00630D88"/>
    <w:rPr>
      <w:rFonts w:ascii="Arial" w:hAnsi="Arial" w:cs="Arial"/>
      <w:noProof/>
    </w:rPr>
  </w:style>
  <w:style w:type="character" w:styleId="PlaceholderText">
    <w:name w:val="Placeholder Text"/>
    <w:basedOn w:val="DefaultParagraphFont"/>
    <w:uiPriority w:val="99"/>
    <w:semiHidden/>
    <w:rsid w:val="001C36D8"/>
    <w:rPr>
      <w:color w:val="808080"/>
    </w:rPr>
  </w:style>
  <w:style w:type="paragraph" w:styleId="Header">
    <w:name w:val="header"/>
    <w:basedOn w:val="Normal"/>
    <w:link w:val="HeaderChar"/>
    <w:uiPriority w:val="99"/>
    <w:unhideWhenUsed/>
    <w:rsid w:val="000279B3"/>
    <w:pPr>
      <w:tabs>
        <w:tab w:val="center" w:pos="4680"/>
        <w:tab w:val="right" w:pos="9360"/>
      </w:tabs>
    </w:pPr>
  </w:style>
  <w:style w:type="character" w:customStyle="1" w:styleId="HeaderChar">
    <w:name w:val="Header Char"/>
    <w:basedOn w:val="DefaultParagraphFont"/>
    <w:link w:val="Header"/>
    <w:uiPriority w:val="99"/>
    <w:rsid w:val="000279B3"/>
    <w:rPr>
      <w:rFonts w:ascii="Arial" w:hAnsi="Arial" w:cs="Arial"/>
    </w:rPr>
  </w:style>
  <w:style w:type="paragraph" w:styleId="Footer">
    <w:name w:val="footer"/>
    <w:basedOn w:val="Normal"/>
    <w:link w:val="FooterChar"/>
    <w:uiPriority w:val="99"/>
    <w:unhideWhenUsed/>
    <w:rsid w:val="000279B3"/>
    <w:pPr>
      <w:tabs>
        <w:tab w:val="center" w:pos="4680"/>
        <w:tab w:val="right" w:pos="9360"/>
      </w:tabs>
    </w:pPr>
  </w:style>
  <w:style w:type="character" w:customStyle="1" w:styleId="FooterChar">
    <w:name w:val="Footer Char"/>
    <w:basedOn w:val="DefaultParagraphFont"/>
    <w:link w:val="Footer"/>
    <w:uiPriority w:val="99"/>
    <w:rsid w:val="000279B3"/>
    <w:rPr>
      <w:rFonts w:ascii="Arial" w:hAnsi="Arial" w:cs="Arial"/>
    </w:rPr>
  </w:style>
  <w:style w:type="paragraph" w:styleId="TOC3">
    <w:name w:val="toc 3"/>
    <w:basedOn w:val="Normal"/>
    <w:next w:val="Normal"/>
    <w:autoRedefine/>
    <w:uiPriority w:val="39"/>
    <w:unhideWhenUsed/>
    <w:rsid w:val="007C4171"/>
    <w:pPr>
      <w:spacing w:after="100"/>
      <w:ind w:left="440"/>
    </w:pPr>
  </w:style>
  <w:style w:type="character" w:styleId="CommentReference">
    <w:name w:val="annotation reference"/>
    <w:basedOn w:val="DefaultParagraphFont"/>
    <w:uiPriority w:val="99"/>
    <w:semiHidden/>
    <w:unhideWhenUsed/>
    <w:rsid w:val="00293491"/>
    <w:rPr>
      <w:sz w:val="16"/>
      <w:szCs w:val="16"/>
    </w:rPr>
  </w:style>
  <w:style w:type="paragraph" w:styleId="CommentText">
    <w:name w:val="annotation text"/>
    <w:basedOn w:val="Normal"/>
    <w:link w:val="CommentTextChar"/>
    <w:uiPriority w:val="99"/>
    <w:semiHidden/>
    <w:unhideWhenUsed/>
    <w:rsid w:val="00293491"/>
    <w:rPr>
      <w:sz w:val="20"/>
      <w:szCs w:val="20"/>
    </w:rPr>
  </w:style>
  <w:style w:type="character" w:customStyle="1" w:styleId="CommentTextChar">
    <w:name w:val="Comment Text Char"/>
    <w:basedOn w:val="DefaultParagraphFont"/>
    <w:link w:val="CommentText"/>
    <w:uiPriority w:val="99"/>
    <w:semiHidden/>
    <w:rsid w:val="0029349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93491"/>
    <w:rPr>
      <w:b/>
      <w:bCs/>
    </w:rPr>
  </w:style>
  <w:style w:type="character" w:customStyle="1" w:styleId="CommentSubjectChar">
    <w:name w:val="Comment Subject Char"/>
    <w:basedOn w:val="CommentTextChar"/>
    <w:link w:val="CommentSubject"/>
    <w:uiPriority w:val="99"/>
    <w:semiHidden/>
    <w:rsid w:val="0029349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19761">
      <w:bodyDiv w:val="1"/>
      <w:marLeft w:val="0"/>
      <w:marRight w:val="0"/>
      <w:marTop w:val="0"/>
      <w:marBottom w:val="0"/>
      <w:divBdr>
        <w:top w:val="none" w:sz="0" w:space="0" w:color="auto"/>
        <w:left w:val="none" w:sz="0" w:space="0" w:color="auto"/>
        <w:bottom w:val="none" w:sz="0" w:space="0" w:color="auto"/>
        <w:right w:val="none" w:sz="0" w:space="0" w:color="auto"/>
      </w:divBdr>
    </w:div>
    <w:div w:id="1331828711">
      <w:bodyDiv w:val="1"/>
      <w:marLeft w:val="0"/>
      <w:marRight w:val="0"/>
      <w:marTop w:val="0"/>
      <w:marBottom w:val="0"/>
      <w:divBdr>
        <w:top w:val="none" w:sz="0" w:space="0" w:color="auto"/>
        <w:left w:val="none" w:sz="0" w:space="0" w:color="auto"/>
        <w:bottom w:val="none" w:sz="0" w:space="0" w:color="auto"/>
        <w:right w:val="none" w:sz="0" w:space="0" w:color="auto"/>
      </w:divBdr>
    </w:div>
    <w:div w:id="1707952142">
      <w:bodyDiv w:val="1"/>
      <w:marLeft w:val="0"/>
      <w:marRight w:val="0"/>
      <w:marTop w:val="0"/>
      <w:marBottom w:val="0"/>
      <w:divBdr>
        <w:top w:val="none" w:sz="0" w:space="0" w:color="auto"/>
        <w:left w:val="none" w:sz="0" w:space="0" w:color="auto"/>
        <w:bottom w:val="none" w:sz="0" w:space="0" w:color="auto"/>
        <w:right w:val="none" w:sz="0" w:space="0" w:color="auto"/>
      </w:divBdr>
    </w:div>
    <w:div w:id="1981377426">
      <w:bodyDiv w:val="1"/>
      <w:marLeft w:val="0"/>
      <w:marRight w:val="0"/>
      <w:marTop w:val="0"/>
      <w:marBottom w:val="0"/>
      <w:divBdr>
        <w:top w:val="none" w:sz="0" w:space="0" w:color="auto"/>
        <w:left w:val="none" w:sz="0" w:space="0" w:color="auto"/>
        <w:bottom w:val="none" w:sz="0" w:space="0" w:color="auto"/>
        <w:right w:val="none" w:sz="0" w:space="0" w:color="auto"/>
      </w:divBdr>
    </w:div>
    <w:div w:id="20983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oodreau\Dropbox\CAMP%20-%20adolescent%20PrEP%20model\parameters\parameter%20values%20with%20worksheets%20and%20documentation\Adolescent%20entry%20and%20debut%20ra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6"/>
            <c:spPr>
              <a:solidFill>
                <a:schemeClr val="tx1"/>
              </a:solidFill>
              <a:ln w="9525">
                <a:solidFill>
                  <a:schemeClr val="tx1"/>
                </a:solidFill>
              </a:ln>
              <a:effectLst/>
            </c:spPr>
          </c:marker>
          <c:trendline>
            <c:spPr>
              <a:ln w="25400" cap="rnd">
                <a:solidFill>
                  <a:schemeClr val="tx1"/>
                </a:solidFill>
                <a:prstDash val="solid"/>
              </a:ln>
              <a:effectLst/>
            </c:spPr>
            <c:trendlineType val="log"/>
            <c:dispRSqr val="0"/>
            <c:dispEq val="1"/>
            <c:trendlineLbl>
              <c:layout>
                <c:manualLayout>
                  <c:x val="-6.9844706911636106E-2"/>
                  <c:y val="0.48819371536891198"/>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200" baseline="0"/>
                      <a:t>y = 0.1337ln(x) - 0.3091</a:t>
                    </a:r>
                  </a:p>
                </c:rich>
              </c:tx>
              <c:numFmt formatCode="#,##0.00" sourceLinked="0"/>
              <c:spPr>
                <a:noFill/>
                <a:ln>
                  <a:noFill/>
                </a:ln>
                <a:effectLst/>
              </c:spPr>
            </c:trendlineLbl>
          </c:trendline>
          <c:xVal>
            <c:numRef>
              <c:f>'Age at entry'!$D$44:$D$48</c:f>
              <c:numCache>
                <c:formatCode>General</c:formatCode>
                <c:ptCount val="5"/>
                <c:pt idx="0">
                  <c:v>14</c:v>
                </c:pt>
                <c:pt idx="1">
                  <c:v>15</c:v>
                </c:pt>
                <c:pt idx="2">
                  <c:v>16</c:v>
                </c:pt>
                <c:pt idx="3">
                  <c:v>17</c:v>
                </c:pt>
                <c:pt idx="4">
                  <c:v>18</c:v>
                </c:pt>
              </c:numCache>
            </c:numRef>
          </c:xVal>
          <c:yVal>
            <c:numRef>
              <c:f>'Age at entry'!$E$44:$E$48</c:f>
              <c:numCache>
                <c:formatCode>0.0%</c:formatCode>
                <c:ptCount val="5"/>
                <c:pt idx="0">
                  <c:v>4.6825145272054898E-2</c:v>
                </c:pt>
                <c:pt idx="1">
                  <c:v>4.7647890818059098E-2</c:v>
                </c:pt>
                <c:pt idx="2">
                  <c:v>6.6451473234913003E-2</c:v>
                </c:pt>
                <c:pt idx="3">
                  <c:v>6.4060532333498593E-2</c:v>
                </c:pt>
                <c:pt idx="4">
                  <c:v>8.0821336215214798E-2</c:v>
                </c:pt>
              </c:numCache>
            </c:numRef>
          </c:yVal>
          <c:smooth val="0"/>
          <c:extLst xmlns:c16r2="http://schemas.microsoft.com/office/drawing/2015/06/chart">
            <c:ext xmlns:c16="http://schemas.microsoft.com/office/drawing/2014/chart" uri="{C3380CC4-5D6E-409C-BE32-E72D297353CC}">
              <c16:uniqueId val="{00000001-CF22-41CD-9D31-CF9D743BCB89}"/>
            </c:ext>
          </c:extLst>
        </c:ser>
        <c:dLbls>
          <c:showLegendKey val="0"/>
          <c:showVal val="0"/>
          <c:showCatName val="0"/>
          <c:showSerName val="0"/>
          <c:showPercent val="0"/>
          <c:showBubbleSize val="0"/>
        </c:dLbls>
        <c:axId val="1315832048"/>
        <c:axId val="1315844016"/>
      </c:scatterChart>
      <c:valAx>
        <c:axId val="1315832048"/>
        <c:scaling>
          <c:orientation val="minMax"/>
          <c:min val="13"/>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15844016"/>
        <c:crosses val="autoZero"/>
        <c:crossBetween val="midCat"/>
      </c:valAx>
      <c:valAx>
        <c:axId val="131584401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158320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5E49-0F8B-47CB-A434-DD9A4768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5644</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Goodreau</dc:creator>
  <cp:lastModifiedBy>Steven Goodreau</cp:lastModifiedBy>
  <cp:revision>3</cp:revision>
  <dcterms:created xsi:type="dcterms:W3CDTF">2017-08-29T16:03:00Z</dcterms:created>
  <dcterms:modified xsi:type="dcterms:W3CDTF">2017-08-29T16:03:00Z</dcterms:modified>
</cp:coreProperties>
</file>