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3F9" w:rsidRDefault="005D3F03" w:rsidP="00CD5F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Enhance</w:t>
      </w:r>
      <w:r w:rsidR="006633F9">
        <w:rPr>
          <w:rFonts w:ascii="Times New Roman" w:hAnsi="Times New Roman" w:cs="Times New Roman"/>
          <w:b/>
          <w:sz w:val="24"/>
          <w:szCs w:val="24"/>
        </w:rPr>
        <w:t>d g</w:t>
      </w:r>
      <w:r w:rsidR="006633F9" w:rsidRPr="0043397D">
        <w:rPr>
          <w:rFonts w:ascii="Times New Roman" w:hAnsi="Times New Roman" w:cs="Times New Roman"/>
          <w:b/>
          <w:sz w:val="24"/>
          <w:szCs w:val="24"/>
        </w:rPr>
        <w:t xml:space="preserve">enetic characterization of influenza </w:t>
      </w:r>
      <w:r w:rsidR="006633F9">
        <w:rPr>
          <w:rFonts w:ascii="Times New Roman" w:hAnsi="Times New Roman" w:cs="Times New Roman"/>
          <w:b/>
          <w:sz w:val="24"/>
          <w:szCs w:val="24"/>
        </w:rPr>
        <w:t xml:space="preserve">A(H3N2) </w:t>
      </w:r>
      <w:r w:rsidR="006633F9" w:rsidRPr="0043397D">
        <w:rPr>
          <w:rFonts w:ascii="Times New Roman" w:hAnsi="Times New Roman" w:cs="Times New Roman"/>
          <w:b/>
          <w:sz w:val="24"/>
          <w:szCs w:val="24"/>
        </w:rPr>
        <w:t xml:space="preserve">viruses </w:t>
      </w:r>
      <w:r w:rsidR="006633F9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6633F9" w:rsidRPr="0043397D">
        <w:rPr>
          <w:rFonts w:ascii="Times New Roman" w:hAnsi="Times New Roman" w:cs="Times New Roman"/>
          <w:b/>
          <w:sz w:val="24"/>
          <w:szCs w:val="24"/>
        </w:rPr>
        <w:t>vaccine effectiveness by genetic group, 2014</w:t>
      </w:r>
      <w:r w:rsidR="006633F9">
        <w:rPr>
          <w:rFonts w:ascii="Times New Roman" w:hAnsi="Times New Roman" w:cs="Times New Roman"/>
          <w:b/>
          <w:sz w:val="24"/>
          <w:szCs w:val="24"/>
        </w:rPr>
        <w:t>–20</w:t>
      </w:r>
      <w:r w:rsidR="006633F9" w:rsidRPr="0043397D">
        <w:rPr>
          <w:rFonts w:ascii="Times New Roman" w:hAnsi="Times New Roman" w:cs="Times New Roman"/>
          <w:b/>
          <w:sz w:val="24"/>
          <w:szCs w:val="24"/>
        </w:rPr>
        <w:t>15</w:t>
      </w:r>
    </w:p>
    <w:p w:rsidR="008E44E5" w:rsidRPr="0043397D" w:rsidRDefault="00282E18" w:rsidP="00CD5F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18">
        <w:rPr>
          <w:rFonts w:ascii="Times New Roman" w:hAnsi="Times New Roman" w:cs="Times New Roman"/>
          <w:sz w:val="24"/>
          <w:szCs w:val="24"/>
        </w:rPr>
        <w:t xml:space="preserve">Authors: </w:t>
      </w:r>
      <w:r w:rsidR="008E44E5" w:rsidRPr="0043397D">
        <w:rPr>
          <w:rFonts w:ascii="Times New Roman" w:hAnsi="Times New Roman" w:cs="Times New Roman"/>
          <w:sz w:val="24"/>
          <w:szCs w:val="24"/>
        </w:rPr>
        <w:t>Brendan Flannery</w:t>
      </w:r>
      <w:r w:rsidR="008E44E5">
        <w:rPr>
          <w:rFonts w:ascii="Times New Roman" w:hAnsi="Times New Roman" w:cs="Times New Roman"/>
          <w:sz w:val="24"/>
          <w:szCs w:val="24"/>
        </w:rPr>
        <w:t>;</w:t>
      </w:r>
      <w:r w:rsidR="008E44E5" w:rsidRPr="0043397D">
        <w:rPr>
          <w:rFonts w:ascii="Times New Roman" w:hAnsi="Times New Roman" w:cs="Times New Roman"/>
          <w:sz w:val="24"/>
          <w:szCs w:val="24"/>
        </w:rPr>
        <w:t xml:space="preserve"> Richard K. Zimmerman</w:t>
      </w:r>
      <w:r w:rsidR="008E44E5">
        <w:rPr>
          <w:rFonts w:ascii="Times New Roman" w:hAnsi="Times New Roman" w:cs="Times New Roman"/>
          <w:sz w:val="24"/>
          <w:szCs w:val="24"/>
        </w:rPr>
        <w:t>;</w:t>
      </w:r>
      <w:r w:rsidR="008E44E5" w:rsidRPr="0043397D">
        <w:rPr>
          <w:rFonts w:ascii="Times New Roman" w:hAnsi="Times New Roman" w:cs="Times New Roman"/>
          <w:sz w:val="24"/>
          <w:szCs w:val="24"/>
        </w:rPr>
        <w:t xml:space="preserve"> </w:t>
      </w:r>
      <w:r w:rsidR="008E44E5">
        <w:rPr>
          <w:rFonts w:ascii="Times New Roman" w:hAnsi="Times New Roman" w:cs="Times New Roman"/>
          <w:sz w:val="24"/>
          <w:szCs w:val="24"/>
        </w:rPr>
        <w:t xml:space="preserve">Larisa </w:t>
      </w:r>
      <w:r w:rsidR="0037263F">
        <w:rPr>
          <w:rFonts w:ascii="Times New Roman" w:hAnsi="Times New Roman" w:cs="Times New Roman"/>
          <w:sz w:val="24"/>
          <w:szCs w:val="24"/>
        </w:rPr>
        <w:t xml:space="preserve">V. </w:t>
      </w:r>
      <w:r w:rsidR="008E44E5" w:rsidRPr="0043397D">
        <w:rPr>
          <w:rFonts w:ascii="Times New Roman" w:hAnsi="Times New Roman" w:cs="Times New Roman"/>
          <w:sz w:val="24"/>
          <w:szCs w:val="24"/>
        </w:rPr>
        <w:t>Gubareva</w:t>
      </w:r>
      <w:r w:rsidR="008E44E5">
        <w:rPr>
          <w:rFonts w:ascii="Times New Roman" w:hAnsi="Times New Roman" w:cs="Times New Roman"/>
          <w:sz w:val="24"/>
          <w:szCs w:val="24"/>
        </w:rPr>
        <w:t>;</w:t>
      </w:r>
      <w:r w:rsidR="008E44E5" w:rsidRPr="0043397D">
        <w:rPr>
          <w:rFonts w:ascii="Times New Roman" w:hAnsi="Times New Roman" w:cs="Times New Roman"/>
          <w:sz w:val="24"/>
          <w:szCs w:val="24"/>
        </w:rPr>
        <w:t xml:space="preserve"> </w:t>
      </w:r>
      <w:r w:rsidR="008E44E5">
        <w:rPr>
          <w:rFonts w:ascii="Times New Roman" w:hAnsi="Times New Roman" w:cs="Times New Roman"/>
          <w:sz w:val="24"/>
          <w:szCs w:val="24"/>
        </w:rPr>
        <w:t>Rebecca J.</w:t>
      </w:r>
      <w:r w:rsidR="008E44E5" w:rsidRPr="0043397D">
        <w:rPr>
          <w:rFonts w:ascii="Times New Roman" w:hAnsi="Times New Roman" w:cs="Times New Roman"/>
          <w:sz w:val="24"/>
          <w:szCs w:val="24"/>
        </w:rPr>
        <w:t xml:space="preserve"> Gart</w:t>
      </w:r>
      <w:r w:rsidR="008E44E5">
        <w:rPr>
          <w:rFonts w:ascii="Times New Roman" w:hAnsi="Times New Roman" w:cs="Times New Roman"/>
          <w:sz w:val="24"/>
          <w:szCs w:val="24"/>
        </w:rPr>
        <w:t>e</w:t>
      </w:r>
      <w:r w:rsidR="008E44E5" w:rsidRPr="0043397D">
        <w:rPr>
          <w:rFonts w:ascii="Times New Roman" w:hAnsi="Times New Roman" w:cs="Times New Roman"/>
          <w:sz w:val="24"/>
          <w:szCs w:val="24"/>
        </w:rPr>
        <w:t>n</w:t>
      </w:r>
      <w:r w:rsidR="008E44E5">
        <w:rPr>
          <w:rFonts w:ascii="Times New Roman" w:hAnsi="Times New Roman" w:cs="Times New Roman"/>
          <w:sz w:val="24"/>
          <w:szCs w:val="24"/>
        </w:rPr>
        <w:t>;</w:t>
      </w:r>
      <w:r w:rsidR="008E44E5" w:rsidRPr="0043397D">
        <w:rPr>
          <w:rFonts w:ascii="Times New Roman" w:hAnsi="Times New Roman" w:cs="Times New Roman"/>
          <w:sz w:val="24"/>
          <w:szCs w:val="24"/>
        </w:rPr>
        <w:t xml:space="preserve"> </w:t>
      </w:r>
      <w:r w:rsidR="0037263F" w:rsidRPr="0043397D">
        <w:rPr>
          <w:rFonts w:ascii="Times New Roman" w:hAnsi="Times New Roman" w:cs="Times New Roman"/>
          <w:sz w:val="24"/>
          <w:szCs w:val="24"/>
        </w:rPr>
        <w:t xml:space="preserve">Jessie R. </w:t>
      </w:r>
      <w:r w:rsidR="0037263F">
        <w:rPr>
          <w:rFonts w:ascii="Times New Roman" w:hAnsi="Times New Roman" w:cs="Times New Roman"/>
          <w:sz w:val="24"/>
          <w:szCs w:val="24"/>
        </w:rPr>
        <w:t xml:space="preserve">Chung; </w:t>
      </w:r>
      <w:r w:rsidR="008E44E5" w:rsidRPr="0043397D">
        <w:rPr>
          <w:rFonts w:ascii="Times New Roman" w:hAnsi="Times New Roman" w:cs="Times New Roman"/>
          <w:sz w:val="24"/>
          <w:szCs w:val="24"/>
        </w:rPr>
        <w:t>Mary Patricia Nowalk</w:t>
      </w:r>
      <w:r w:rsidR="008E44E5">
        <w:rPr>
          <w:rFonts w:ascii="Times New Roman" w:hAnsi="Times New Roman" w:cs="Times New Roman"/>
          <w:sz w:val="24"/>
          <w:szCs w:val="24"/>
        </w:rPr>
        <w:t>;</w:t>
      </w:r>
      <w:r w:rsidR="008E44E5" w:rsidRPr="0043397D">
        <w:rPr>
          <w:rFonts w:ascii="Times New Roman" w:hAnsi="Times New Roman" w:cs="Times New Roman"/>
          <w:sz w:val="24"/>
          <w:szCs w:val="24"/>
        </w:rPr>
        <w:t xml:space="preserve"> </w:t>
      </w:r>
      <w:r w:rsidR="000A2D14" w:rsidRPr="0043397D">
        <w:rPr>
          <w:rFonts w:ascii="Times New Roman" w:hAnsi="Times New Roman" w:cs="Times New Roman"/>
          <w:sz w:val="24"/>
          <w:szCs w:val="24"/>
        </w:rPr>
        <w:t>Michael L. Jackson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Lisa A. Jackson</w:t>
      </w:r>
      <w:r w:rsidR="000A2D14">
        <w:rPr>
          <w:rFonts w:ascii="Times New Roman" w:hAnsi="Times New Roman" w:cs="Times New Roman"/>
          <w:sz w:val="24"/>
          <w:szCs w:val="24"/>
        </w:rPr>
        <w:t xml:space="preserve">; </w:t>
      </w:r>
      <w:r w:rsidR="000A2D14" w:rsidRPr="0043397D">
        <w:rPr>
          <w:rFonts w:ascii="Times New Roman" w:hAnsi="Times New Roman" w:cs="Times New Roman"/>
          <w:sz w:val="24"/>
          <w:szCs w:val="24"/>
        </w:rPr>
        <w:t>Arnold S. Monto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Suzanne E. Ohmit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Edward A. Belongia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Huong Q. McLean</w:t>
      </w:r>
      <w:r w:rsidR="000A2D14">
        <w:rPr>
          <w:rFonts w:ascii="Times New Roman" w:hAnsi="Times New Roman" w:cs="Times New Roman"/>
          <w:sz w:val="24"/>
          <w:szCs w:val="24"/>
        </w:rPr>
        <w:t xml:space="preserve">; </w:t>
      </w:r>
      <w:r w:rsidR="000A2D14" w:rsidRPr="0043397D">
        <w:rPr>
          <w:rFonts w:ascii="Times New Roman" w:hAnsi="Times New Roman" w:cs="Times New Roman"/>
          <w:sz w:val="24"/>
          <w:szCs w:val="24"/>
        </w:rPr>
        <w:t>Manjusha Gaglani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</w:t>
      </w:r>
      <w:r w:rsidR="000A2D14">
        <w:rPr>
          <w:rFonts w:ascii="Times New Roman" w:hAnsi="Times New Roman" w:cs="Times New Roman"/>
          <w:sz w:val="24"/>
          <w:szCs w:val="24"/>
        </w:rPr>
        <w:t xml:space="preserve">Pedro A. Piedra; Vasiliy P. </w:t>
      </w:r>
      <w:r w:rsidR="000A2D14" w:rsidRPr="0043397D">
        <w:rPr>
          <w:rFonts w:ascii="Times New Roman" w:hAnsi="Times New Roman" w:cs="Times New Roman"/>
          <w:sz w:val="24"/>
          <w:szCs w:val="24"/>
        </w:rPr>
        <w:t>Mish</w:t>
      </w:r>
      <w:r w:rsidR="000A2D14">
        <w:rPr>
          <w:rFonts w:ascii="Times New Roman" w:hAnsi="Times New Roman" w:cs="Times New Roman"/>
          <w:sz w:val="24"/>
          <w:szCs w:val="24"/>
        </w:rPr>
        <w:t>i</w:t>
      </w:r>
      <w:r w:rsidR="000A2D14" w:rsidRPr="0043397D">
        <w:rPr>
          <w:rFonts w:ascii="Times New Roman" w:hAnsi="Times New Roman" w:cs="Times New Roman"/>
          <w:sz w:val="24"/>
          <w:szCs w:val="24"/>
        </w:rPr>
        <w:t>n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 </w:t>
      </w:r>
      <w:r w:rsidR="000A2D14">
        <w:rPr>
          <w:rFonts w:ascii="Times New Roman" w:hAnsi="Times New Roman" w:cs="Times New Roman"/>
          <w:sz w:val="24"/>
          <w:szCs w:val="24"/>
        </w:rPr>
        <w:t xml:space="preserve">Anton P. Chesnokov; </w:t>
      </w:r>
      <w:r w:rsidR="000A2D14" w:rsidRPr="0043397D">
        <w:rPr>
          <w:rFonts w:ascii="Times New Roman" w:hAnsi="Times New Roman" w:cs="Times New Roman"/>
          <w:sz w:val="24"/>
          <w:szCs w:val="24"/>
        </w:rPr>
        <w:t>Sarah Spencer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Swathi N. Thaker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</w:t>
      </w:r>
      <w:r w:rsidR="000A2D14">
        <w:rPr>
          <w:rFonts w:ascii="Times New Roman" w:hAnsi="Times New Roman" w:cs="Times New Roman"/>
          <w:sz w:val="24"/>
          <w:szCs w:val="24"/>
        </w:rPr>
        <w:t xml:space="preserve">John R. Barnes; </w:t>
      </w:r>
      <w:r w:rsidR="000A2D14" w:rsidRPr="0043397D">
        <w:rPr>
          <w:rFonts w:ascii="Times New Roman" w:hAnsi="Times New Roman" w:cs="Times New Roman"/>
          <w:sz w:val="24"/>
          <w:szCs w:val="24"/>
        </w:rPr>
        <w:t>Angie Foust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Wendy Sessions</w:t>
      </w:r>
      <w:r w:rsidR="000A2D14">
        <w:rPr>
          <w:rFonts w:ascii="Times New Roman" w:hAnsi="Times New Roman" w:cs="Times New Roman"/>
          <w:sz w:val="24"/>
          <w:szCs w:val="24"/>
        </w:rPr>
        <w:t>;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Xiyan</w:t>
      </w:r>
      <w:r w:rsidR="000A2D14">
        <w:rPr>
          <w:rFonts w:ascii="Times New Roman" w:hAnsi="Times New Roman" w:cs="Times New Roman"/>
          <w:sz w:val="24"/>
          <w:szCs w:val="24"/>
        </w:rPr>
        <w:t xml:space="preserve"> Xu; Jacqueline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 Katz</w:t>
      </w:r>
      <w:r w:rsidR="000A2D14">
        <w:rPr>
          <w:rFonts w:ascii="Times New Roman" w:hAnsi="Times New Roman" w:cs="Times New Roman"/>
          <w:sz w:val="24"/>
          <w:szCs w:val="24"/>
        </w:rPr>
        <w:t xml:space="preserve">; </w:t>
      </w:r>
      <w:r w:rsidR="000A2D14" w:rsidRPr="0043397D">
        <w:rPr>
          <w:rFonts w:ascii="Times New Roman" w:hAnsi="Times New Roman" w:cs="Times New Roman"/>
          <w:sz w:val="24"/>
          <w:szCs w:val="24"/>
        </w:rPr>
        <w:t xml:space="preserve">Alicia </w:t>
      </w:r>
      <w:r w:rsidR="000A2D14">
        <w:rPr>
          <w:rFonts w:ascii="Times New Roman" w:hAnsi="Times New Roman" w:cs="Times New Roman"/>
          <w:sz w:val="24"/>
          <w:szCs w:val="24"/>
        </w:rPr>
        <w:t xml:space="preserve">M. </w:t>
      </w:r>
      <w:r w:rsidR="000A2D14" w:rsidRPr="0043397D">
        <w:rPr>
          <w:rFonts w:ascii="Times New Roman" w:hAnsi="Times New Roman" w:cs="Times New Roman"/>
          <w:sz w:val="24"/>
          <w:szCs w:val="24"/>
        </w:rPr>
        <w:t>Fry</w:t>
      </w:r>
    </w:p>
    <w:p w:rsidR="0037263F" w:rsidRDefault="0037263F" w:rsidP="007250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44B7" w:rsidRDefault="00B544B7" w:rsidP="007250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Online Content</w:t>
      </w:r>
    </w:p>
    <w:p w:rsidR="00B544B7" w:rsidRPr="00282E18" w:rsidRDefault="00B544B7" w:rsidP="0072502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B544B7" w:rsidRPr="00282E18" w:rsidRDefault="00B544B7" w:rsidP="00282E18">
      <w:pPr>
        <w:spacing w:line="240" w:lineRule="auto"/>
        <w:rPr>
          <w:rFonts w:ascii="Arial" w:hAnsi="Arial" w:cs="Arial"/>
          <w:sz w:val="20"/>
          <w:szCs w:val="20"/>
        </w:rPr>
      </w:pPr>
      <w:r w:rsidRPr="00282E18">
        <w:rPr>
          <w:rFonts w:ascii="Arial" w:hAnsi="Arial" w:cs="Arial"/>
          <w:sz w:val="20"/>
          <w:szCs w:val="20"/>
        </w:rPr>
        <w:t>Table 1.  Characteristics for influenza A(H3N2)-test positive patients comparing those with genetically characterized H3N2 viruses with patients whose H3N2 viruses were not genetically characterized</w:t>
      </w:r>
    </w:p>
    <w:p w:rsidR="00B544B7" w:rsidRPr="00282E18" w:rsidRDefault="00282E18" w:rsidP="00282E1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82E18">
        <w:rPr>
          <w:rFonts w:ascii="Arial" w:hAnsi="Arial" w:cs="Arial"/>
          <w:sz w:val="20"/>
          <w:szCs w:val="20"/>
        </w:rPr>
        <w:t>Table 2. Genetic and antigenic characterization of influenza A(H3N2) viruses collected by U.S. public health laboratories from March 1, 2014 through April 10, 2015 and submitted to CDC.</w:t>
      </w:r>
    </w:p>
    <w:p w:rsidR="00B544B7" w:rsidRPr="00282E18" w:rsidRDefault="00B544B7">
      <w:pPr>
        <w:rPr>
          <w:rFonts w:ascii="Arial" w:hAnsi="Arial" w:cs="Arial"/>
          <w:b/>
          <w:sz w:val="20"/>
          <w:szCs w:val="20"/>
        </w:rPr>
      </w:pPr>
      <w:r w:rsidRPr="00282E18">
        <w:rPr>
          <w:rFonts w:ascii="Arial" w:hAnsi="Arial" w:cs="Arial"/>
          <w:b/>
          <w:sz w:val="20"/>
          <w:szCs w:val="20"/>
        </w:rPr>
        <w:br w:type="page"/>
      </w:r>
    </w:p>
    <w:p w:rsidR="00CD5FD9" w:rsidRPr="00B544B7" w:rsidRDefault="001C5B24" w:rsidP="00CD5FD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Supplementary </w:t>
      </w:r>
      <w:bookmarkStart w:id="0" w:name="_GoBack"/>
      <w:bookmarkEnd w:id="0"/>
      <w:r w:rsidR="00CD5FD9" w:rsidRPr="00B544B7">
        <w:rPr>
          <w:rFonts w:ascii="Arial" w:hAnsi="Arial" w:cs="Arial"/>
          <w:b/>
          <w:sz w:val="20"/>
          <w:szCs w:val="20"/>
        </w:rPr>
        <w:t>Table 1.  Characteristics for influenza A(H3N2)-test positive patients comparing those with genetically characterized H3N2 viruses with patients whose H3N2 viruses were not genetically characterized</w:t>
      </w:r>
    </w:p>
    <w:p w:rsidR="00CD5FD9" w:rsidRPr="00B544B7" w:rsidRDefault="00CD5FD9" w:rsidP="00CD5FD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91" w:type="dxa"/>
        <w:tblLook w:val="04A0" w:firstRow="1" w:lastRow="0" w:firstColumn="1" w:lastColumn="0" w:noHBand="0" w:noVBand="1"/>
      </w:tblPr>
      <w:tblGrid>
        <w:gridCol w:w="3891"/>
        <w:gridCol w:w="2060"/>
        <w:gridCol w:w="2380"/>
        <w:gridCol w:w="960"/>
      </w:tblGrid>
      <w:tr w:rsidR="00CD5FD9" w:rsidRPr="00B544B7" w:rsidTr="0028234C">
        <w:trPr>
          <w:trHeight w:val="915"/>
        </w:trPr>
        <w:tc>
          <w:tcPr>
            <w:tcW w:w="38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Genetically characterized influenza A(H3N2) cases </w:t>
            </w:r>
          </w:p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(N=1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397</w:t>
            </w: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Influenza A(H3N2) cases not genetically characterized  </w:t>
            </w:r>
          </w:p>
          <w:p w:rsidR="00CD5FD9" w:rsidRPr="00722A76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(N=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471</w:t>
            </w: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CD5FD9" w:rsidRPr="00B544B7" w:rsidTr="0028234C">
        <w:trPr>
          <w:trHeight w:val="315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(col %)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(col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Study site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&lt;.0001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Michigan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201 (14.4)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 (24.8)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Pennsylvania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382 (27.3)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(11.0)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Texas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191 (13.7)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 (19.8)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Washington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317 (22.7)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 (22.9)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Wisconsin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306 (21.9)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 (21.4)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Age category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 months – 8 years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327 (23.4)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(21.2)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9–17 years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229 (16.4)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 (18.3)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18–49 years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389 (27.9)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147 (31.2)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50–64 years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205 (14.7)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 (17.2)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</w:rPr>
              <w:t>&gt;</w:t>
            </w: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65 years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247 (17.7)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 (12.1)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601 (43.0)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192 (40.8)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43492D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Race/ethnicity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0.13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White, non-Hispanic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1081 (77.7)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347 (74.7)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Black, non-Hispanic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108 (7.8)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 (7.4)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 (5.9)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 (8.5)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Other, non-Hispanic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 (8.6)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 (10.4)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Any high-risk condition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521 (37.3)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 (35.0)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CD5FD9" w:rsidRPr="00B544B7" w:rsidTr="0028234C">
        <w:trPr>
          <w:trHeight w:val="300"/>
        </w:trPr>
        <w:tc>
          <w:tcPr>
            <w:tcW w:w="59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Interval from onset to specimen collection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&lt;.0001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0–2 days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698 (50.0)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 (35.2)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3–4 days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488 (35.0)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 (35.0)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5–7 days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211 (15.1)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 (29.7)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59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Reported general health status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Excellent/very good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1026 (76.1)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357 (76.1)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Good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 (20.3)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 (20.0)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Fair/poor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 (6.0)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 (3.8)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Self/household exposure to smoke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 (12.6)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 (12.8)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0.93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≥1 child &lt;12 years of age in household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522(37.6)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 (45.2)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0.004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Reported fever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1132 (81.2)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370 (78.7)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0.25</w:t>
            </w:r>
          </w:p>
        </w:tc>
      </w:tr>
      <w:tr w:rsidR="00CD5FD9" w:rsidRPr="00B544B7" w:rsidTr="0028234C">
        <w:trPr>
          <w:trHeight w:val="300"/>
        </w:trPr>
        <w:tc>
          <w:tcPr>
            <w:tcW w:w="8331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43492D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Reported current health assessment, median (IQR)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.05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Scale 1 (worst) – 100 (best)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 (40-70)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 (40-70)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595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Vaccination status 2014–2015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≥1 doses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749 (53.6)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 (51.2)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D5FD9" w:rsidRPr="00B544B7" w:rsidTr="0028234C">
        <w:trPr>
          <w:trHeight w:val="300"/>
        </w:trPr>
        <w:tc>
          <w:tcPr>
            <w:tcW w:w="389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 doses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648 (46.4)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230 (48.8)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5FD9" w:rsidRPr="00B544B7" w:rsidRDefault="00CD5FD9" w:rsidP="00282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544B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CD5FD9" w:rsidRDefault="00CD5FD9" w:rsidP="00CD5FD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D5FD9" w:rsidRPr="005D5314" w:rsidRDefault="00CD5FD9" w:rsidP="00CD5FD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D531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Abbreviation: IQR, interquartile range.</w:t>
      </w:r>
    </w:p>
    <w:p w:rsidR="00CD5FD9" w:rsidRPr="005D5314" w:rsidRDefault="00CD5FD9" w:rsidP="00CD5FD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D5FD9" w:rsidRDefault="00CD5FD9" w:rsidP="00CD5FD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5D5314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 xml:space="preserve">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Specimens from 67 enrollees were submitted for genetic characterization but failed to be characterized.</w:t>
      </w:r>
    </w:p>
    <w:p w:rsidR="00CD5FD9" w:rsidRPr="00722A76" w:rsidRDefault="00CD5FD9" w:rsidP="00CD5FD9">
      <w:pP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D5FD9" w:rsidRDefault="00CD5FD9" w:rsidP="00CD5F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b </w:t>
      </w:r>
      <w:r>
        <w:rPr>
          <w:rFonts w:ascii="Times New Roman" w:hAnsi="Times New Roman" w:cs="Times New Roman"/>
          <w:sz w:val="20"/>
          <w:szCs w:val="20"/>
        </w:rPr>
        <w:t>Race/Hispanic ethnicity was unknown for 6 enrollees, r</w:t>
      </w:r>
      <w:r w:rsidRPr="005D5314">
        <w:rPr>
          <w:rFonts w:ascii="Times New Roman" w:hAnsi="Times New Roman" w:cs="Times New Roman"/>
          <w:sz w:val="20"/>
          <w:szCs w:val="20"/>
        </w:rPr>
        <w:t>eported general health status</w:t>
      </w:r>
      <w:r>
        <w:rPr>
          <w:rFonts w:ascii="Times New Roman" w:hAnsi="Times New Roman" w:cs="Times New Roman"/>
          <w:sz w:val="20"/>
          <w:szCs w:val="20"/>
        </w:rPr>
        <w:t xml:space="preserve"> was missing for 8 enrollees</w:t>
      </w:r>
      <w:r w:rsidRPr="005D5314">
        <w:rPr>
          <w:rFonts w:ascii="Times New Roman" w:hAnsi="Times New Roman" w:cs="Times New Roman"/>
          <w:sz w:val="20"/>
          <w:szCs w:val="20"/>
        </w:rPr>
        <w:t xml:space="preserve">, self/household exposure to tobacco smoke </w:t>
      </w:r>
      <w:r>
        <w:rPr>
          <w:rFonts w:ascii="Times New Roman" w:hAnsi="Times New Roman" w:cs="Times New Roman"/>
          <w:sz w:val="20"/>
          <w:szCs w:val="20"/>
        </w:rPr>
        <w:t xml:space="preserve">was missing for 3 enrollees, </w:t>
      </w:r>
      <w:r w:rsidRPr="005D5314">
        <w:rPr>
          <w:rFonts w:ascii="Times New Roman" w:hAnsi="Times New Roman" w:cs="Times New Roman"/>
          <w:sz w:val="20"/>
          <w:szCs w:val="20"/>
        </w:rPr>
        <w:t xml:space="preserve">living in household with ≥1 child &lt;12 years of age missing for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D5314">
        <w:rPr>
          <w:rFonts w:ascii="Times New Roman" w:hAnsi="Times New Roman" w:cs="Times New Roman"/>
          <w:sz w:val="20"/>
          <w:szCs w:val="20"/>
        </w:rPr>
        <w:t xml:space="preserve"> enrollees</w:t>
      </w:r>
      <w:r>
        <w:rPr>
          <w:rFonts w:ascii="Times New Roman" w:hAnsi="Times New Roman" w:cs="Times New Roman"/>
          <w:sz w:val="20"/>
          <w:szCs w:val="20"/>
        </w:rPr>
        <w:t>, and c</w:t>
      </w:r>
      <w:r w:rsidRPr="005D5314">
        <w:rPr>
          <w:rFonts w:ascii="Times New Roman" w:hAnsi="Times New Roman" w:cs="Times New Roman"/>
          <w:sz w:val="20"/>
          <w:szCs w:val="20"/>
        </w:rPr>
        <w:t xml:space="preserve">urrent health assessment missing for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D5314">
        <w:rPr>
          <w:rFonts w:ascii="Times New Roman" w:hAnsi="Times New Roman" w:cs="Times New Roman"/>
          <w:sz w:val="20"/>
          <w:szCs w:val="20"/>
        </w:rPr>
        <w:t xml:space="preserve"> enrollees.</w:t>
      </w:r>
    </w:p>
    <w:p w:rsidR="00CD5FD9" w:rsidRDefault="00CD5FD9" w:rsidP="00CD5FD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5FD9" w:rsidRPr="005D5314" w:rsidRDefault="00CD5FD9" w:rsidP="00CD5F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 Includes patients aged 6 months to 8 years with partial vaccination and those vaccinated 0–13 days prior to illness onset.</w:t>
      </w:r>
    </w:p>
    <w:p w:rsidR="00207630" w:rsidRDefault="00207630" w:rsidP="00725027">
      <w:pPr>
        <w:spacing w:line="240" w:lineRule="auto"/>
        <w:rPr>
          <w:u w:val="single"/>
        </w:rPr>
      </w:pPr>
    </w:p>
    <w:p w:rsidR="001153D8" w:rsidRDefault="001153D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45A12" w:rsidRPr="001153D8" w:rsidRDefault="001C5B24" w:rsidP="00345A1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Supplementary </w:t>
      </w:r>
      <w:r w:rsidR="001153D8" w:rsidRPr="001153D8">
        <w:rPr>
          <w:rFonts w:ascii="Arial" w:hAnsi="Arial" w:cs="Arial"/>
          <w:b/>
          <w:sz w:val="20"/>
          <w:szCs w:val="20"/>
        </w:rPr>
        <w:t xml:space="preserve">Table 2. </w:t>
      </w:r>
      <w:r w:rsidR="00345A12" w:rsidRPr="001153D8">
        <w:rPr>
          <w:rFonts w:ascii="Arial" w:hAnsi="Arial" w:cs="Arial"/>
          <w:b/>
          <w:sz w:val="20"/>
          <w:szCs w:val="20"/>
        </w:rPr>
        <w:t xml:space="preserve">Genetic and antigenic characterization of influenza A(H3N2) viruses collected </w:t>
      </w:r>
      <w:r w:rsidR="000159A3">
        <w:rPr>
          <w:rFonts w:ascii="Arial" w:hAnsi="Arial" w:cs="Arial"/>
          <w:b/>
          <w:sz w:val="20"/>
          <w:szCs w:val="20"/>
        </w:rPr>
        <w:t xml:space="preserve">by U.S. public health laboratories </w:t>
      </w:r>
      <w:r w:rsidR="000159A3" w:rsidRPr="001153D8">
        <w:rPr>
          <w:rFonts w:ascii="Arial" w:hAnsi="Arial" w:cs="Arial"/>
          <w:b/>
          <w:sz w:val="20"/>
          <w:szCs w:val="20"/>
        </w:rPr>
        <w:t>from March 1, 2014 through April 10, 2015</w:t>
      </w:r>
      <w:r w:rsidR="000159A3">
        <w:rPr>
          <w:rFonts w:ascii="Arial" w:hAnsi="Arial" w:cs="Arial"/>
          <w:b/>
          <w:sz w:val="20"/>
          <w:szCs w:val="20"/>
        </w:rPr>
        <w:t xml:space="preserve"> and submitted to CDC</w:t>
      </w:r>
      <w:r w:rsidR="00345A12" w:rsidRPr="001153D8">
        <w:rPr>
          <w:rFonts w:ascii="Arial" w:hAnsi="Arial" w:cs="Arial"/>
          <w:b/>
          <w:sz w:val="20"/>
          <w:szCs w:val="20"/>
        </w:rPr>
        <w:t>.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7"/>
        <w:gridCol w:w="2048"/>
        <w:gridCol w:w="2147"/>
        <w:gridCol w:w="1984"/>
        <w:gridCol w:w="1944"/>
      </w:tblGrid>
      <w:tr w:rsidR="000159A3" w:rsidRPr="000159A3" w:rsidTr="00303CDC">
        <w:tc>
          <w:tcPr>
            <w:tcW w:w="967" w:type="pct"/>
            <w:vMerge w:val="restart"/>
          </w:tcPr>
          <w:p w:rsidR="000159A3" w:rsidRPr="000159A3" w:rsidRDefault="000159A3" w:rsidP="00345A12">
            <w:pPr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HA genetic group</w:t>
            </w:r>
          </w:p>
        </w:tc>
        <w:tc>
          <w:tcPr>
            <w:tcW w:w="1017" w:type="pct"/>
            <w:vMerge w:val="restart"/>
          </w:tcPr>
          <w:p w:rsidR="000159A3" w:rsidRPr="000159A3" w:rsidRDefault="000159A3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No. of specimens</w:t>
            </w:r>
          </w:p>
        </w:tc>
        <w:tc>
          <w:tcPr>
            <w:tcW w:w="1066" w:type="pct"/>
            <w:vMerge w:val="restart"/>
          </w:tcPr>
          <w:p w:rsidR="000159A3" w:rsidRPr="000159A3" w:rsidRDefault="000159A3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No. (%) characterized by HI assay</w:t>
            </w:r>
          </w:p>
        </w:tc>
        <w:tc>
          <w:tcPr>
            <w:tcW w:w="1950" w:type="pct"/>
            <w:gridSpan w:val="2"/>
            <w:tcBorders>
              <w:bottom w:val="nil"/>
            </w:tcBorders>
          </w:tcPr>
          <w:p w:rsidR="000159A3" w:rsidRPr="000159A3" w:rsidRDefault="000159A3" w:rsidP="000159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Antigenic characterization by HI assay</w:t>
            </w:r>
          </w:p>
        </w:tc>
      </w:tr>
      <w:tr w:rsidR="000159A3" w:rsidRPr="000159A3" w:rsidTr="00303CDC">
        <w:tc>
          <w:tcPr>
            <w:tcW w:w="967" w:type="pct"/>
            <w:vMerge/>
          </w:tcPr>
          <w:p w:rsidR="000159A3" w:rsidRPr="000159A3" w:rsidRDefault="000159A3" w:rsidP="009D4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</w:tcPr>
          <w:p w:rsidR="000159A3" w:rsidRPr="000159A3" w:rsidRDefault="000159A3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pct"/>
            <w:vMerge/>
          </w:tcPr>
          <w:p w:rsidR="000159A3" w:rsidRPr="000159A3" w:rsidRDefault="000159A3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nil"/>
              <w:bottom w:val="nil"/>
            </w:tcBorders>
          </w:tcPr>
          <w:p w:rsidR="000159A3" w:rsidRPr="000159A3" w:rsidRDefault="000159A3" w:rsidP="000159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A/Texas/50/2012</w:t>
            </w:r>
            <w:r w:rsidRPr="000159A3">
              <w:rPr>
                <w:rFonts w:ascii="Arial" w:hAnsi="Arial" w:cs="Arial"/>
                <w:sz w:val="20"/>
                <w:szCs w:val="20"/>
                <w:u w:val="single"/>
              </w:rPr>
              <w:t>-like</w:t>
            </w:r>
          </w:p>
        </w:tc>
        <w:tc>
          <w:tcPr>
            <w:tcW w:w="965" w:type="pct"/>
            <w:tcBorders>
              <w:top w:val="nil"/>
              <w:bottom w:val="nil"/>
            </w:tcBorders>
          </w:tcPr>
          <w:p w:rsidR="000159A3" w:rsidRPr="000159A3" w:rsidRDefault="000159A3" w:rsidP="000159A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A/Texas/50/2012</w:t>
            </w:r>
            <w:r w:rsidRPr="000159A3">
              <w:rPr>
                <w:rFonts w:ascii="Arial" w:hAnsi="Arial" w:cs="Arial"/>
                <w:sz w:val="20"/>
                <w:szCs w:val="20"/>
                <w:u w:val="single"/>
              </w:rPr>
              <w:t>-low</w:t>
            </w:r>
          </w:p>
        </w:tc>
      </w:tr>
      <w:tr w:rsidR="000159A3" w:rsidRPr="000159A3" w:rsidTr="00303CDC">
        <w:tc>
          <w:tcPr>
            <w:tcW w:w="967" w:type="pct"/>
            <w:vMerge/>
            <w:tcBorders>
              <w:bottom w:val="single" w:sz="4" w:space="0" w:color="auto"/>
            </w:tcBorders>
          </w:tcPr>
          <w:p w:rsidR="000159A3" w:rsidRPr="000159A3" w:rsidRDefault="000159A3" w:rsidP="009D49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bottom w:val="single" w:sz="4" w:space="0" w:color="auto"/>
            </w:tcBorders>
          </w:tcPr>
          <w:p w:rsidR="000159A3" w:rsidRPr="000159A3" w:rsidRDefault="000159A3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pct"/>
            <w:vMerge/>
            <w:tcBorders>
              <w:bottom w:val="single" w:sz="4" w:space="0" w:color="auto"/>
            </w:tcBorders>
          </w:tcPr>
          <w:p w:rsidR="000159A3" w:rsidRPr="000159A3" w:rsidRDefault="000159A3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nil"/>
              <w:bottom w:val="single" w:sz="4" w:space="0" w:color="auto"/>
            </w:tcBorders>
          </w:tcPr>
          <w:p w:rsidR="000159A3" w:rsidRPr="000159A3" w:rsidRDefault="000159A3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Number (% characterized by HI)</w:t>
            </w:r>
          </w:p>
        </w:tc>
      </w:tr>
      <w:tr w:rsidR="000159A3" w:rsidRPr="000159A3" w:rsidTr="000159A3">
        <w:tc>
          <w:tcPr>
            <w:tcW w:w="967" w:type="pct"/>
            <w:tcBorders>
              <w:top w:val="single" w:sz="4" w:space="0" w:color="auto"/>
            </w:tcBorders>
          </w:tcPr>
          <w:p w:rsidR="009D49BD" w:rsidRPr="000159A3" w:rsidRDefault="009D49BD" w:rsidP="009D49BD">
            <w:pPr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3C.2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66" w:type="pct"/>
            <w:tcBorders>
              <w:top w:val="single" w:sz="4" w:space="0" w:color="auto"/>
            </w:tcBorders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14</w:t>
            </w:r>
            <w:r w:rsidR="00D406B7" w:rsidRPr="000159A3">
              <w:rPr>
                <w:rFonts w:ascii="Arial" w:hAnsi="Arial" w:cs="Arial"/>
                <w:sz w:val="20"/>
                <w:szCs w:val="20"/>
              </w:rPr>
              <w:t xml:space="preserve"> (93%)</w:t>
            </w:r>
          </w:p>
        </w:tc>
        <w:tc>
          <w:tcPr>
            <w:tcW w:w="985" w:type="pct"/>
            <w:tcBorders>
              <w:top w:val="single" w:sz="4" w:space="0" w:color="auto"/>
            </w:tcBorders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14 (100%)</w:t>
            </w:r>
          </w:p>
        </w:tc>
        <w:tc>
          <w:tcPr>
            <w:tcW w:w="965" w:type="pct"/>
            <w:tcBorders>
              <w:top w:val="single" w:sz="4" w:space="0" w:color="auto"/>
            </w:tcBorders>
          </w:tcPr>
          <w:p w:rsidR="00D406B7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0 –</w:t>
            </w:r>
          </w:p>
        </w:tc>
      </w:tr>
      <w:tr w:rsidR="000159A3" w:rsidRPr="000159A3" w:rsidTr="000159A3">
        <w:tc>
          <w:tcPr>
            <w:tcW w:w="967" w:type="pct"/>
          </w:tcPr>
          <w:p w:rsidR="00D406B7" w:rsidRPr="000159A3" w:rsidRDefault="00D406B7" w:rsidP="009D49BD">
            <w:pPr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3C.2a</w:t>
            </w:r>
          </w:p>
        </w:tc>
        <w:tc>
          <w:tcPr>
            <w:tcW w:w="1017" w:type="pct"/>
          </w:tcPr>
          <w:p w:rsidR="00D406B7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1676</w:t>
            </w:r>
          </w:p>
        </w:tc>
        <w:tc>
          <w:tcPr>
            <w:tcW w:w="1066" w:type="pct"/>
          </w:tcPr>
          <w:p w:rsidR="00D406B7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773 (46%)</w:t>
            </w:r>
          </w:p>
        </w:tc>
        <w:tc>
          <w:tcPr>
            <w:tcW w:w="985" w:type="pct"/>
          </w:tcPr>
          <w:p w:rsidR="00D406B7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120 (16%)</w:t>
            </w:r>
          </w:p>
        </w:tc>
        <w:tc>
          <w:tcPr>
            <w:tcW w:w="965" w:type="pct"/>
          </w:tcPr>
          <w:p w:rsidR="00D406B7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653 (84%)</w:t>
            </w:r>
          </w:p>
        </w:tc>
      </w:tr>
      <w:tr w:rsidR="000159A3" w:rsidRPr="000159A3" w:rsidTr="000159A3">
        <w:tc>
          <w:tcPr>
            <w:tcW w:w="967" w:type="pct"/>
          </w:tcPr>
          <w:p w:rsidR="009D49BD" w:rsidRPr="000159A3" w:rsidRDefault="009D49BD" w:rsidP="009D49BD">
            <w:pPr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3C.2b</w:t>
            </w:r>
          </w:p>
        </w:tc>
        <w:tc>
          <w:tcPr>
            <w:tcW w:w="1017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6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19</w:t>
            </w:r>
            <w:r w:rsidR="00D406B7" w:rsidRPr="000159A3">
              <w:rPr>
                <w:rFonts w:ascii="Arial" w:hAnsi="Arial" w:cs="Arial"/>
                <w:sz w:val="20"/>
                <w:szCs w:val="20"/>
              </w:rPr>
              <w:t xml:space="preserve"> (95%)</w:t>
            </w:r>
          </w:p>
        </w:tc>
        <w:tc>
          <w:tcPr>
            <w:tcW w:w="98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11 (58%)</w:t>
            </w:r>
          </w:p>
        </w:tc>
        <w:tc>
          <w:tcPr>
            <w:tcW w:w="96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8 (42%)</w:t>
            </w:r>
          </w:p>
        </w:tc>
      </w:tr>
      <w:tr w:rsidR="000159A3" w:rsidRPr="000159A3" w:rsidTr="000159A3">
        <w:tc>
          <w:tcPr>
            <w:tcW w:w="967" w:type="pct"/>
          </w:tcPr>
          <w:p w:rsidR="009D49BD" w:rsidRPr="000159A3" w:rsidRDefault="009D49BD" w:rsidP="009D49BD">
            <w:pPr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3C.3</w:t>
            </w:r>
          </w:p>
        </w:tc>
        <w:tc>
          <w:tcPr>
            <w:tcW w:w="1017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066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318</w:t>
            </w:r>
            <w:r w:rsidR="00D406B7" w:rsidRPr="000159A3">
              <w:rPr>
                <w:rFonts w:ascii="Arial" w:hAnsi="Arial" w:cs="Arial"/>
                <w:sz w:val="20"/>
                <w:szCs w:val="20"/>
              </w:rPr>
              <w:t xml:space="preserve"> (96%)</w:t>
            </w:r>
          </w:p>
        </w:tc>
        <w:tc>
          <w:tcPr>
            <w:tcW w:w="98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276 (87%)</w:t>
            </w:r>
          </w:p>
        </w:tc>
        <w:tc>
          <w:tcPr>
            <w:tcW w:w="96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42 (13%)</w:t>
            </w:r>
          </w:p>
        </w:tc>
      </w:tr>
      <w:tr w:rsidR="000159A3" w:rsidRPr="000159A3" w:rsidTr="000159A3">
        <w:tc>
          <w:tcPr>
            <w:tcW w:w="967" w:type="pct"/>
          </w:tcPr>
          <w:p w:rsidR="009D49BD" w:rsidRPr="000159A3" w:rsidRDefault="009D49BD" w:rsidP="009D49BD">
            <w:pPr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3C.3a</w:t>
            </w:r>
          </w:p>
        </w:tc>
        <w:tc>
          <w:tcPr>
            <w:tcW w:w="1017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066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126</w:t>
            </w:r>
            <w:r w:rsidR="00D406B7" w:rsidRPr="000159A3">
              <w:rPr>
                <w:rFonts w:ascii="Arial" w:hAnsi="Arial" w:cs="Arial"/>
                <w:sz w:val="20"/>
                <w:szCs w:val="20"/>
              </w:rPr>
              <w:t xml:space="preserve"> (100%)</w:t>
            </w:r>
          </w:p>
        </w:tc>
        <w:tc>
          <w:tcPr>
            <w:tcW w:w="98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23 (18%)</w:t>
            </w:r>
          </w:p>
        </w:tc>
        <w:tc>
          <w:tcPr>
            <w:tcW w:w="96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103 (82%)</w:t>
            </w:r>
          </w:p>
        </w:tc>
      </w:tr>
      <w:tr w:rsidR="000159A3" w:rsidRPr="000159A3" w:rsidTr="000159A3">
        <w:tc>
          <w:tcPr>
            <w:tcW w:w="967" w:type="pct"/>
          </w:tcPr>
          <w:p w:rsidR="009D49BD" w:rsidRPr="000159A3" w:rsidRDefault="009D49BD" w:rsidP="009D49BD">
            <w:pPr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3C.3b</w:t>
            </w:r>
          </w:p>
        </w:tc>
        <w:tc>
          <w:tcPr>
            <w:tcW w:w="1017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66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75</w:t>
            </w:r>
            <w:r w:rsidR="00D406B7" w:rsidRPr="000159A3">
              <w:rPr>
                <w:rFonts w:ascii="Arial" w:hAnsi="Arial" w:cs="Arial"/>
                <w:sz w:val="20"/>
                <w:szCs w:val="20"/>
              </w:rPr>
              <w:t xml:space="preserve"> (94%)</w:t>
            </w:r>
          </w:p>
        </w:tc>
        <w:tc>
          <w:tcPr>
            <w:tcW w:w="98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49 (65%)</w:t>
            </w:r>
          </w:p>
        </w:tc>
        <w:tc>
          <w:tcPr>
            <w:tcW w:w="96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26 (35%)</w:t>
            </w:r>
          </w:p>
        </w:tc>
      </w:tr>
      <w:tr w:rsidR="000159A3" w:rsidRPr="000159A3" w:rsidTr="000159A3">
        <w:tc>
          <w:tcPr>
            <w:tcW w:w="967" w:type="pct"/>
          </w:tcPr>
          <w:p w:rsidR="009D49BD" w:rsidRPr="000159A3" w:rsidRDefault="009D49BD" w:rsidP="009D49BD">
            <w:pPr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017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2249</w:t>
            </w:r>
          </w:p>
        </w:tc>
        <w:tc>
          <w:tcPr>
            <w:tcW w:w="1066" w:type="pct"/>
          </w:tcPr>
          <w:p w:rsidR="009D49BD" w:rsidRPr="000159A3" w:rsidRDefault="009D49BD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1325</w:t>
            </w:r>
            <w:r w:rsidR="00D406B7" w:rsidRPr="000159A3">
              <w:rPr>
                <w:rFonts w:ascii="Arial" w:hAnsi="Arial" w:cs="Arial"/>
                <w:sz w:val="20"/>
                <w:szCs w:val="20"/>
              </w:rPr>
              <w:t xml:space="preserve"> (59%)</w:t>
            </w:r>
          </w:p>
        </w:tc>
        <w:tc>
          <w:tcPr>
            <w:tcW w:w="98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493 (37%)</w:t>
            </w:r>
          </w:p>
        </w:tc>
        <w:tc>
          <w:tcPr>
            <w:tcW w:w="965" w:type="pct"/>
          </w:tcPr>
          <w:p w:rsidR="009D49BD" w:rsidRPr="000159A3" w:rsidRDefault="00D406B7" w:rsidP="00D406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59A3">
              <w:rPr>
                <w:rFonts w:ascii="Arial" w:hAnsi="Arial" w:cs="Arial"/>
                <w:sz w:val="20"/>
                <w:szCs w:val="20"/>
              </w:rPr>
              <w:t>832 (63%)</w:t>
            </w:r>
          </w:p>
        </w:tc>
      </w:tr>
    </w:tbl>
    <w:p w:rsidR="000159A3" w:rsidRDefault="000159A3" w:rsidP="00345A12">
      <w:pPr>
        <w:rPr>
          <w:rFonts w:ascii="Arial" w:hAnsi="Arial" w:cs="Arial"/>
          <w:sz w:val="16"/>
          <w:szCs w:val="16"/>
        </w:rPr>
      </w:pPr>
    </w:p>
    <w:p w:rsidR="00D406B7" w:rsidRPr="000159A3" w:rsidRDefault="009D49BD" w:rsidP="00282E18">
      <w:pPr>
        <w:rPr>
          <w:rFonts w:ascii="Arial" w:hAnsi="Arial" w:cs="Arial"/>
          <w:sz w:val="16"/>
          <w:szCs w:val="16"/>
        </w:rPr>
      </w:pPr>
      <w:r w:rsidRPr="000159A3">
        <w:rPr>
          <w:rFonts w:ascii="Arial" w:hAnsi="Arial" w:cs="Arial"/>
          <w:sz w:val="16"/>
          <w:szCs w:val="16"/>
        </w:rPr>
        <w:t xml:space="preserve">Note: </w:t>
      </w:r>
      <w:r w:rsidR="009F0324">
        <w:rPr>
          <w:rFonts w:ascii="Arial" w:hAnsi="Arial" w:cs="Arial"/>
          <w:sz w:val="16"/>
          <w:szCs w:val="16"/>
        </w:rPr>
        <w:t xml:space="preserve">Participating U.S. public health laboratories collected and submitted 2,911 influenza A(H3N2)-positive respiratory specimens to CDC for further virus characterization; </w:t>
      </w:r>
      <w:r w:rsidRPr="000159A3">
        <w:rPr>
          <w:rFonts w:ascii="Arial" w:hAnsi="Arial" w:cs="Arial"/>
          <w:sz w:val="16"/>
          <w:szCs w:val="16"/>
        </w:rPr>
        <w:t>HA genetic group was not determined</w:t>
      </w:r>
      <w:r w:rsidR="009F0324">
        <w:rPr>
          <w:rFonts w:ascii="Arial" w:hAnsi="Arial" w:cs="Arial"/>
          <w:sz w:val="16"/>
          <w:szCs w:val="16"/>
        </w:rPr>
        <w:t xml:space="preserve"> for </w:t>
      </w:r>
      <w:r w:rsidR="009F0324" w:rsidRPr="000159A3">
        <w:rPr>
          <w:rFonts w:ascii="Arial" w:hAnsi="Arial" w:cs="Arial"/>
          <w:sz w:val="16"/>
          <w:szCs w:val="16"/>
        </w:rPr>
        <w:t>662 influenza A(H3N2)-positive specimens</w:t>
      </w:r>
      <w:r w:rsidRPr="000159A3">
        <w:rPr>
          <w:rFonts w:ascii="Arial" w:hAnsi="Arial" w:cs="Arial"/>
          <w:sz w:val="16"/>
          <w:szCs w:val="16"/>
        </w:rPr>
        <w:t>.</w:t>
      </w:r>
      <w:r w:rsidR="009F0324">
        <w:rPr>
          <w:rFonts w:ascii="Arial" w:hAnsi="Arial" w:cs="Arial"/>
          <w:sz w:val="16"/>
          <w:szCs w:val="16"/>
        </w:rPr>
        <w:t xml:space="preserve">  Influenza A(H3N2) viruses were propagated in Madin-Darby Canine Kidney (MDCK) cells expressing alpha-2,6-sialyltransferase (SIAT1)</w:t>
      </w:r>
      <w:hyperlink w:anchor="_ENREF_1" w:tooltip="Matrosovich, 2003 #51" w:history="1">
        <w:r w:rsidR="00816EA1">
          <w:rPr>
            <w:rFonts w:ascii="Arial" w:hAnsi="Arial" w:cs="Arial"/>
            <w:sz w:val="16"/>
            <w:szCs w:val="16"/>
          </w:rPr>
          <w:fldChar w:fldCharType="begin"/>
        </w:r>
        <w:r w:rsidR="00816EA1">
          <w:rPr>
            <w:rFonts w:ascii="Arial" w:hAnsi="Arial" w:cs="Arial"/>
            <w:sz w:val="16"/>
            <w:szCs w:val="16"/>
          </w:rPr>
          <w:instrText xml:space="preserve"> ADDIN EN.CITE &lt;EndNote&gt;&lt;Cite&gt;&lt;Author&gt;Matrosovich&lt;/Author&gt;&lt;Year&gt;2003&lt;/Year&gt;&lt;RecNum&gt;51&lt;/RecNum&gt;&lt;DisplayText&gt;&lt;style face="superscript"&gt;1&lt;/style&gt;&lt;/DisplayText&gt;&lt;record&gt;&lt;rec-number&gt;51&lt;/rec-number&gt;&lt;foreign-keys&gt;&lt;key app="EN" db-id="xavx5fdetvfxshe9zsqx99a99v0zsafv9pp5"&gt;51&lt;/key&gt;&lt;/foreign-keys&gt;&lt;ref-type name="Journal Article"&gt;17&lt;/ref-type&gt;&lt;contributors&gt;&lt;authors&gt;&lt;author&gt;Matrosovich, M.&lt;/author&gt;&lt;author&gt;Matrosovich, T.&lt;/author&gt;&lt;author&gt;Carr, J.&lt;/author&gt;&lt;author&gt;Roberts, N. A.&lt;/author&gt;&lt;author&gt;Klenk, H. D.&lt;/author&gt;&lt;/authors&gt;&lt;/contributors&gt;&lt;auth-address&gt;Institute of Virology, Philipps University, 35037 Marburg, Germany. mikhail.matrosovich@med.uni-marburg.de&lt;/auth-address&gt;&lt;titles&gt;&lt;title&gt;Overexpression of the alpha-2,6-sialyltransferase in MDCK cells increases influenza virus sensitivity to neuraminidase inhibitors&lt;/title&gt;&lt;secondary-title&gt;J Virol&lt;/secondary-title&gt;&lt;alt-title&gt;Journal of virology&lt;/alt-title&gt;&lt;/titles&gt;&lt;periodical&gt;&lt;full-title&gt;J Virol&lt;/full-title&gt;&lt;abbr-1&gt;Journal of virology&lt;/abbr-1&gt;&lt;/periodical&gt;&lt;alt-periodical&gt;&lt;full-title&gt;J Virol&lt;/full-title&gt;&lt;abbr-1&gt;Journal of virology&lt;/abbr-1&gt;&lt;/alt-periodical&gt;&lt;pages&gt;8418-25&lt;/pages&gt;&lt;volume&gt;77&lt;/volume&gt;&lt;number&gt;15&lt;/number&gt;&lt;keywords&gt;&lt;keyword&gt;Acetamides/*pharmacology&lt;/keyword&gt;&lt;keyword&gt;Animals&lt;/keyword&gt;&lt;keyword&gt;Antiviral Agents/*pharmacology&lt;/keyword&gt;&lt;keyword&gt;Cell Line&lt;/keyword&gt;&lt;keyword&gt;Enzyme Inhibitors/pharmacology&lt;/keyword&gt;&lt;keyword&gt;Humans&lt;/keyword&gt;&lt;keyword&gt;Influenza A virus/*drug effects/metabolism&lt;/keyword&gt;&lt;keyword&gt;Microbial Sensitivity Tests&lt;/keyword&gt;&lt;keyword&gt;Neuraminidase/*antagonists &amp;amp; inhibitors&lt;/keyword&gt;&lt;keyword&gt;Oseltamivir&lt;/keyword&gt;&lt;keyword&gt;Sialic Acids/metabolism&lt;/keyword&gt;&lt;keyword&gt;Sialyltransferases/genetics/*metabolism&lt;/keyword&gt;&lt;keyword&gt;Transfection&lt;/keyword&gt;&lt;/keywords&gt;&lt;dates&gt;&lt;year&gt;2003&lt;/year&gt;&lt;pub-dates&gt;&lt;date&gt;Aug&lt;/date&gt;&lt;/pub-dates&gt;&lt;/dates&gt;&lt;isbn&gt;0022-538X (Print)&amp;#xD;0022-538X (Linking)&lt;/isbn&gt;&lt;accession-num&gt;12857911&lt;/accession-num&gt;&lt;urls&gt;&lt;related-urls&gt;&lt;url&gt;http://www.ncbi.nlm.nih.gov/pubmed/12857911&lt;/url&gt;&lt;/related-urls&gt;&lt;/urls&gt;&lt;custom2&gt;165236&lt;/custom2&gt;&lt;/record&gt;&lt;/Cite&gt;&lt;/EndNote&gt;</w:instrText>
        </w:r>
        <w:r w:rsidR="00816EA1">
          <w:rPr>
            <w:rFonts w:ascii="Arial" w:hAnsi="Arial" w:cs="Arial"/>
            <w:sz w:val="16"/>
            <w:szCs w:val="16"/>
          </w:rPr>
          <w:fldChar w:fldCharType="separate"/>
        </w:r>
        <w:r w:rsidR="00816EA1" w:rsidRPr="00816EA1">
          <w:rPr>
            <w:rFonts w:ascii="Arial" w:hAnsi="Arial" w:cs="Arial"/>
            <w:noProof/>
            <w:sz w:val="16"/>
            <w:szCs w:val="16"/>
            <w:vertAlign w:val="superscript"/>
          </w:rPr>
          <w:t>1</w:t>
        </w:r>
        <w:r w:rsidR="00816EA1">
          <w:rPr>
            <w:rFonts w:ascii="Arial" w:hAnsi="Arial" w:cs="Arial"/>
            <w:sz w:val="16"/>
            <w:szCs w:val="16"/>
          </w:rPr>
          <w:fldChar w:fldCharType="end"/>
        </w:r>
      </w:hyperlink>
      <w:r w:rsidR="00816EA1">
        <w:t xml:space="preserve"> </w:t>
      </w:r>
      <w:r w:rsidR="009F0324">
        <w:rPr>
          <w:rFonts w:ascii="Arial" w:hAnsi="Arial" w:cs="Arial"/>
          <w:sz w:val="16"/>
          <w:szCs w:val="16"/>
        </w:rPr>
        <w:t>and antigenically characterized by hemagglutination inhibition (HI) assay with guinea pig red blood cells in the presence of oseltamivir.  H</w:t>
      </w:r>
      <w:r w:rsidR="00D406B7" w:rsidRPr="000159A3">
        <w:rPr>
          <w:rFonts w:ascii="Arial" w:hAnsi="Arial" w:cs="Arial"/>
          <w:sz w:val="16"/>
          <w:szCs w:val="16"/>
        </w:rPr>
        <w:t xml:space="preserve">emagglutination inhibition (HAI) assays provide data to identify current circulating viruses </w:t>
      </w:r>
      <w:r w:rsidR="009F0324">
        <w:rPr>
          <w:rFonts w:ascii="Arial" w:hAnsi="Arial" w:cs="Arial"/>
          <w:sz w:val="16"/>
          <w:szCs w:val="16"/>
        </w:rPr>
        <w:t xml:space="preserve">compared to the A/Texas/50/2012 vaccine reference strain </w:t>
      </w:r>
      <w:r w:rsidR="00D406B7" w:rsidRPr="000159A3">
        <w:rPr>
          <w:rFonts w:ascii="Arial" w:hAnsi="Arial" w:cs="Arial"/>
          <w:sz w:val="16"/>
          <w:szCs w:val="16"/>
        </w:rPr>
        <w:t>as “</w:t>
      </w:r>
      <w:r w:rsidR="00282E18">
        <w:rPr>
          <w:rFonts w:ascii="Arial" w:hAnsi="Arial" w:cs="Arial"/>
          <w:sz w:val="16"/>
          <w:szCs w:val="16"/>
        </w:rPr>
        <w:t>A/Texas/50/2012</w:t>
      </w:r>
      <w:r w:rsidR="00D406B7" w:rsidRPr="000159A3">
        <w:rPr>
          <w:rFonts w:ascii="Arial" w:hAnsi="Arial" w:cs="Arial"/>
          <w:sz w:val="16"/>
          <w:szCs w:val="16"/>
        </w:rPr>
        <w:t xml:space="preserve">-like” </w:t>
      </w:r>
      <w:r w:rsidR="00282E18" w:rsidRPr="000159A3">
        <w:rPr>
          <w:rFonts w:ascii="Arial" w:hAnsi="Arial" w:cs="Arial"/>
          <w:sz w:val="16"/>
          <w:szCs w:val="16"/>
        </w:rPr>
        <w:t>(≤4-fold difference</w:t>
      </w:r>
      <w:r w:rsidR="00282E18">
        <w:rPr>
          <w:rFonts w:ascii="Arial" w:hAnsi="Arial" w:cs="Arial"/>
          <w:sz w:val="16"/>
          <w:szCs w:val="16"/>
        </w:rPr>
        <w:t xml:space="preserve"> in HI titer compared to </w:t>
      </w:r>
      <w:r w:rsidR="00282E18" w:rsidRPr="000159A3">
        <w:rPr>
          <w:rFonts w:ascii="Arial" w:hAnsi="Arial" w:cs="Arial"/>
          <w:sz w:val="16"/>
          <w:szCs w:val="16"/>
        </w:rPr>
        <w:t>A/Texas/50/2012</w:t>
      </w:r>
      <w:r w:rsidR="00282E18">
        <w:rPr>
          <w:rFonts w:ascii="Arial" w:hAnsi="Arial" w:cs="Arial"/>
          <w:sz w:val="16"/>
          <w:szCs w:val="16"/>
        </w:rPr>
        <w:t xml:space="preserve">) </w:t>
      </w:r>
      <w:r w:rsidR="00D406B7" w:rsidRPr="000159A3">
        <w:rPr>
          <w:rFonts w:ascii="Arial" w:hAnsi="Arial" w:cs="Arial"/>
          <w:sz w:val="16"/>
          <w:szCs w:val="16"/>
        </w:rPr>
        <w:t>or “</w:t>
      </w:r>
      <w:r w:rsidR="00282E18">
        <w:rPr>
          <w:rFonts w:ascii="Arial" w:hAnsi="Arial" w:cs="Arial"/>
          <w:sz w:val="16"/>
          <w:szCs w:val="16"/>
        </w:rPr>
        <w:t>A/Texas/50/2012</w:t>
      </w:r>
      <w:r w:rsidR="00D406B7" w:rsidRPr="000159A3">
        <w:rPr>
          <w:rFonts w:ascii="Arial" w:hAnsi="Arial" w:cs="Arial"/>
          <w:sz w:val="16"/>
          <w:szCs w:val="16"/>
        </w:rPr>
        <w:t>-low”</w:t>
      </w:r>
      <w:r w:rsidR="00282E18">
        <w:rPr>
          <w:rFonts w:ascii="Arial" w:hAnsi="Arial" w:cs="Arial"/>
          <w:sz w:val="16"/>
          <w:szCs w:val="16"/>
        </w:rPr>
        <w:t xml:space="preserve"> </w:t>
      </w:r>
      <w:r w:rsidR="00D406B7" w:rsidRPr="000159A3">
        <w:rPr>
          <w:rFonts w:ascii="Arial" w:hAnsi="Arial" w:cs="Arial"/>
          <w:sz w:val="16"/>
          <w:szCs w:val="16"/>
        </w:rPr>
        <w:t>(≥8-fold difference in HI titer</w:t>
      </w:r>
      <w:r w:rsidR="00282E18">
        <w:rPr>
          <w:rFonts w:ascii="Arial" w:hAnsi="Arial" w:cs="Arial"/>
          <w:sz w:val="16"/>
          <w:szCs w:val="16"/>
        </w:rPr>
        <w:t xml:space="preserve"> compared to A/Texas/50/2012</w:t>
      </w:r>
      <w:r w:rsidR="00D406B7" w:rsidRPr="000159A3">
        <w:rPr>
          <w:rFonts w:ascii="Arial" w:hAnsi="Arial" w:cs="Arial"/>
          <w:sz w:val="16"/>
          <w:szCs w:val="16"/>
        </w:rPr>
        <w:t>).</w:t>
      </w:r>
    </w:p>
    <w:p w:rsidR="00345A12" w:rsidRDefault="00345A12" w:rsidP="00345A12"/>
    <w:p w:rsidR="00816EA1" w:rsidRDefault="00816EA1" w:rsidP="00345A12"/>
    <w:p w:rsidR="00816EA1" w:rsidRPr="00E43DAB" w:rsidRDefault="00816EA1" w:rsidP="00345A12">
      <w:pPr>
        <w:rPr>
          <w:rFonts w:ascii="Times New Roman" w:hAnsi="Times New Roman" w:cs="Times New Roman"/>
          <w:b/>
          <w:sz w:val="24"/>
          <w:szCs w:val="24"/>
        </w:rPr>
      </w:pPr>
      <w:r w:rsidRPr="00E43DAB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816EA1" w:rsidRPr="00E43DAB" w:rsidRDefault="00816EA1" w:rsidP="00816EA1">
      <w:pPr>
        <w:spacing w:line="24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E43DA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43DAB">
        <w:rPr>
          <w:rFonts w:ascii="Times New Roman" w:hAnsi="Times New Roman" w:cs="Times New Roman"/>
          <w:b/>
          <w:sz w:val="24"/>
          <w:szCs w:val="24"/>
        </w:rPr>
        <w:instrText xml:space="preserve"> ADDIN EN.REFLIST </w:instrText>
      </w:r>
      <w:r w:rsidRPr="00E43DAB"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1" w:name="_ENREF_1"/>
      <w:r w:rsidRPr="00E43DAB">
        <w:rPr>
          <w:rFonts w:ascii="Times New Roman" w:hAnsi="Times New Roman" w:cs="Times New Roman"/>
          <w:b/>
          <w:noProof/>
          <w:sz w:val="24"/>
          <w:szCs w:val="24"/>
        </w:rPr>
        <w:t>1.</w:t>
      </w:r>
      <w:r w:rsidRPr="00E43DA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E43DAB">
        <w:rPr>
          <w:rFonts w:ascii="Times New Roman" w:hAnsi="Times New Roman" w:cs="Times New Roman"/>
          <w:noProof/>
          <w:sz w:val="24"/>
          <w:szCs w:val="24"/>
        </w:rPr>
        <w:t xml:space="preserve">Matrosovich M, Matrosovich T, Carr J, Roberts NA, Klenk HD. Overexpression of the alpha-2,6-sialyltransferase in MDCK cells increases influenza virus sensitivity to neuraminidase inhibitors. </w:t>
      </w:r>
      <w:r w:rsidRPr="00E43DAB">
        <w:rPr>
          <w:rFonts w:ascii="Times New Roman" w:hAnsi="Times New Roman" w:cs="Times New Roman"/>
          <w:i/>
          <w:noProof/>
          <w:sz w:val="24"/>
          <w:szCs w:val="24"/>
        </w:rPr>
        <w:t xml:space="preserve">Journal of virology. </w:t>
      </w:r>
      <w:r w:rsidRPr="00E43DAB">
        <w:rPr>
          <w:rFonts w:ascii="Times New Roman" w:hAnsi="Times New Roman" w:cs="Times New Roman"/>
          <w:noProof/>
          <w:sz w:val="24"/>
          <w:szCs w:val="24"/>
        </w:rPr>
        <w:t>Aug 2003;77(15):8418-8425.</w:t>
      </w:r>
      <w:bookmarkEnd w:id="1"/>
    </w:p>
    <w:p w:rsidR="00816EA1" w:rsidRPr="00E43DAB" w:rsidRDefault="00816EA1" w:rsidP="00816EA1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16EA1" w:rsidRPr="00816EA1" w:rsidRDefault="00816EA1" w:rsidP="00345A12">
      <w:pPr>
        <w:rPr>
          <w:b/>
        </w:rPr>
      </w:pPr>
      <w:r w:rsidRPr="00E43DA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sectPr w:rsidR="00816EA1" w:rsidRPr="00816EA1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4B7" w:rsidRDefault="00B544B7" w:rsidP="008B5D54">
      <w:pPr>
        <w:spacing w:after="0" w:line="240" w:lineRule="auto"/>
      </w:pPr>
      <w:r>
        <w:separator/>
      </w:r>
    </w:p>
  </w:endnote>
  <w:endnote w:type="continuationSeparator" w:id="0">
    <w:p w:rsidR="00B544B7" w:rsidRDefault="00B544B7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4B7" w:rsidRDefault="00B544B7" w:rsidP="008B5D54">
      <w:pPr>
        <w:spacing w:after="0" w:line="240" w:lineRule="auto"/>
      </w:pPr>
      <w:r>
        <w:separator/>
      </w:r>
    </w:p>
  </w:footnote>
  <w:footnote w:type="continuationSeparator" w:id="0">
    <w:p w:rsidR="00B544B7" w:rsidRDefault="00B544B7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xavx5fdetvfxshe9zsqx99a99v0zsafv9pp5&quot;&gt;Influenza_2014_15&lt;record-ids&gt;&lt;item&gt;51&lt;/item&gt;&lt;/record-ids&gt;&lt;/item&gt;&lt;/Libraries&gt;"/>
  </w:docVars>
  <w:rsids>
    <w:rsidRoot w:val="00E82FBA"/>
    <w:rsid w:val="000159A3"/>
    <w:rsid w:val="00085AA0"/>
    <w:rsid w:val="000A2D14"/>
    <w:rsid w:val="000A460B"/>
    <w:rsid w:val="000E3448"/>
    <w:rsid w:val="001153D8"/>
    <w:rsid w:val="00197420"/>
    <w:rsid w:val="001C5B24"/>
    <w:rsid w:val="00207630"/>
    <w:rsid w:val="00282E18"/>
    <w:rsid w:val="002B4A84"/>
    <w:rsid w:val="00345A12"/>
    <w:rsid w:val="0037263F"/>
    <w:rsid w:val="003B0BF2"/>
    <w:rsid w:val="004C46E7"/>
    <w:rsid w:val="004E2393"/>
    <w:rsid w:val="005D3F03"/>
    <w:rsid w:val="005E5320"/>
    <w:rsid w:val="00623545"/>
    <w:rsid w:val="006633F9"/>
    <w:rsid w:val="006A5B6E"/>
    <w:rsid w:val="006C6578"/>
    <w:rsid w:val="0071781B"/>
    <w:rsid w:val="00725027"/>
    <w:rsid w:val="00816EA1"/>
    <w:rsid w:val="008B5D54"/>
    <w:rsid w:val="008E44E5"/>
    <w:rsid w:val="009949C2"/>
    <w:rsid w:val="009B5076"/>
    <w:rsid w:val="009D49BD"/>
    <w:rsid w:val="009F0324"/>
    <w:rsid w:val="00B544B7"/>
    <w:rsid w:val="00B55735"/>
    <w:rsid w:val="00B608AC"/>
    <w:rsid w:val="00CA12EA"/>
    <w:rsid w:val="00CD5FD9"/>
    <w:rsid w:val="00D406B7"/>
    <w:rsid w:val="00DC57CC"/>
    <w:rsid w:val="00E2123F"/>
    <w:rsid w:val="00E43DAB"/>
    <w:rsid w:val="00E60FEA"/>
    <w:rsid w:val="00E82FBA"/>
    <w:rsid w:val="00E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E82F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2F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2FB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4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6E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34CD-25C3-46B1-8E56-74C7B09D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2015-10-30T17:54:00Z</dcterms:created>
  <dcterms:modified xsi:type="dcterms:W3CDTF">2016-01-20T17:40:00Z</dcterms:modified>
</cp:coreProperties>
</file>