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83" w:rsidRDefault="00385D83" w:rsidP="00385D83">
      <w:pPr>
        <w:pStyle w:val="Body"/>
        <w:spacing w:line="480" w:lineRule="auto"/>
        <w:rPr>
          <w:rFonts w:ascii="Times New Roman" w:hAnsi="Times New Roman" w:cs="Times New Roman"/>
          <w:b/>
          <w:bCs/>
        </w:rPr>
      </w:pPr>
      <w:r w:rsidRPr="006D0C5A">
        <w:rPr>
          <w:rFonts w:ascii="Times New Roman" w:hAnsi="Times New Roman" w:cs="Times New Roman"/>
          <w:b/>
          <w:bCs/>
        </w:rPr>
        <w:t xml:space="preserve">Supplemental Table 1: Percent of subjects with sera available for </w:t>
      </w:r>
      <w:proofErr w:type="spellStart"/>
      <w:r w:rsidRPr="006D0C5A">
        <w:rPr>
          <w:rFonts w:ascii="Times New Roman" w:hAnsi="Times New Roman" w:cs="Times New Roman"/>
          <w:b/>
          <w:bCs/>
          <w:i/>
        </w:rPr>
        <w:t>Toxocara</w:t>
      </w:r>
      <w:proofErr w:type="spellEnd"/>
      <w:r w:rsidRPr="006D0C5A">
        <w:rPr>
          <w:rFonts w:ascii="Times New Roman" w:hAnsi="Times New Roman" w:cs="Times New Roman"/>
          <w:b/>
          <w:bCs/>
        </w:rPr>
        <w:t xml:space="preserve"> antibody testing by factor and level. </w:t>
      </w:r>
    </w:p>
    <w:tbl>
      <w:tblPr>
        <w:tblW w:w="61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8"/>
        <w:gridCol w:w="2766"/>
        <w:gridCol w:w="1041"/>
        <w:gridCol w:w="1040"/>
      </w:tblGrid>
      <w:tr w:rsidR="00385D83" w:rsidRPr="003E38E8" w:rsidTr="00CD327F">
        <w:trPr>
          <w:trHeight w:val="377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factor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level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number examined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% available for testing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all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16112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83.8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age group***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6-11</w:t>
            </w:r>
          </w:p>
        </w:tc>
        <w:tc>
          <w:tcPr>
            <w:tcW w:w="10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2584</w:t>
            </w:r>
          </w:p>
        </w:tc>
        <w:tc>
          <w:tcPr>
            <w:tcW w:w="10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68.0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12-19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2621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80.2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20-29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1873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87.3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30-39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1885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89.4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40-49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1882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87.4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50-59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1795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88.7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≥60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3472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88.9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race/Hispanic origin***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Non-Hispanic White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5614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88.6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Non-Hispanic Black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3995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77.9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Non-Hispanic Asian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1953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81.0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Mexican American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2351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85.5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Other Hispanic and Other Race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2199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83.3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sex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8171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83.9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male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7941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83.7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poverty***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at or above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10708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85.4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below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4132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81.7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crowding (persons per room)***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&lt;0.5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5121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87.3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≥0.5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10854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82.3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head of household education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5D83" w:rsidRPr="003E38E8" w:rsidTr="00CD327F">
        <w:trPr>
          <w:trHeight w:val="34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some college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8433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84.4</w:t>
            </w:r>
          </w:p>
        </w:tc>
      </w:tr>
      <w:tr w:rsidR="00385D83" w:rsidRPr="003E38E8" w:rsidTr="00CD327F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less than college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7133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83.3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place of birth***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United States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12331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83.2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3772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86.1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diagnosis of asthma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3E38E8" w:rsidRDefault="00385D83" w:rsidP="00CD32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5D83" w:rsidRPr="003E38E8" w:rsidTr="00CD327F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13444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83.9</w:t>
            </w:r>
          </w:p>
        </w:tc>
      </w:tr>
      <w:tr w:rsidR="00385D83" w:rsidRPr="003E38E8" w:rsidTr="00CD327F">
        <w:trPr>
          <w:trHeight w:val="21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2657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83" w:rsidRPr="00CD327F" w:rsidRDefault="00385D83" w:rsidP="00CD327F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CD327F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83.4</w:t>
            </w:r>
          </w:p>
        </w:tc>
      </w:tr>
    </w:tbl>
    <w:p w:rsidR="00385D83" w:rsidRPr="006D0C5A" w:rsidRDefault="00385D83" w:rsidP="00385D83">
      <w:pPr>
        <w:pStyle w:val="Body"/>
        <w:spacing w:line="480" w:lineRule="auto"/>
        <w:rPr>
          <w:rFonts w:ascii="Times New Roman" w:hAnsi="Times New Roman" w:cs="Times New Roman"/>
          <w:b/>
          <w:bCs/>
        </w:rPr>
      </w:pPr>
    </w:p>
    <w:p w:rsidR="00385D83" w:rsidRPr="006D0C5A" w:rsidRDefault="00385D83" w:rsidP="00385D83">
      <w:pPr>
        <w:pStyle w:val="Body"/>
        <w:spacing w:line="480" w:lineRule="auto"/>
        <w:rPr>
          <w:rFonts w:ascii="Times New Roman" w:hAnsi="Times New Roman" w:cs="Times New Roman"/>
          <w:bCs/>
        </w:rPr>
      </w:pPr>
      <w:r w:rsidRPr="006D0C5A">
        <w:rPr>
          <w:rFonts w:ascii="Times New Roman" w:hAnsi="Times New Roman" w:cs="Times New Roman"/>
          <w:bCs/>
        </w:rPr>
        <w:t>*** P &lt; 0.001, ** &lt;0.01, * &lt;0.05 by χ2 test</w:t>
      </w:r>
      <w:r w:rsidRPr="006D0C5A">
        <w:rPr>
          <w:rFonts w:ascii="Times New Roman" w:hAnsi="Times New Roman" w:cs="Times New Roman"/>
          <w:sz w:val="18"/>
          <w:szCs w:val="18"/>
        </w:rPr>
        <w:br w:type="page"/>
      </w:r>
    </w:p>
    <w:p w:rsidR="00385D83" w:rsidRPr="006D0C5A" w:rsidRDefault="00385D83" w:rsidP="00385D83">
      <w:pPr>
        <w:spacing w:line="480" w:lineRule="auto"/>
        <w:rPr>
          <w:bCs/>
        </w:rPr>
      </w:pPr>
      <w:r w:rsidRPr="006D0C5A">
        <w:rPr>
          <w:b/>
        </w:rPr>
        <w:lastRenderedPageBreak/>
        <w:t xml:space="preserve">Supplemental Results: </w:t>
      </w:r>
      <w:r w:rsidRPr="006D0C5A">
        <w:rPr>
          <w:b/>
          <w:bCs/>
        </w:rPr>
        <w:t>Impact of availability of sera by subgroup</w:t>
      </w:r>
    </w:p>
    <w:p w:rsidR="00385D83" w:rsidRPr="006D0C5A" w:rsidRDefault="00385D83" w:rsidP="00385D83">
      <w:pPr>
        <w:pStyle w:val="Body"/>
        <w:spacing w:line="480" w:lineRule="auto"/>
        <w:ind w:firstLine="720"/>
        <w:rPr>
          <w:rFonts w:ascii="Times New Roman" w:hAnsi="Times New Roman" w:cs="Times New Roman"/>
        </w:rPr>
      </w:pPr>
      <w:r w:rsidRPr="006D0C5A">
        <w:rPr>
          <w:rFonts w:ascii="Times New Roman" w:hAnsi="Times New Roman" w:cs="Times New Roman"/>
        </w:rPr>
        <w:t xml:space="preserve">Availability of sera overall was 83.8%. As shown in Supplemental Table 1, significant differences in availability between levels by χ2 testing were observed in the covariates of age group (68% among those age 6-11 and ranging from 80.2-89.4% among the remaining age groups); race/Hispanic origin (77.9% among non-Hispanic Blacks and 81% among non-Hispanic Asians, and 85.5% among Mexican Americans, and 88.6% among non-Hispanic Whites); </w:t>
      </w:r>
      <w:r w:rsidRPr="004F6EF7">
        <w:t xml:space="preserve">poverty (ranging from </w:t>
      </w:r>
      <w:r>
        <w:t>81.</w:t>
      </w:r>
      <w:r w:rsidRPr="004F6EF7">
        <w:t xml:space="preserve">7% in those </w:t>
      </w:r>
      <w:r>
        <w:t>living below the poverty line</w:t>
      </w:r>
      <w:r w:rsidRPr="004F6EF7">
        <w:t xml:space="preserve"> to 85.4% in those </w:t>
      </w:r>
      <w:r>
        <w:t xml:space="preserve">living </w:t>
      </w:r>
      <w:r w:rsidRPr="004F6EF7">
        <w:t xml:space="preserve">above </w:t>
      </w:r>
      <w:r>
        <w:t xml:space="preserve">the </w:t>
      </w:r>
      <w:r w:rsidRPr="004F6EF7">
        <w:t xml:space="preserve">poverty </w:t>
      </w:r>
      <w:r>
        <w:t>line</w:t>
      </w:r>
      <w:r w:rsidRPr="004F6EF7">
        <w:t xml:space="preserve">), household crowding (ranging from </w:t>
      </w:r>
      <w:r>
        <w:t>82.3</w:t>
      </w:r>
      <w:r w:rsidRPr="004F6EF7">
        <w:t xml:space="preserve">% </w:t>
      </w:r>
      <w:r>
        <w:t xml:space="preserve">among those living in households with ≥0.5 PPR to </w:t>
      </w:r>
      <w:r w:rsidRPr="004F6EF7">
        <w:t xml:space="preserve"> 87.3% among those living in households with &lt;0.5 PPR); and place of birth (ranging from </w:t>
      </w:r>
      <w:r>
        <w:t>83.2</w:t>
      </w:r>
      <w:r w:rsidRPr="004F6EF7">
        <w:t xml:space="preserve">% </w:t>
      </w:r>
      <w:r>
        <w:t xml:space="preserve">among those born in the U.S </w:t>
      </w:r>
      <w:r w:rsidRPr="004F6EF7">
        <w:t>to</w:t>
      </w:r>
      <w:r>
        <w:t xml:space="preserve"> 86.1% in those foreign born).</w:t>
      </w:r>
    </w:p>
    <w:p w:rsidR="00385D83" w:rsidRPr="006D0C5A" w:rsidRDefault="00385D83" w:rsidP="00385D83">
      <w:pPr>
        <w:pStyle w:val="Body"/>
        <w:spacing w:line="480" w:lineRule="auto"/>
        <w:ind w:firstLine="720"/>
        <w:rPr>
          <w:rFonts w:ascii="Times New Roman" w:hAnsi="Times New Roman" w:cs="Times New Roman"/>
        </w:rPr>
      </w:pPr>
      <w:r w:rsidRPr="006D0C5A">
        <w:rPr>
          <w:rFonts w:ascii="Times New Roman" w:hAnsi="Times New Roman" w:cs="Times New Roman"/>
          <w:bCs/>
        </w:rPr>
        <w:t xml:space="preserve">For each covariate with significantly different levels of sample availability, an adjusted exam weight was calculated and used to estimate </w:t>
      </w:r>
      <w:proofErr w:type="spellStart"/>
      <w:r w:rsidRPr="006D0C5A">
        <w:rPr>
          <w:rFonts w:ascii="Times New Roman" w:hAnsi="Times New Roman" w:cs="Times New Roman"/>
          <w:bCs/>
        </w:rPr>
        <w:t>seroprevalence</w:t>
      </w:r>
      <w:proofErr w:type="spellEnd"/>
      <w:r w:rsidRPr="006D0C5A">
        <w:rPr>
          <w:rFonts w:ascii="Times New Roman" w:hAnsi="Times New Roman" w:cs="Times New Roman"/>
          <w:bCs/>
        </w:rPr>
        <w:t>. These estimates were compared against those made without adjustment by availability. For age group, a maximum absolute difference of 0.15% was noted; race/Hispanic origin, 0.17%; poverty level, 1.27%; crowding, 0.38%; and place of birth, 0.05%. Similarly, in multiple logistic regression with these adjusted weights, the maximum absolute difference in odds ratios was 0.1 when adjusted for availability by age, race/Hispanic origin, poverty, and crowding. No difference was noted for place of birth.</w:t>
      </w:r>
    </w:p>
    <w:p w:rsidR="00FC70C6" w:rsidRDefault="00FC70C6">
      <w:bookmarkStart w:id="0" w:name="_GoBack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83"/>
    <w:rsid w:val="00385D83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A58C7-52FF-4576-98C3-A4366985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5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Centers for Disease Control and Prevention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Eugene (CDC/CGH/DPDM)</dc:creator>
  <cp:keywords/>
  <dc:description/>
  <cp:lastModifiedBy>Liu, Eugene (CDC/CGH/DPDM)</cp:lastModifiedBy>
  <cp:revision>1</cp:revision>
  <dcterms:created xsi:type="dcterms:W3CDTF">2017-08-17T16:34:00Z</dcterms:created>
  <dcterms:modified xsi:type="dcterms:W3CDTF">2017-08-17T16:34:00Z</dcterms:modified>
</cp:coreProperties>
</file>